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9696" w14:textId="77777777" w:rsidR="00454365" w:rsidRDefault="00454365" w:rsidP="00671593">
      <w:pPr>
        <w:rPr>
          <w:color w:val="000000" w:themeColor="text1"/>
          <w:sz w:val="36"/>
          <w:szCs w:val="36"/>
        </w:rPr>
      </w:pPr>
      <w:bookmarkStart w:id="0" w:name="_GoBack"/>
      <w:bookmarkEnd w:id="0"/>
    </w:p>
    <w:p w14:paraId="024AC406" w14:textId="77777777" w:rsidR="00454365" w:rsidRPr="00D401A0" w:rsidRDefault="00454365" w:rsidP="00454365">
      <w:pPr>
        <w:jc w:val="center"/>
        <w:rPr>
          <w:color w:val="000000" w:themeColor="text1"/>
          <w:sz w:val="36"/>
          <w:szCs w:val="36"/>
        </w:rPr>
      </w:pPr>
      <w:r w:rsidRPr="00D401A0">
        <w:rPr>
          <w:color w:val="000000" w:themeColor="text1"/>
          <w:sz w:val="36"/>
          <w:szCs w:val="36"/>
        </w:rPr>
        <w:t>201</w:t>
      </w:r>
      <w:r w:rsidR="006E7115">
        <w:rPr>
          <w:color w:val="000000" w:themeColor="text1"/>
          <w:sz w:val="36"/>
          <w:szCs w:val="36"/>
        </w:rPr>
        <w:t>9-2023</w:t>
      </w:r>
      <w:r>
        <w:rPr>
          <w:color w:val="000000" w:themeColor="text1"/>
          <w:sz w:val="36"/>
          <w:szCs w:val="36"/>
        </w:rPr>
        <w:t xml:space="preserve"> </w:t>
      </w:r>
      <w:r w:rsidRPr="00D401A0">
        <w:rPr>
          <w:color w:val="000000" w:themeColor="text1"/>
          <w:sz w:val="36"/>
          <w:szCs w:val="36"/>
        </w:rPr>
        <w:t>Consolidated Plan</w:t>
      </w:r>
      <w:r>
        <w:rPr>
          <w:color w:val="000000" w:themeColor="text1"/>
          <w:sz w:val="36"/>
          <w:szCs w:val="36"/>
        </w:rPr>
        <w:t xml:space="preserve"> </w:t>
      </w:r>
    </w:p>
    <w:p w14:paraId="094ED141" w14:textId="77777777" w:rsidR="00454365" w:rsidRPr="00D401A0" w:rsidRDefault="00454365" w:rsidP="00454365">
      <w:pPr>
        <w:jc w:val="center"/>
        <w:rPr>
          <w:color w:val="000000" w:themeColor="text1"/>
          <w:sz w:val="36"/>
          <w:szCs w:val="36"/>
        </w:rPr>
      </w:pPr>
    </w:p>
    <w:p w14:paraId="2FBE7180" w14:textId="77777777" w:rsidR="00454365" w:rsidRPr="00D401A0" w:rsidRDefault="00671593" w:rsidP="00454365">
      <w:pPr>
        <w:jc w:val="center"/>
        <w:rPr>
          <w:color w:val="000000" w:themeColor="text1"/>
          <w:sz w:val="28"/>
          <w:szCs w:val="28"/>
        </w:rPr>
      </w:pPr>
      <w:r>
        <w:rPr>
          <w:color w:val="000000" w:themeColor="text1"/>
          <w:sz w:val="28"/>
          <w:szCs w:val="28"/>
        </w:rPr>
        <w:t>STATE OF KANSAS</w:t>
      </w:r>
    </w:p>
    <w:p w14:paraId="3814FF87" w14:textId="77777777" w:rsidR="00671593" w:rsidRDefault="00454365" w:rsidP="00454365">
      <w:pPr>
        <w:jc w:val="center"/>
        <w:rPr>
          <w:color w:val="000000" w:themeColor="text1"/>
          <w:sz w:val="28"/>
          <w:szCs w:val="28"/>
        </w:rPr>
      </w:pPr>
      <w:r w:rsidRPr="00454365">
        <w:rPr>
          <w:color w:val="000000" w:themeColor="text1"/>
          <w:sz w:val="28"/>
          <w:szCs w:val="28"/>
        </w:rPr>
        <w:t>Prepared for</w:t>
      </w:r>
      <w:r w:rsidR="00671593">
        <w:rPr>
          <w:color w:val="000000" w:themeColor="text1"/>
          <w:sz w:val="28"/>
          <w:szCs w:val="28"/>
        </w:rPr>
        <w:t>:</w:t>
      </w:r>
      <w:r w:rsidRPr="00454365">
        <w:rPr>
          <w:color w:val="000000" w:themeColor="text1"/>
          <w:sz w:val="28"/>
          <w:szCs w:val="28"/>
        </w:rPr>
        <w:t xml:space="preserve"> </w:t>
      </w:r>
    </w:p>
    <w:p w14:paraId="189BA5F0" w14:textId="77777777" w:rsidR="00454365" w:rsidRDefault="00454365" w:rsidP="00454365">
      <w:pPr>
        <w:jc w:val="center"/>
        <w:rPr>
          <w:color w:val="000000" w:themeColor="text1"/>
          <w:sz w:val="28"/>
          <w:szCs w:val="28"/>
        </w:rPr>
      </w:pPr>
      <w:r w:rsidRPr="00454365">
        <w:rPr>
          <w:color w:val="000000" w:themeColor="text1"/>
          <w:sz w:val="28"/>
          <w:szCs w:val="28"/>
        </w:rPr>
        <w:t>Kansas Housing Resources Corp.</w:t>
      </w:r>
    </w:p>
    <w:p w14:paraId="2639B9B6" w14:textId="77777777" w:rsidR="00671593" w:rsidRDefault="00671593" w:rsidP="00454365">
      <w:pPr>
        <w:jc w:val="center"/>
        <w:rPr>
          <w:color w:val="000000" w:themeColor="text1"/>
          <w:sz w:val="28"/>
          <w:szCs w:val="28"/>
        </w:rPr>
      </w:pPr>
      <w:r>
        <w:rPr>
          <w:color w:val="000000" w:themeColor="text1"/>
          <w:sz w:val="28"/>
          <w:szCs w:val="28"/>
        </w:rPr>
        <w:t>Kansas Department of Commerce</w:t>
      </w:r>
    </w:p>
    <w:p w14:paraId="0F964693" w14:textId="77777777" w:rsidR="00671593" w:rsidRPr="00454365" w:rsidRDefault="00671593" w:rsidP="00454365">
      <w:pPr>
        <w:jc w:val="center"/>
        <w:rPr>
          <w:color w:val="000000" w:themeColor="text1"/>
          <w:sz w:val="28"/>
          <w:szCs w:val="28"/>
        </w:rPr>
      </w:pPr>
      <w:r>
        <w:rPr>
          <w:color w:val="000000" w:themeColor="text1"/>
          <w:sz w:val="28"/>
          <w:szCs w:val="28"/>
        </w:rPr>
        <w:t>Kansas Department of Health and Environment</w:t>
      </w:r>
    </w:p>
    <w:p w14:paraId="131E2582" w14:textId="77777777" w:rsidR="00454365" w:rsidRPr="00D401A0" w:rsidRDefault="00454365" w:rsidP="00454365">
      <w:pPr>
        <w:spacing w:after="0"/>
        <w:jc w:val="center"/>
        <w:rPr>
          <w:color w:val="000000" w:themeColor="text1"/>
          <w:sz w:val="36"/>
          <w:szCs w:val="36"/>
        </w:rPr>
      </w:pPr>
    </w:p>
    <w:p w14:paraId="0691B73C" w14:textId="77777777" w:rsidR="00454365" w:rsidRPr="00D401A0" w:rsidRDefault="00454365" w:rsidP="00454365">
      <w:pPr>
        <w:spacing w:after="0"/>
        <w:jc w:val="center"/>
        <w:rPr>
          <w:color w:val="000000" w:themeColor="text1"/>
          <w:sz w:val="36"/>
          <w:szCs w:val="36"/>
        </w:rPr>
      </w:pPr>
    </w:p>
    <w:p w14:paraId="1F2F2575" w14:textId="77777777" w:rsidR="00671593" w:rsidRDefault="00671593" w:rsidP="00454365">
      <w:pPr>
        <w:jc w:val="center"/>
        <w:rPr>
          <w:color w:val="000000" w:themeColor="text1"/>
          <w:sz w:val="24"/>
          <w:szCs w:val="24"/>
        </w:rPr>
      </w:pPr>
    </w:p>
    <w:p w14:paraId="6EBCB6DE" w14:textId="77777777" w:rsidR="00454365" w:rsidRPr="00D401A0" w:rsidRDefault="00454365" w:rsidP="00454365">
      <w:pPr>
        <w:jc w:val="center"/>
        <w:rPr>
          <w:color w:val="000000" w:themeColor="text1"/>
          <w:sz w:val="24"/>
          <w:szCs w:val="24"/>
        </w:rPr>
      </w:pPr>
      <w:r w:rsidRPr="00D401A0">
        <w:rPr>
          <w:color w:val="000000" w:themeColor="text1"/>
          <w:sz w:val="24"/>
          <w:szCs w:val="24"/>
        </w:rPr>
        <w:t>Community Development Block Grant</w:t>
      </w:r>
    </w:p>
    <w:p w14:paraId="58C059C9" w14:textId="77777777" w:rsidR="00454365" w:rsidRPr="00D401A0" w:rsidRDefault="00454365" w:rsidP="00454365">
      <w:pPr>
        <w:jc w:val="center"/>
        <w:rPr>
          <w:color w:val="000000" w:themeColor="text1"/>
          <w:sz w:val="24"/>
          <w:szCs w:val="24"/>
        </w:rPr>
      </w:pPr>
      <w:r w:rsidRPr="00D401A0">
        <w:rPr>
          <w:color w:val="000000" w:themeColor="text1"/>
          <w:sz w:val="24"/>
          <w:szCs w:val="24"/>
        </w:rPr>
        <w:t>HOME Investment Partnerships</w:t>
      </w:r>
    </w:p>
    <w:p w14:paraId="664146AA" w14:textId="77777777" w:rsidR="00454365" w:rsidRPr="00D401A0" w:rsidRDefault="00454365" w:rsidP="00454365">
      <w:pPr>
        <w:jc w:val="center"/>
        <w:rPr>
          <w:color w:val="000000" w:themeColor="text1"/>
          <w:sz w:val="24"/>
          <w:szCs w:val="24"/>
        </w:rPr>
      </w:pPr>
      <w:r w:rsidRPr="00D401A0">
        <w:rPr>
          <w:color w:val="000000" w:themeColor="text1"/>
          <w:sz w:val="24"/>
          <w:szCs w:val="24"/>
        </w:rPr>
        <w:t>Emergency Solutions Grant</w:t>
      </w:r>
    </w:p>
    <w:p w14:paraId="7140CF02" w14:textId="77777777" w:rsidR="00454365" w:rsidRDefault="00454365" w:rsidP="00454365">
      <w:pPr>
        <w:jc w:val="center"/>
        <w:rPr>
          <w:color w:val="000000" w:themeColor="text1"/>
          <w:sz w:val="24"/>
          <w:szCs w:val="24"/>
        </w:rPr>
      </w:pPr>
      <w:r w:rsidRPr="00D401A0">
        <w:rPr>
          <w:color w:val="000000" w:themeColor="text1"/>
          <w:sz w:val="24"/>
          <w:szCs w:val="24"/>
        </w:rPr>
        <w:t>Housing Opportunities for Persons with AIDS</w:t>
      </w:r>
    </w:p>
    <w:p w14:paraId="5E52651A" w14:textId="77777777" w:rsidR="006E7115" w:rsidRPr="00D401A0" w:rsidRDefault="006E7115" w:rsidP="00454365">
      <w:pPr>
        <w:jc w:val="center"/>
        <w:rPr>
          <w:color w:val="000000" w:themeColor="text1"/>
          <w:sz w:val="24"/>
          <w:szCs w:val="24"/>
        </w:rPr>
      </w:pPr>
      <w:r>
        <w:rPr>
          <w:color w:val="000000" w:themeColor="text1"/>
          <w:sz w:val="24"/>
          <w:szCs w:val="24"/>
        </w:rPr>
        <w:t>Housing Trust Fund</w:t>
      </w:r>
    </w:p>
    <w:p w14:paraId="19FD8D82" w14:textId="77777777" w:rsidR="00454365" w:rsidRPr="00D401A0" w:rsidRDefault="00454365" w:rsidP="00454365">
      <w:pPr>
        <w:jc w:val="center"/>
        <w:rPr>
          <w:color w:val="000000" w:themeColor="text1"/>
          <w:sz w:val="24"/>
          <w:szCs w:val="24"/>
        </w:rPr>
      </w:pPr>
    </w:p>
    <w:p w14:paraId="2F2A7FC1" w14:textId="77777777" w:rsidR="00031897" w:rsidRDefault="00454365" w:rsidP="00454365">
      <w:r w:rsidRPr="00D401A0">
        <w:rPr>
          <w:b/>
          <w:color w:val="000000" w:themeColor="text1"/>
          <w:sz w:val="36"/>
          <w:szCs w:val="36"/>
        </w:rPr>
        <w:br w:type="page"/>
      </w:r>
    </w:p>
    <w:p w14:paraId="0C73EC8D" w14:textId="77777777" w:rsidR="00031897" w:rsidRPr="00031897" w:rsidRDefault="00031897" w:rsidP="00031897">
      <w:pPr>
        <w:pStyle w:val="Body"/>
        <w:rPr>
          <w:b/>
          <w:sz w:val="32"/>
          <w:szCs w:val="32"/>
        </w:rPr>
      </w:pPr>
      <w:r w:rsidRPr="00031897">
        <w:rPr>
          <w:b/>
          <w:sz w:val="32"/>
          <w:szCs w:val="32"/>
        </w:rPr>
        <w:lastRenderedPageBreak/>
        <w:t>Table of Contents</w:t>
      </w:r>
    </w:p>
    <w:p w14:paraId="28119F19" w14:textId="0B1417D9" w:rsidR="0068663E" w:rsidRDefault="00AD6A59">
      <w:pPr>
        <w:pStyle w:val="TOC1"/>
        <w:rPr>
          <w:rFonts w:asciiTheme="minorHAnsi" w:eastAsiaTheme="minorEastAsia" w:hAnsiTheme="minorHAnsi" w:cstheme="minorBidi"/>
          <w:b w:val="0"/>
          <w:sz w:val="22"/>
        </w:rPr>
      </w:pPr>
      <w:r>
        <w:fldChar w:fldCharType="begin"/>
      </w:r>
      <w:r w:rsidR="00031897">
        <w:instrText xml:space="preserve"> TOC \o "1-3" \h \z \u </w:instrText>
      </w:r>
      <w:r>
        <w:fldChar w:fldCharType="separate"/>
      </w:r>
      <w:hyperlink w:anchor="_Toc524603002" w:history="1">
        <w:r w:rsidR="0068663E" w:rsidRPr="00047BE7">
          <w:rPr>
            <w:rStyle w:val="Hyperlink"/>
          </w:rPr>
          <w:t>Executive Summary</w:t>
        </w:r>
        <w:r w:rsidR="0068663E">
          <w:rPr>
            <w:webHidden/>
          </w:rPr>
          <w:tab/>
        </w:r>
        <w:r w:rsidR="0068663E">
          <w:rPr>
            <w:webHidden/>
          </w:rPr>
          <w:fldChar w:fldCharType="begin"/>
        </w:r>
        <w:r w:rsidR="0068663E">
          <w:rPr>
            <w:webHidden/>
          </w:rPr>
          <w:instrText xml:space="preserve"> PAGEREF _Toc524603002 \h </w:instrText>
        </w:r>
        <w:r w:rsidR="0068663E">
          <w:rPr>
            <w:webHidden/>
          </w:rPr>
        </w:r>
        <w:r w:rsidR="0068663E">
          <w:rPr>
            <w:webHidden/>
          </w:rPr>
          <w:fldChar w:fldCharType="separate"/>
        </w:r>
        <w:r w:rsidR="008D29C7">
          <w:rPr>
            <w:webHidden/>
          </w:rPr>
          <w:t>4</w:t>
        </w:r>
        <w:r w:rsidR="0068663E">
          <w:rPr>
            <w:webHidden/>
          </w:rPr>
          <w:fldChar w:fldCharType="end"/>
        </w:r>
      </w:hyperlink>
    </w:p>
    <w:p w14:paraId="47114A9D" w14:textId="7C73C189" w:rsidR="0068663E" w:rsidRDefault="00F85DD5">
      <w:pPr>
        <w:pStyle w:val="TOC2"/>
        <w:rPr>
          <w:rFonts w:asciiTheme="minorHAnsi" w:eastAsiaTheme="minorEastAsia" w:hAnsiTheme="minorHAnsi" w:cstheme="minorBidi"/>
          <w:noProof/>
        </w:rPr>
      </w:pPr>
      <w:hyperlink w:anchor="_Toc524603003" w:history="1">
        <w:r w:rsidR="0068663E" w:rsidRPr="00047BE7">
          <w:rPr>
            <w:rStyle w:val="Hyperlink"/>
            <w:noProof/>
          </w:rPr>
          <w:t>ES-05 Executive Summary- 91.300(c), 91.320(b)</w:t>
        </w:r>
        <w:r w:rsidR="0068663E">
          <w:rPr>
            <w:noProof/>
            <w:webHidden/>
          </w:rPr>
          <w:tab/>
        </w:r>
        <w:r w:rsidR="0068663E">
          <w:rPr>
            <w:noProof/>
            <w:webHidden/>
          </w:rPr>
          <w:fldChar w:fldCharType="begin"/>
        </w:r>
        <w:r w:rsidR="0068663E">
          <w:rPr>
            <w:noProof/>
            <w:webHidden/>
          </w:rPr>
          <w:instrText xml:space="preserve"> PAGEREF _Toc524603003 \h </w:instrText>
        </w:r>
        <w:r w:rsidR="0068663E">
          <w:rPr>
            <w:noProof/>
            <w:webHidden/>
          </w:rPr>
        </w:r>
        <w:r w:rsidR="0068663E">
          <w:rPr>
            <w:noProof/>
            <w:webHidden/>
          </w:rPr>
          <w:fldChar w:fldCharType="separate"/>
        </w:r>
        <w:r w:rsidR="008D29C7">
          <w:rPr>
            <w:noProof/>
            <w:webHidden/>
          </w:rPr>
          <w:t>4</w:t>
        </w:r>
        <w:r w:rsidR="0068663E">
          <w:rPr>
            <w:noProof/>
            <w:webHidden/>
          </w:rPr>
          <w:fldChar w:fldCharType="end"/>
        </w:r>
      </w:hyperlink>
    </w:p>
    <w:p w14:paraId="7D683C47" w14:textId="1D2E262B" w:rsidR="0068663E" w:rsidRDefault="00F85DD5">
      <w:pPr>
        <w:pStyle w:val="TOC1"/>
        <w:rPr>
          <w:rFonts w:asciiTheme="minorHAnsi" w:eastAsiaTheme="minorEastAsia" w:hAnsiTheme="minorHAnsi" w:cstheme="minorBidi"/>
          <w:b w:val="0"/>
          <w:sz w:val="22"/>
        </w:rPr>
      </w:pPr>
      <w:hyperlink w:anchor="_Toc524603004" w:history="1">
        <w:r w:rsidR="0068663E" w:rsidRPr="00047BE7">
          <w:rPr>
            <w:rStyle w:val="Hyperlink"/>
          </w:rPr>
          <w:t>The Process</w:t>
        </w:r>
        <w:r w:rsidR="0068663E">
          <w:rPr>
            <w:webHidden/>
          </w:rPr>
          <w:tab/>
        </w:r>
        <w:r w:rsidR="0068663E">
          <w:rPr>
            <w:webHidden/>
          </w:rPr>
          <w:fldChar w:fldCharType="begin"/>
        </w:r>
        <w:r w:rsidR="0068663E">
          <w:rPr>
            <w:webHidden/>
          </w:rPr>
          <w:instrText xml:space="preserve"> PAGEREF _Toc524603004 \h </w:instrText>
        </w:r>
        <w:r w:rsidR="0068663E">
          <w:rPr>
            <w:webHidden/>
          </w:rPr>
        </w:r>
        <w:r w:rsidR="0068663E">
          <w:rPr>
            <w:webHidden/>
          </w:rPr>
          <w:fldChar w:fldCharType="separate"/>
        </w:r>
        <w:r w:rsidR="008D29C7">
          <w:rPr>
            <w:webHidden/>
          </w:rPr>
          <w:t>11</w:t>
        </w:r>
        <w:r w:rsidR="0068663E">
          <w:rPr>
            <w:webHidden/>
          </w:rPr>
          <w:fldChar w:fldCharType="end"/>
        </w:r>
      </w:hyperlink>
    </w:p>
    <w:p w14:paraId="22DD686E" w14:textId="22B21F5F" w:rsidR="0068663E" w:rsidRDefault="00F85DD5">
      <w:pPr>
        <w:pStyle w:val="TOC2"/>
        <w:rPr>
          <w:rFonts w:asciiTheme="minorHAnsi" w:eastAsiaTheme="minorEastAsia" w:hAnsiTheme="minorHAnsi" w:cstheme="minorBidi"/>
          <w:noProof/>
        </w:rPr>
      </w:pPr>
      <w:hyperlink w:anchor="_Toc524603005" w:history="1">
        <w:r w:rsidR="0068663E" w:rsidRPr="00047BE7">
          <w:rPr>
            <w:rStyle w:val="Hyperlink"/>
            <w:noProof/>
          </w:rPr>
          <w:t>PR-05 Lead &amp; Responsible Agencies 24 CFR 91.300(b)</w:t>
        </w:r>
        <w:r w:rsidR="0068663E">
          <w:rPr>
            <w:noProof/>
            <w:webHidden/>
          </w:rPr>
          <w:tab/>
        </w:r>
        <w:r w:rsidR="0068663E">
          <w:rPr>
            <w:noProof/>
            <w:webHidden/>
          </w:rPr>
          <w:fldChar w:fldCharType="begin"/>
        </w:r>
        <w:r w:rsidR="0068663E">
          <w:rPr>
            <w:noProof/>
            <w:webHidden/>
          </w:rPr>
          <w:instrText xml:space="preserve"> PAGEREF _Toc524603005 \h </w:instrText>
        </w:r>
        <w:r w:rsidR="0068663E">
          <w:rPr>
            <w:noProof/>
            <w:webHidden/>
          </w:rPr>
        </w:r>
        <w:r w:rsidR="0068663E">
          <w:rPr>
            <w:noProof/>
            <w:webHidden/>
          </w:rPr>
          <w:fldChar w:fldCharType="separate"/>
        </w:r>
        <w:r w:rsidR="008D29C7">
          <w:rPr>
            <w:noProof/>
            <w:webHidden/>
          </w:rPr>
          <w:t>11</w:t>
        </w:r>
        <w:r w:rsidR="0068663E">
          <w:rPr>
            <w:noProof/>
            <w:webHidden/>
          </w:rPr>
          <w:fldChar w:fldCharType="end"/>
        </w:r>
      </w:hyperlink>
    </w:p>
    <w:p w14:paraId="22FC0886" w14:textId="54131B7E" w:rsidR="0068663E" w:rsidRDefault="00F85DD5">
      <w:pPr>
        <w:pStyle w:val="TOC2"/>
        <w:rPr>
          <w:rFonts w:asciiTheme="minorHAnsi" w:eastAsiaTheme="minorEastAsia" w:hAnsiTheme="minorHAnsi" w:cstheme="minorBidi"/>
          <w:noProof/>
        </w:rPr>
      </w:pPr>
      <w:hyperlink w:anchor="_Toc524603006" w:history="1">
        <w:r w:rsidR="0068663E" w:rsidRPr="00047BE7">
          <w:rPr>
            <w:rStyle w:val="Hyperlink"/>
            <w:noProof/>
          </w:rPr>
          <w:t>PR-10 Consultation- 91.110, 91.300(b); 91.315(l)</w:t>
        </w:r>
        <w:r w:rsidR="0068663E">
          <w:rPr>
            <w:noProof/>
            <w:webHidden/>
          </w:rPr>
          <w:tab/>
        </w:r>
        <w:r w:rsidR="0068663E">
          <w:rPr>
            <w:noProof/>
            <w:webHidden/>
          </w:rPr>
          <w:fldChar w:fldCharType="begin"/>
        </w:r>
        <w:r w:rsidR="0068663E">
          <w:rPr>
            <w:noProof/>
            <w:webHidden/>
          </w:rPr>
          <w:instrText xml:space="preserve"> PAGEREF _Toc524603006 \h </w:instrText>
        </w:r>
        <w:r w:rsidR="0068663E">
          <w:rPr>
            <w:noProof/>
            <w:webHidden/>
          </w:rPr>
        </w:r>
        <w:r w:rsidR="0068663E">
          <w:rPr>
            <w:noProof/>
            <w:webHidden/>
          </w:rPr>
          <w:fldChar w:fldCharType="separate"/>
        </w:r>
        <w:r w:rsidR="008D29C7">
          <w:rPr>
            <w:noProof/>
            <w:webHidden/>
          </w:rPr>
          <w:t>12</w:t>
        </w:r>
        <w:r w:rsidR="0068663E">
          <w:rPr>
            <w:noProof/>
            <w:webHidden/>
          </w:rPr>
          <w:fldChar w:fldCharType="end"/>
        </w:r>
      </w:hyperlink>
    </w:p>
    <w:p w14:paraId="39DFB7E0" w14:textId="71DD525B" w:rsidR="0068663E" w:rsidRDefault="00F85DD5">
      <w:pPr>
        <w:pStyle w:val="TOC2"/>
        <w:rPr>
          <w:rFonts w:asciiTheme="minorHAnsi" w:eastAsiaTheme="minorEastAsia" w:hAnsiTheme="minorHAnsi" w:cstheme="minorBidi"/>
          <w:noProof/>
        </w:rPr>
      </w:pPr>
      <w:hyperlink w:anchor="_Toc524603007" w:history="1">
        <w:r w:rsidR="0068663E" w:rsidRPr="00047BE7">
          <w:rPr>
            <w:rStyle w:val="Hyperlink"/>
            <w:noProof/>
          </w:rPr>
          <w:t>PR-15 Citizen Participation - 91.115, 91.300(c)</w:t>
        </w:r>
        <w:r w:rsidR="0068663E">
          <w:rPr>
            <w:noProof/>
            <w:webHidden/>
          </w:rPr>
          <w:tab/>
        </w:r>
        <w:r w:rsidR="0068663E">
          <w:rPr>
            <w:noProof/>
            <w:webHidden/>
          </w:rPr>
          <w:fldChar w:fldCharType="begin"/>
        </w:r>
        <w:r w:rsidR="0068663E">
          <w:rPr>
            <w:noProof/>
            <w:webHidden/>
          </w:rPr>
          <w:instrText xml:space="preserve"> PAGEREF _Toc524603007 \h </w:instrText>
        </w:r>
        <w:r w:rsidR="0068663E">
          <w:rPr>
            <w:noProof/>
            <w:webHidden/>
          </w:rPr>
        </w:r>
        <w:r w:rsidR="0068663E">
          <w:rPr>
            <w:noProof/>
            <w:webHidden/>
          </w:rPr>
          <w:fldChar w:fldCharType="separate"/>
        </w:r>
        <w:r w:rsidR="008D29C7">
          <w:rPr>
            <w:noProof/>
            <w:webHidden/>
          </w:rPr>
          <w:t>17</w:t>
        </w:r>
        <w:r w:rsidR="0068663E">
          <w:rPr>
            <w:noProof/>
            <w:webHidden/>
          </w:rPr>
          <w:fldChar w:fldCharType="end"/>
        </w:r>
      </w:hyperlink>
    </w:p>
    <w:p w14:paraId="569DD2E2" w14:textId="5F4317BF" w:rsidR="0068663E" w:rsidRDefault="00F85DD5">
      <w:pPr>
        <w:pStyle w:val="TOC1"/>
        <w:rPr>
          <w:rFonts w:asciiTheme="minorHAnsi" w:eastAsiaTheme="minorEastAsia" w:hAnsiTheme="minorHAnsi" w:cstheme="minorBidi"/>
          <w:b w:val="0"/>
          <w:sz w:val="22"/>
        </w:rPr>
      </w:pPr>
      <w:hyperlink w:anchor="_Toc524603008" w:history="1">
        <w:r w:rsidR="0068663E" w:rsidRPr="00047BE7">
          <w:rPr>
            <w:rStyle w:val="Hyperlink"/>
          </w:rPr>
          <w:t>Needs Assessment</w:t>
        </w:r>
        <w:r w:rsidR="0068663E">
          <w:rPr>
            <w:webHidden/>
          </w:rPr>
          <w:tab/>
        </w:r>
        <w:r w:rsidR="0068663E">
          <w:rPr>
            <w:webHidden/>
          </w:rPr>
          <w:fldChar w:fldCharType="begin"/>
        </w:r>
        <w:r w:rsidR="0068663E">
          <w:rPr>
            <w:webHidden/>
          </w:rPr>
          <w:instrText xml:space="preserve"> PAGEREF _Toc524603008 \h </w:instrText>
        </w:r>
        <w:r w:rsidR="0068663E">
          <w:rPr>
            <w:webHidden/>
          </w:rPr>
        </w:r>
        <w:r w:rsidR="0068663E">
          <w:rPr>
            <w:webHidden/>
          </w:rPr>
          <w:fldChar w:fldCharType="separate"/>
        </w:r>
        <w:r w:rsidR="008D29C7">
          <w:rPr>
            <w:webHidden/>
          </w:rPr>
          <w:t>19</w:t>
        </w:r>
        <w:r w:rsidR="0068663E">
          <w:rPr>
            <w:webHidden/>
          </w:rPr>
          <w:fldChar w:fldCharType="end"/>
        </w:r>
      </w:hyperlink>
    </w:p>
    <w:p w14:paraId="7FAFFF04" w14:textId="1D882976" w:rsidR="0068663E" w:rsidRDefault="00F85DD5">
      <w:pPr>
        <w:pStyle w:val="TOC2"/>
        <w:rPr>
          <w:rFonts w:asciiTheme="minorHAnsi" w:eastAsiaTheme="minorEastAsia" w:hAnsiTheme="minorHAnsi" w:cstheme="minorBidi"/>
          <w:noProof/>
        </w:rPr>
      </w:pPr>
      <w:hyperlink w:anchor="_Toc524603009" w:history="1">
        <w:r w:rsidR="0068663E" w:rsidRPr="00047BE7">
          <w:rPr>
            <w:rStyle w:val="Hyperlink"/>
            <w:noProof/>
          </w:rPr>
          <w:t>NA-05 Overview</w:t>
        </w:r>
        <w:r w:rsidR="0068663E">
          <w:rPr>
            <w:noProof/>
            <w:webHidden/>
          </w:rPr>
          <w:tab/>
        </w:r>
        <w:r w:rsidR="0068663E">
          <w:rPr>
            <w:noProof/>
            <w:webHidden/>
          </w:rPr>
          <w:fldChar w:fldCharType="begin"/>
        </w:r>
        <w:r w:rsidR="0068663E">
          <w:rPr>
            <w:noProof/>
            <w:webHidden/>
          </w:rPr>
          <w:instrText xml:space="preserve"> PAGEREF _Toc524603009 \h </w:instrText>
        </w:r>
        <w:r w:rsidR="0068663E">
          <w:rPr>
            <w:noProof/>
            <w:webHidden/>
          </w:rPr>
        </w:r>
        <w:r w:rsidR="0068663E">
          <w:rPr>
            <w:noProof/>
            <w:webHidden/>
          </w:rPr>
          <w:fldChar w:fldCharType="separate"/>
        </w:r>
        <w:r w:rsidR="008D29C7">
          <w:rPr>
            <w:noProof/>
            <w:webHidden/>
          </w:rPr>
          <w:t>19</w:t>
        </w:r>
        <w:r w:rsidR="0068663E">
          <w:rPr>
            <w:noProof/>
            <w:webHidden/>
          </w:rPr>
          <w:fldChar w:fldCharType="end"/>
        </w:r>
      </w:hyperlink>
    </w:p>
    <w:p w14:paraId="1DD73145" w14:textId="46441C7A" w:rsidR="0068663E" w:rsidRDefault="00F85DD5">
      <w:pPr>
        <w:pStyle w:val="TOC2"/>
        <w:rPr>
          <w:rFonts w:asciiTheme="minorHAnsi" w:eastAsiaTheme="minorEastAsia" w:hAnsiTheme="minorHAnsi" w:cstheme="minorBidi"/>
          <w:noProof/>
        </w:rPr>
      </w:pPr>
      <w:hyperlink w:anchor="_Toc524603010" w:history="1">
        <w:r w:rsidR="0068663E" w:rsidRPr="00047BE7">
          <w:rPr>
            <w:rStyle w:val="Hyperlink"/>
            <w:noProof/>
          </w:rPr>
          <w:t>NA-10 Housing Needs Assessment - 24 CFR 91.305 (a,b,c)</w:t>
        </w:r>
        <w:r w:rsidR="0068663E">
          <w:rPr>
            <w:noProof/>
            <w:webHidden/>
          </w:rPr>
          <w:tab/>
        </w:r>
        <w:r w:rsidR="0068663E">
          <w:rPr>
            <w:noProof/>
            <w:webHidden/>
          </w:rPr>
          <w:fldChar w:fldCharType="begin"/>
        </w:r>
        <w:r w:rsidR="0068663E">
          <w:rPr>
            <w:noProof/>
            <w:webHidden/>
          </w:rPr>
          <w:instrText xml:space="preserve"> PAGEREF _Toc524603010 \h </w:instrText>
        </w:r>
        <w:r w:rsidR="0068663E">
          <w:rPr>
            <w:noProof/>
            <w:webHidden/>
          </w:rPr>
        </w:r>
        <w:r w:rsidR="0068663E">
          <w:rPr>
            <w:noProof/>
            <w:webHidden/>
          </w:rPr>
          <w:fldChar w:fldCharType="separate"/>
        </w:r>
        <w:r w:rsidR="008D29C7">
          <w:rPr>
            <w:noProof/>
            <w:webHidden/>
          </w:rPr>
          <w:t>21</w:t>
        </w:r>
        <w:r w:rsidR="0068663E">
          <w:rPr>
            <w:noProof/>
            <w:webHidden/>
          </w:rPr>
          <w:fldChar w:fldCharType="end"/>
        </w:r>
      </w:hyperlink>
    </w:p>
    <w:p w14:paraId="6389DE6F" w14:textId="6A0D89AA" w:rsidR="0068663E" w:rsidRDefault="00F85DD5">
      <w:pPr>
        <w:pStyle w:val="TOC2"/>
        <w:rPr>
          <w:rFonts w:asciiTheme="minorHAnsi" w:eastAsiaTheme="minorEastAsia" w:hAnsiTheme="minorHAnsi" w:cstheme="minorBidi"/>
          <w:noProof/>
        </w:rPr>
      </w:pPr>
      <w:hyperlink w:anchor="_Toc524603011" w:history="1">
        <w:r w:rsidR="0068663E" w:rsidRPr="00047BE7">
          <w:rPr>
            <w:rStyle w:val="Hyperlink"/>
            <w:noProof/>
          </w:rPr>
          <w:t>NA-15 Disproportionately Greater Need: Housing Problems - 91.305 (b)(2)</w:t>
        </w:r>
        <w:r w:rsidR="0068663E">
          <w:rPr>
            <w:noProof/>
            <w:webHidden/>
          </w:rPr>
          <w:tab/>
        </w:r>
        <w:r w:rsidR="0068663E">
          <w:rPr>
            <w:noProof/>
            <w:webHidden/>
          </w:rPr>
          <w:fldChar w:fldCharType="begin"/>
        </w:r>
        <w:r w:rsidR="0068663E">
          <w:rPr>
            <w:noProof/>
            <w:webHidden/>
          </w:rPr>
          <w:instrText xml:space="preserve"> PAGEREF _Toc524603011 \h </w:instrText>
        </w:r>
        <w:r w:rsidR="0068663E">
          <w:rPr>
            <w:noProof/>
            <w:webHidden/>
          </w:rPr>
        </w:r>
        <w:r w:rsidR="0068663E">
          <w:rPr>
            <w:noProof/>
            <w:webHidden/>
          </w:rPr>
          <w:fldChar w:fldCharType="separate"/>
        </w:r>
        <w:r w:rsidR="008D29C7">
          <w:rPr>
            <w:noProof/>
            <w:webHidden/>
          </w:rPr>
          <w:t>30</w:t>
        </w:r>
        <w:r w:rsidR="0068663E">
          <w:rPr>
            <w:noProof/>
            <w:webHidden/>
          </w:rPr>
          <w:fldChar w:fldCharType="end"/>
        </w:r>
      </w:hyperlink>
    </w:p>
    <w:p w14:paraId="3B273545" w14:textId="23104CC8" w:rsidR="0068663E" w:rsidRDefault="00F85DD5">
      <w:pPr>
        <w:pStyle w:val="TOC2"/>
        <w:rPr>
          <w:rFonts w:asciiTheme="minorHAnsi" w:eastAsiaTheme="minorEastAsia" w:hAnsiTheme="minorHAnsi" w:cstheme="minorBidi"/>
          <w:noProof/>
        </w:rPr>
      </w:pPr>
      <w:hyperlink w:anchor="_Toc524603012" w:history="1">
        <w:r w:rsidR="0068663E" w:rsidRPr="00047BE7">
          <w:rPr>
            <w:rStyle w:val="Hyperlink"/>
            <w:noProof/>
          </w:rPr>
          <w:t>NA-20 Disproportionately Greater Need: Severe Housing Problems – 91.305(b)(2)</w:t>
        </w:r>
        <w:r w:rsidR="0068663E">
          <w:rPr>
            <w:noProof/>
            <w:webHidden/>
          </w:rPr>
          <w:tab/>
        </w:r>
        <w:r w:rsidR="0068663E">
          <w:rPr>
            <w:noProof/>
            <w:webHidden/>
          </w:rPr>
          <w:fldChar w:fldCharType="begin"/>
        </w:r>
        <w:r w:rsidR="0068663E">
          <w:rPr>
            <w:noProof/>
            <w:webHidden/>
          </w:rPr>
          <w:instrText xml:space="preserve"> PAGEREF _Toc524603012 \h </w:instrText>
        </w:r>
        <w:r w:rsidR="0068663E">
          <w:rPr>
            <w:noProof/>
            <w:webHidden/>
          </w:rPr>
        </w:r>
        <w:r w:rsidR="0068663E">
          <w:rPr>
            <w:noProof/>
            <w:webHidden/>
          </w:rPr>
          <w:fldChar w:fldCharType="separate"/>
        </w:r>
        <w:r w:rsidR="008D29C7">
          <w:rPr>
            <w:noProof/>
            <w:webHidden/>
          </w:rPr>
          <w:t>33</w:t>
        </w:r>
        <w:r w:rsidR="0068663E">
          <w:rPr>
            <w:noProof/>
            <w:webHidden/>
          </w:rPr>
          <w:fldChar w:fldCharType="end"/>
        </w:r>
      </w:hyperlink>
    </w:p>
    <w:p w14:paraId="6A3375F3" w14:textId="14A89F04" w:rsidR="0068663E" w:rsidRDefault="00F85DD5">
      <w:pPr>
        <w:pStyle w:val="TOC2"/>
        <w:rPr>
          <w:rFonts w:asciiTheme="minorHAnsi" w:eastAsiaTheme="minorEastAsia" w:hAnsiTheme="minorHAnsi" w:cstheme="minorBidi"/>
          <w:noProof/>
        </w:rPr>
      </w:pPr>
      <w:hyperlink w:anchor="_Toc524603013" w:history="1">
        <w:r w:rsidR="0068663E" w:rsidRPr="00047BE7">
          <w:rPr>
            <w:rStyle w:val="Hyperlink"/>
            <w:noProof/>
          </w:rPr>
          <w:t>NA-25 Disproportionately Greater Need: Housing Cost Burdens – 91.305 (b)(2)</w:t>
        </w:r>
        <w:r w:rsidR="0068663E">
          <w:rPr>
            <w:noProof/>
            <w:webHidden/>
          </w:rPr>
          <w:tab/>
        </w:r>
        <w:r w:rsidR="0068663E">
          <w:rPr>
            <w:noProof/>
            <w:webHidden/>
          </w:rPr>
          <w:fldChar w:fldCharType="begin"/>
        </w:r>
        <w:r w:rsidR="0068663E">
          <w:rPr>
            <w:noProof/>
            <w:webHidden/>
          </w:rPr>
          <w:instrText xml:space="preserve"> PAGEREF _Toc524603013 \h </w:instrText>
        </w:r>
        <w:r w:rsidR="0068663E">
          <w:rPr>
            <w:noProof/>
            <w:webHidden/>
          </w:rPr>
        </w:r>
        <w:r w:rsidR="0068663E">
          <w:rPr>
            <w:noProof/>
            <w:webHidden/>
          </w:rPr>
          <w:fldChar w:fldCharType="separate"/>
        </w:r>
        <w:r w:rsidR="008D29C7">
          <w:rPr>
            <w:noProof/>
            <w:webHidden/>
          </w:rPr>
          <w:t>36</w:t>
        </w:r>
        <w:r w:rsidR="0068663E">
          <w:rPr>
            <w:noProof/>
            <w:webHidden/>
          </w:rPr>
          <w:fldChar w:fldCharType="end"/>
        </w:r>
      </w:hyperlink>
    </w:p>
    <w:p w14:paraId="5340DBF8" w14:textId="40374212" w:rsidR="0068663E" w:rsidRDefault="00F85DD5">
      <w:pPr>
        <w:pStyle w:val="TOC2"/>
        <w:rPr>
          <w:rFonts w:asciiTheme="minorHAnsi" w:eastAsiaTheme="minorEastAsia" w:hAnsiTheme="minorHAnsi" w:cstheme="minorBidi"/>
          <w:noProof/>
        </w:rPr>
      </w:pPr>
      <w:hyperlink w:anchor="_Toc524603014" w:history="1">
        <w:r w:rsidR="0068663E" w:rsidRPr="00047BE7">
          <w:rPr>
            <w:rStyle w:val="Hyperlink"/>
            <w:noProof/>
          </w:rPr>
          <w:t>NA-30 Disproportionately Greater Need: Discussion – 91.305 (b)(2)</w:t>
        </w:r>
        <w:r w:rsidR="0068663E">
          <w:rPr>
            <w:noProof/>
            <w:webHidden/>
          </w:rPr>
          <w:tab/>
        </w:r>
        <w:r w:rsidR="0068663E">
          <w:rPr>
            <w:noProof/>
            <w:webHidden/>
          </w:rPr>
          <w:fldChar w:fldCharType="begin"/>
        </w:r>
        <w:r w:rsidR="0068663E">
          <w:rPr>
            <w:noProof/>
            <w:webHidden/>
          </w:rPr>
          <w:instrText xml:space="preserve"> PAGEREF _Toc524603014 \h </w:instrText>
        </w:r>
        <w:r w:rsidR="0068663E">
          <w:rPr>
            <w:noProof/>
            <w:webHidden/>
          </w:rPr>
        </w:r>
        <w:r w:rsidR="0068663E">
          <w:rPr>
            <w:noProof/>
            <w:webHidden/>
          </w:rPr>
          <w:fldChar w:fldCharType="separate"/>
        </w:r>
        <w:r w:rsidR="008D29C7">
          <w:rPr>
            <w:noProof/>
            <w:webHidden/>
          </w:rPr>
          <w:t>37</w:t>
        </w:r>
        <w:r w:rsidR="0068663E">
          <w:rPr>
            <w:noProof/>
            <w:webHidden/>
          </w:rPr>
          <w:fldChar w:fldCharType="end"/>
        </w:r>
      </w:hyperlink>
    </w:p>
    <w:p w14:paraId="7A439A1F" w14:textId="34721FBB" w:rsidR="0068663E" w:rsidRDefault="00F85DD5">
      <w:pPr>
        <w:pStyle w:val="TOC2"/>
        <w:rPr>
          <w:rFonts w:asciiTheme="minorHAnsi" w:eastAsiaTheme="minorEastAsia" w:hAnsiTheme="minorHAnsi" w:cstheme="minorBidi"/>
          <w:noProof/>
        </w:rPr>
      </w:pPr>
      <w:hyperlink w:anchor="_Toc524603015" w:history="1">
        <w:r w:rsidR="0068663E" w:rsidRPr="00047BE7">
          <w:rPr>
            <w:rStyle w:val="Hyperlink"/>
            <w:noProof/>
          </w:rPr>
          <w:t>NA-40 Homeless Needs Assessment – 91.305(c)</w:t>
        </w:r>
        <w:r w:rsidR="0068663E">
          <w:rPr>
            <w:noProof/>
            <w:webHidden/>
          </w:rPr>
          <w:tab/>
        </w:r>
        <w:r w:rsidR="0068663E">
          <w:rPr>
            <w:noProof/>
            <w:webHidden/>
          </w:rPr>
          <w:fldChar w:fldCharType="begin"/>
        </w:r>
        <w:r w:rsidR="0068663E">
          <w:rPr>
            <w:noProof/>
            <w:webHidden/>
          </w:rPr>
          <w:instrText xml:space="preserve"> PAGEREF _Toc524603015 \h </w:instrText>
        </w:r>
        <w:r w:rsidR="0068663E">
          <w:rPr>
            <w:noProof/>
            <w:webHidden/>
          </w:rPr>
        </w:r>
        <w:r w:rsidR="0068663E">
          <w:rPr>
            <w:noProof/>
            <w:webHidden/>
          </w:rPr>
          <w:fldChar w:fldCharType="separate"/>
        </w:r>
        <w:r w:rsidR="008D29C7">
          <w:rPr>
            <w:noProof/>
            <w:webHidden/>
          </w:rPr>
          <w:t>39</w:t>
        </w:r>
        <w:r w:rsidR="0068663E">
          <w:rPr>
            <w:noProof/>
            <w:webHidden/>
          </w:rPr>
          <w:fldChar w:fldCharType="end"/>
        </w:r>
      </w:hyperlink>
    </w:p>
    <w:p w14:paraId="0E7CA016" w14:textId="15EEE1E5" w:rsidR="0068663E" w:rsidRDefault="00F85DD5">
      <w:pPr>
        <w:pStyle w:val="TOC2"/>
        <w:rPr>
          <w:rFonts w:asciiTheme="minorHAnsi" w:eastAsiaTheme="minorEastAsia" w:hAnsiTheme="minorHAnsi" w:cstheme="minorBidi"/>
          <w:noProof/>
        </w:rPr>
      </w:pPr>
      <w:hyperlink w:anchor="_Toc524603016" w:history="1">
        <w:r w:rsidR="0068663E" w:rsidRPr="00047BE7">
          <w:rPr>
            <w:rStyle w:val="Hyperlink"/>
            <w:noProof/>
          </w:rPr>
          <w:t>NA-45 Non-Homeless Special Needs Assessment – 91.305 (b,d)</w:t>
        </w:r>
        <w:r w:rsidR="0068663E">
          <w:rPr>
            <w:noProof/>
            <w:webHidden/>
          </w:rPr>
          <w:tab/>
        </w:r>
        <w:r w:rsidR="0068663E">
          <w:rPr>
            <w:noProof/>
            <w:webHidden/>
          </w:rPr>
          <w:fldChar w:fldCharType="begin"/>
        </w:r>
        <w:r w:rsidR="0068663E">
          <w:rPr>
            <w:noProof/>
            <w:webHidden/>
          </w:rPr>
          <w:instrText xml:space="preserve"> PAGEREF _Toc524603016 \h </w:instrText>
        </w:r>
        <w:r w:rsidR="0068663E">
          <w:rPr>
            <w:noProof/>
            <w:webHidden/>
          </w:rPr>
        </w:r>
        <w:r w:rsidR="0068663E">
          <w:rPr>
            <w:noProof/>
            <w:webHidden/>
          </w:rPr>
          <w:fldChar w:fldCharType="separate"/>
        </w:r>
        <w:r w:rsidR="008D29C7">
          <w:rPr>
            <w:noProof/>
            <w:webHidden/>
          </w:rPr>
          <w:t>43</w:t>
        </w:r>
        <w:r w:rsidR="0068663E">
          <w:rPr>
            <w:noProof/>
            <w:webHidden/>
          </w:rPr>
          <w:fldChar w:fldCharType="end"/>
        </w:r>
      </w:hyperlink>
    </w:p>
    <w:p w14:paraId="5E16132E" w14:textId="6A282729" w:rsidR="0068663E" w:rsidRDefault="00F85DD5">
      <w:pPr>
        <w:pStyle w:val="TOC2"/>
        <w:rPr>
          <w:rFonts w:asciiTheme="minorHAnsi" w:eastAsiaTheme="minorEastAsia" w:hAnsiTheme="minorHAnsi" w:cstheme="minorBidi"/>
          <w:noProof/>
        </w:rPr>
      </w:pPr>
      <w:hyperlink w:anchor="_Toc524603017" w:history="1">
        <w:r w:rsidR="0068663E" w:rsidRPr="00047BE7">
          <w:rPr>
            <w:rStyle w:val="Hyperlink"/>
            <w:noProof/>
          </w:rPr>
          <w:t>NA-50 Non-Housing Community Development Needs - 91.315 (f)</w:t>
        </w:r>
        <w:r w:rsidR="0068663E">
          <w:rPr>
            <w:noProof/>
            <w:webHidden/>
          </w:rPr>
          <w:tab/>
        </w:r>
        <w:r w:rsidR="0068663E">
          <w:rPr>
            <w:noProof/>
            <w:webHidden/>
          </w:rPr>
          <w:fldChar w:fldCharType="begin"/>
        </w:r>
        <w:r w:rsidR="0068663E">
          <w:rPr>
            <w:noProof/>
            <w:webHidden/>
          </w:rPr>
          <w:instrText xml:space="preserve"> PAGEREF _Toc524603017 \h </w:instrText>
        </w:r>
        <w:r w:rsidR="0068663E">
          <w:rPr>
            <w:noProof/>
            <w:webHidden/>
          </w:rPr>
        </w:r>
        <w:r w:rsidR="0068663E">
          <w:rPr>
            <w:noProof/>
            <w:webHidden/>
          </w:rPr>
          <w:fldChar w:fldCharType="separate"/>
        </w:r>
        <w:r w:rsidR="008D29C7">
          <w:rPr>
            <w:noProof/>
            <w:webHidden/>
          </w:rPr>
          <w:t>46</w:t>
        </w:r>
        <w:r w:rsidR="0068663E">
          <w:rPr>
            <w:noProof/>
            <w:webHidden/>
          </w:rPr>
          <w:fldChar w:fldCharType="end"/>
        </w:r>
      </w:hyperlink>
    </w:p>
    <w:p w14:paraId="0FEAA57A" w14:textId="5DD217E7" w:rsidR="0068663E" w:rsidRDefault="00F85DD5">
      <w:pPr>
        <w:pStyle w:val="TOC1"/>
        <w:rPr>
          <w:rFonts w:asciiTheme="minorHAnsi" w:eastAsiaTheme="minorEastAsia" w:hAnsiTheme="minorHAnsi" w:cstheme="minorBidi"/>
          <w:b w:val="0"/>
          <w:sz w:val="22"/>
        </w:rPr>
      </w:pPr>
      <w:hyperlink w:anchor="_Toc524603018" w:history="1">
        <w:r w:rsidR="0068663E" w:rsidRPr="00047BE7">
          <w:rPr>
            <w:rStyle w:val="Hyperlink"/>
          </w:rPr>
          <w:t>Housing Market Analysis</w:t>
        </w:r>
        <w:r w:rsidR="0068663E">
          <w:rPr>
            <w:webHidden/>
          </w:rPr>
          <w:tab/>
        </w:r>
        <w:r w:rsidR="0068663E">
          <w:rPr>
            <w:webHidden/>
          </w:rPr>
          <w:fldChar w:fldCharType="begin"/>
        </w:r>
        <w:r w:rsidR="0068663E">
          <w:rPr>
            <w:webHidden/>
          </w:rPr>
          <w:instrText xml:space="preserve"> PAGEREF _Toc524603018 \h </w:instrText>
        </w:r>
        <w:r w:rsidR="0068663E">
          <w:rPr>
            <w:webHidden/>
          </w:rPr>
        </w:r>
        <w:r w:rsidR="0068663E">
          <w:rPr>
            <w:webHidden/>
          </w:rPr>
          <w:fldChar w:fldCharType="separate"/>
        </w:r>
        <w:r w:rsidR="008D29C7">
          <w:rPr>
            <w:webHidden/>
          </w:rPr>
          <w:t>51</w:t>
        </w:r>
        <w:r w:rsidR="0068663E">
          <w:rPr>
            <w:webHidden/>
          </w:rPr>
          <w:fldChar w:fldCharType="end"/>
        </w:r>
      </w:hyperlink>
    </w:p>
    <w:p w14:paraId="37DB0406" w14:textId="76403FCA" w:rsidR="0068663E" w:rsidRDefault="00F85DD5">
      <w:pPr>
        <w:pStyle w:val="TOC2"/>
        <w:rPr>
          <w:rFonts w:asciiTheme="minorHAnsi" w:eastAsiaTheme="minorEastAsia" w:hAnsiTheme="minorHAnsi" w:cstheme="minorBidi"/>
          <w:noProof/>
        </w:rPr>
      </w:pPr>
      <w:hyperlink w:anchor="_Toc524603019" w:history="1">
        <w:r w:rsidR="0068663E" w:rsidRPr="00047BE7">
          <w:rPr>
            <w:rStyle w:val="Hyperlink"/>
            <w:noProof/>
          </w:rPr>
          <w:t>MA-05 Overview</w:t>
        </w:r>
        <w:r w:rsidR="0068663E">
          <w:rPr>
            <w:noProof/>
            <w:webHidden/>
          </w:rPr>
          <w:tab/>
        </w:r>
        <w:r w:rsidR="0068663E">
          <w:rPr>
            <w:noProof/>
            <w:webHidden/>
          </w:rPr>
          <w:fldChar w:fldCharType="begin"/>
        </w:r>
        <w:r w:rsidR="0068663E">
          <w:rPr>
            <w:noProof/>
            <w:webHidden/>
          </w:rPr>
          <w:instrText xml:space="preserve"> PAGEREF _Toc524603019 \h </w:instrText>
        </w:r>
        <w:r w:rsidR="0068663E">
          <w:rPr>
            <w:noProof/>
            <w:webHidden/>
          </w:rPr>
        </w:r>
        <w:r w:rsidR="0068663E">
          <w:rPr>
            <w:noProof/>
            <w:webHidden/>
          </w:rPr>
          <w:fldChar w:fldCharType="separate"/>
        </w:r>
        <w:r w:rsidR="008D29C7">
          <w:rPr>
            <w:noProof/>
            <w:webHidden/>
          </w:rPr>
          <w:t>51</w:t>
        </w:r>
        <w:r w:rsidR="0068663E">
          <w:rPr>
            <w:noProof/>
            <w:webHidden/>
          </w:rPr>
          <w:fldChar w:fldCharType="end"/>
        </w:r>
      </w:hyperlink>
    </w:p>
    <w:p w14:paraId="683637B0" w14:textId="2E6CAFE6" w:rsidR="0068663E" w:rsidRDefault="00F85DD5">
      <w:pPr>
        <w:pStyle w:val="TOC2"/>
        <w:rPr>
          <w:rFonts w:asciiTheme="minorHAnsi" w:eastAsiaTheme="minorEastAsia" w:hAnsiTheme="minorHAnsi" w:cstheme="minorBidi"/>
          <w:noProof/>
        </w:rPr>
      </w:pPr>
      <w:hyperlink w:anchor="_Toc524603020" w:history="1">
        <w:r w:rsidR="0068663E" w:rsidRPr="00047BE7">
          <w:rPr>
            <w:rStyle w:val="Hyperlink"/>
            <w:noProof/>
          </w:rPr>
          <w:t>MA-10 Number of Housing Units – 91.310(a)</w:t>
        </w:r>
        <w:r w:rsidR="0068663E">
          <w:rPr>
            <w:noProof/>
            <w:webHidden/>
          </w:rPr>
          <w:tab/>
        </w:r>
        <w:r w:rsidR="0068663E">
          <w:rPr>
            <w:noProof/>
            <w:webHidden/>
          </w:rPr>
          <w:fldChar w:fldCharType="begin"/>
        </w:r>
        <w:r w:rsidR="0068663E">
          <w:rPr>
            <w:noProof/>
            <w:webHidden/>
          </w:rPr>
          <w:instrText xml:space="preserve"> PAGEREF _Toc524603020 \h </w:instrText>
        </w:r>
        <w:r w:rsidR="0068663E">
          <w:rPr>
            <w:noProof/>
            <w:webHidden/>
          </w:rPr>
        </w:r>
        <w:r w:rsidR="0068663E">
          <w:rPr>
            <w:noProof/>
            <w:webHidden/>
          </w:rPr>
          <w:fldChar w:fldCharType="separate"/>
        </w:r>
        <w:r w:rsidR="008D29C7">
          <w:rPr>
            <w:noProof/>
            <w:webHidden/>
          </w:rPr>
          <w:t>53</w:t>
        </w:r>
        <w:r w:rsidR="0068663E">
          <w:rPr>
            <w:noProof/>
            <w:webHidden/>
          </w:rPr>
          <w:fldChar w:fldCharType="end"/>
        </w:r>
      </w:hyperlink>
    </w:p>
    <w:p w14:paraId="03034F28" w14:textId="3FA78D39" w:rsidR="0068663E" w:rsidRDefault="00F85DD5">
      <w:pPr>
        <w:pStyle w:val="TOC2"/>
        <w:rPr>
          <w:rFonts w:asciiTheme="minorHAnsi" w:eastAsiaTheme="minorEastAsia" w:hAnsiTheme="minorHAnsi" w:cstheme="minorBidi"/>
          <w:noProof/>
        </w:rPr>
      </w:pPr>
      <w:hyperlink w:anchor="_Toc524603021" w:history="1">
        <w:r w:rsidR="0068663E" w:rsidRPr="00047BE7">
          <w:rPr>
            <w:rStyle w:val="Hyperlink"/>
            <w:noProof/>
          </w:rPr>
          <w:t>MA-15 Cost of Housing – 91.310(a)</w:t>
        </w:r>
        <w:r w:rsidR="0068663E">
          <w:rPr>
            <w:noProof/>
            <w:webHidden/>
          </w:rPr>
          <w:tab/>
        </w:r>
        <w:r w:rsidR="0068663E">
          <w:rPr>
            <w:noProof/>
            <w:webHidden/>
          </w:rPr>
          <w:fldChar w:fldCharType="begin"/>
        </w:r>
        <w:r w:rsidR="0068663E">
          <w:rPr>
            <w:noProof/>
            <w:webHidden/>
          </w:rPr>
          <w:instrText xml:space="preserve"> PAGEREF _Toc524603021 \h </w:instrText>
        </w:r>
        <w:r w:rsidR="0068663E">
          <w:rPr>
            <w:noProof/>
            <w:webHidden/>
          </w:rPr>
        </w:r>
        <w:r w:rsidR="0068663E">
          <w:rPr>
            <w:noProof/>
            <w:webHidden/>
          </w:rPr>
          <w:fldChar w:fldCharType="separate"/>
        </w:r>
        <w:r w:rsidR="008D29C7">
          <w:rPr>
            <w:noProof/>
            <w:webHidden/>
          </w:rPr>
          <w:t>56</w:t>
        </w:r>
        <w:r w:rsidR="0068663E">
          <w:rPr>
            <w:noProof/>
            <w:webHidden/>
          </w:rPr>
          <w:fldChar w:fldCharType="end"/>
        </w:r>
      </w:hyperlink>
    </w:p>
    <w:p w14:paraId="31005A71" w14:textId="7D1E4FC8" w:rsidR="0068663E" w:rsidRDefault="00F85DD5">
      <w:pPr>
        <w:pStyle w:val="TOC2"/>
        <w:rPr>
          <w:rFonts w:asciiTheme="minorHAnsi" w:eastAsiaTheme="minorEastAsia" w:hAnsiTheme="minorHAnsi" w:cstheme="minorBidi"/>
          <w:noProof/>
        </w:rPr>
      </w:pPr>
      <w:hyperlink w:anchor="_Toc524603022" w:history="1">
        <w:r w:rsidR="0068663E" w:rsidRPr="00047BE7">
          <w:rPr>
            <w:rStyle w:val="Hyperlink"/>
            <w:noProof/>
          </w:rPr>
          <w:t>MA-20 Condition of Housing – 91.310(a)</w:t>
        </w:r>
        <w:r w:rsidR="0068663E">
          <w:rPr>
            <w:noProof/>
            <w:webHidden/>
          </w:rPr>
          <w:tab/>
        </w:r>
        <w:r w:rsidR="0068663E">
          <w:rPr>
            <w:noProof/>
            <w:webHidden/>
          </w:rPr>
          <w:fldChar w:fldCharType="begin"/>
        </w:r>
        <w:r w:rsidR="0068663E">
          <w:rPr>
            <w:noProof/>
            <w:webHidden/>
          </w:rPr>
          <w:instrText xml:space="preserve"> PAGEREF _Toc524603022 \h </w:instrText>
        </w:r>
        <w:r w:rsidR="0068663E">
          <w:rPr>
            <w:noProof/>
            <w:webHidden/>
          </w:rPr>
        </w:r>
        <w:r w:rsidR="0068663E">
          <w:rPr>
            <w:noProof/>
            <w:webHidden/>
          </w:rPr>
          <w:fldChar w:fldCharType="separate"/>
        </w:r>
        <w:r w:rsidR="008D29C7">
          <w:rPr>
            <w:noProof/>
            <w:webHidden/>
          </w:rPr>
          <w:t>59</w:t>
        </w:r>
        <w:r w:rsidR="0068663E">
          <w:rPr>
            <w:noProof/>
            <w:webHidden/>
          </w:rPr>
          <w:fldChar w:fldCharType="end"/>
        </w:r>
      </w:hyperlink>
    </w:p>
    <w:p w14:paraId="759A81A2" w14:textId="678B1652" w:rsidR="0068663E" w:rsidRDefault="00F85DD5">
      <w:pPr>
        <w:pStyle w:val="TOC2"/>
        <w:rPr>
          <w:rFonts w:asciiTheme="minorHAnsi" w:eastAsiaTheme="minorEastAsia" w:hAnsiTheme="minorHAnsi" w:cstheme="minorBidi"/>
          <w:noProof/>
        </w:rPr>
      </w:pPr>
      <w:hyperlink w:anchor="_Toc524603023" w:history="1">
        <w:r w:rsidR="0068663E" w:rsidRPr="00047BE7">
          <w:rPr>
            <w:rStyle w:val="Hyperlink"/>
            <w:noProof/>
          </w:rPr>
          <w:t>MA-30 Homeless Facilities – 91.310(b)</w:t>
        </w:r>
        <w:r w:rsidR="0068663E">
          <w:rPr>
            <w:noProof/>
            <w:webHidden/>
          </w:rPr>
          <w:tab/>
        </w:r>
        <w:r w:rsidR="0068663E">
          <w:rPr>
            <w:noProof/>
            <w:webHidden/>
          </w:rPr>
          <w:fldChar w:fldCharType="begin"/>
        </w:r>
        <w:r w:rsidR="0068663E">
          <w:rPr>
            <w:noProof/>
            <w:webHidden/>
          </w:rPr>
          <w:instrText xml:space="preserve"> PAGEREF _Toc524603023 \h </w:instrText>
        </w:r>
        <w:r w:rsidR="0068663E">
          <w:rPr>
            <w:noProof/>
            <w:webHidden/>
          </w:rPr>
        </w:r>
        <w:r w:rsidR="0068663E">
          <w:rPr>
            <w:noProof/>
            <w:webHidden/>
          </w:rPr>
          <w:fldChar w:fldCharType="separate"/>
        </w:r>
        <w:r w:rsidR="008D29C7">
          <w:rPr>
            <w:noProof/>
            <w:webHidden/>
          </w:rPr>
          <w:t>64</w:t>
        </w:r>
        <w:r w:rsidR="0068663E">
          <w:rPr>
            <w:noProof/>
            <w:webHidden/>
          </w:rPr>
          <w:fldChar w:fldCharType="end"/>
        </w:r>
      </w:hyperlink>
    </w:p>
    <w:p w14:paraId="436C19DD" w14:textId="178B6564" w:rsidR="0068663E" w:rsidRDefault="00F85DD5">
      <w:pPr>
        <w:pStyle w:val="TOC2"/>
        <w:rPr>
          <w:rFonts w:asciiTheme="minorHAnsi" w:eastAsiaTheme="minorEastAsia" w:hAnsiTheme="minorHAnsi" w:cstheme="minorBidi"/>
          <w:noProof/>
        </w:rPr>
      </w:pPr>
      <w:hyperlink w:anchor="_Toc524603024" w:history="1">
        <w:r w:rsidR="0068663E" w:rsidRPr="00047BE7">
          <w:rPr>
            <w:rStyle w:val="Hyperlink"/>
            <w:noProof/>
          </w:rPr>
          <w:t>MA-35 Special Needs Facilities and Services – 91.310(c)</w:t>
        </w:r>
        <w:r w:rsidR="0068663E">
          <w:rPr>
            <w:noProof/>
            <w:webHidden/>
          </w:rPr>
          <w:tab/>
        </w:r>
        <w:r w:rsidR="0068663E">
          <w:rPr>
            <w:noProof/>
            <w:webHidden/>
          </w:rPr>
          <w:fldChar w:fldCharType="begin"/>
        </w:r>
        <w:r w:rsidR="0068663E">
          <w:rPr>
            <w:noProof/>
            <w:webHidden/>
          </w:rPr>
          <w:instrText xml:space="preserve"> PAGEREF _Toc524603024 \h </w:instrText>
        </w:r>
        <w:r w:rsidR="0068663E">
          <w:rPr>
            <w:noProof/>
            <w:webHidden/>
          </w:rPr>
        </w:r>
        <w:r w:rsidR="0068663E">
          <w:rPr>
            <w:noProof/>
            <w:webHidden/>
          </w:rPr>
          <w:fldChar w:fldCharType="separate"/>
        </w:r>
        <w:r w:rsidR="008D29C7">
          <w:rPr>
            <w:noProof/>
            <w:webHidden/>
          </w:rPr>
          <w:t>67</w:t>
        </w:r>
        <w:r w:rsidR="0068663E">
          <w:rPr>
            <w:noProof/>
            <w:webHidden/>
          </w:rPr>
          <w:fldChar w:fldCharType="end"/>
        </w:r>
      </w:hyperlink>
    </w:p>
    <w:p w14:paraId="2529106C" w14:textId="52E3DD3D" w:rsidR="0068663E" w:rsidRDefault="00F85DD5">
      <w:pPr>
        <w:pStyle w:val="TOC2"/>
        <w:rPr>
          <w:rFonts w:asciiTheme="minorHAnsi" w:eastAsiaTheme="minorEastAsia" w:hAnsiTheme="minorHAnsi" w:cstheme="minorBidi"/>
          <w:noProof/>
        </w:rPr>
      </w:pPr>
      <w:hyperlink w:anchor="_Toc524603025" w:history="1">
        <w:r w:rsidR="0068663E" w:rsidRPr="00047BE7">
          <w:rPr>
            <w:rStyle w:val="Hyperlink"/>
            <w:noProof/>
          </w:rPr>
          <w:t>MA-40 Barriers to Affordable Housing – 91.310(d)</w:t>
        </w:r>
        <w:r w:rsidR="0068663E">
          <w:rPr>
            <w:noProof/>
            <w:webHidden/>
          </w:rPr>
          <w:tab/>
        </w:r>
        <w:r w:rsidR="0068663E">
          <w:rPr>
            <w:noProof/>
            <w:webHidden/>
          </w:rPr>
          <w:fldChar w:fldCharType="begin"/>
        </w:r>
        <w:r w:rsidR="0068663E">
          <w:rPr>
            <w:noProof/>
            <w:webHidden/>
          </w:rPr>
          <w:instrText xml:space="preserve"> PAGEREF _Toc524603025 \h </w:instrText>
        </w:r>
        <w:r w:rsidR="0068663E">
          <w:rPr>
            <w:noProof/>
            <w:webHidden/>
          </w:rPr>
        </w:r>
        <w:r w:rsidR="0068663E">
          <w:rPr>
            <w:noProof/>
            <w:webHidden/>
          </w:rPr>
          <w:fldChar w:fldCharType="separate"/>
        </w:r>
        <w:r w:rsidR="008D29C7">
          <w:rPr>
            <w:noProof/>
            <w:webHidden/>
          </w:rPr>
          <w:t>69</w:t>
        </w:r>
        <w:r w:rsidR="0068663E">
          <w:rPr>
            <w:noProof/>
            <w:webHidden/>
          </w:rPr>
          <w:fldChar w:fldCharType="end"/>
        </w:r>
      </w:hyperlink>
    </w:p>
    <w:p w14:paraId="3367D09C" w14:textId="67B5BDD5" w:rsidR="0068663E" w:rsidRDefault="00F85DD5">
      <w:pPr>
        <w:pStyle w:val="TOC2"/>
        <w:rPr>
          <w:rFonts w:asciiTheme="minorHAnsi" w:eastAsiaTheme="minorEastAsia" w:hAnsiTheme="minorHAnsi" w:cstheme="minorBidi"/>
          <w:noProof/>
        </w:rPr>
      </w:pPr>
      <w:hyperlink w:anchor="_Toc524603026" w:history="1">
        <w:r w:rsidR="0068663E" w:rsidRPr="00047BE7">
          <w:rPr>
            <w:rStyle w:val="Hyperlink"/>
            <w:noProof/>
          </w:rPr>
          <w:t>MA-45 Non-Housing Community Development Assets -91.315(f)</w:t>
        </w:r>
        <w:r w:rsidR="0068663E">
          <w:rPr>
            <w:noProof/>
            <w:webHidden/>
          </w:rPr>
          <w:tab/>
        </w:r>
        <w:r w:rsidR="0068663E">
          <w:rPr>
            <w:noProof/>
            <w:webHidden/>
          </w:rPr>
          <w:fldChar w:fldCharType="begin"/>
        </w:r>
        <w:r w:rsidR="0068663E">
          <w:rPr>
            <w:noProof/>
            <w:webHidden/>
          </w:rPr>
          <w:instrText xml:space="preserve"> PAGEREF _Toc524603026 \h </w:instrText>
        </w:r>
        <w:r w:rsidR="0068663E">
          <w:rPr>
            <w:noProof/>
            <w:webHidden/>
          </w:rPr>
        </w:r>
        <w:r w:rsidR="0068663E">
          <w:rPr>
            <w:noProof/>
            <w:webHidden/>
          </w:rPr>
          <w:fldChar w:fldCharType="separate"/>
        </w:r>
        <w:r w:rsidR="008D29C7">
          <w:rPr>
            <w:noProof/>
            <w:webHidden/>
          </w:rPr>
          <w:t>70</w:t>
        </w:r>
        <w:r w:rsidR="0068663E">
          <w:rPr>
            <w:noProof/>
            <w:webHidden/>
          </w:rPr>
          <w:fldChar w:fldCharType="end"/>
        </w:r>
      </w:hyperlink>
    </w:p>
    <w:p w14:paraId="30BAAE30" w14:textId="424ECCC7" w:rsidR="0068663E" w:rsidRDefault="00F85DD5">
      <w:pPr>
        <w:pStyle w:val="TOC2"/>
        <w:rPr>
          <w:rFonts w:asciiTheme="minorHAnsi" w:eastAsiaTheme="minorEastAsia" w:hAnsiTheme="minorHAnsi" w:cstheme="minorBidi"/>
          <w:noProof/>
        </w:rPr>
      </w:pPr>
      <w:hyperlink w:anchor="_Toc524603027" w:history="1">
        <w:r w:rsidR="0068663E" w:rsidRPr="00047BE7">
          <w:rPr>
            <w:rStyle w:val="Hyperlink"/>
            <w:noProof/>
          </w:rPr>
          <w:t>MA-50 Needs and Market Analysis Discussion</w:t>
        </w:r>
        <w:r w:rsidR="0068663E">
          <w:rPr>
            <w:noProof/>
            <w:webHidden/>
          </w:rPr>
          <w:tab/>
        </w:r>
        <w:r w:rsidR="0068663E">
          <w:rPr>
            <w:noProof/>
            <w:webHidden/>
          </w:rPr>
          <w:fldChar w:fldCharType="begin"/>
        </w:r>
        <w:r w:rsidR="0068663E">
          <w:rPr>
            <w:noProof/>
            <w:webHidden/>
          </w:rPr>
          <w:instrText xml:space="preserve"> PAGEREF _Toc524603027 \h </w:instrText>
        </w:r>
        <w:r w:rsidR="0068663E">
          <w:rPr>
            <w:noProof/>
            <w:webHidden/>
          </w:rPr>
        </w:r>
        <w:r w:rsidR="0068663E">
          <w:rPr>
            <w:noProof/>
            <w:webHidden/>
          </w:rPr>
          <w:fldChar w:fldCharType="separate"/>
        </w:r>
        <w:r w:rsidR="008D29C7">
          <w:rPr>
            <w:noProof/>
            <w:webHidden/>
          </w:rPr>
          <w:t>77</w:t>
        </w:r>
        <w:r w:rsidR="0068663E">
          <w:rPr>
            <w:noProof/>
            <w:webHidden/>
          </w:rPr>
          <w:fldChar w:fldCharType="end"/>
        </w:r>
      </w:hyperlink>
    </w:p>
    <w:p w14:paraId="04B94627" w14:textId="3C7855D9" w:rsidR="0068663E" w:rsidRDefault="00F85DD5">
      <w:pPr>
        <w:pStyle w:val="TOC1"/>
        <w:rPr>
          <w:rFonts w:asciiTheme="minorHAnsi" w:eastAsiaTheme="minorEastAsia" w:hAnsiTheme="minorHAnsi" w:cstheme="minorBidi"/>
          <w:b w:val="0"/>
          <w:sz w:val="22"/>
        </w:rPr>
      </w:pPr>
      <w:hyperlink w:anchor="_Toc524603028" w:history="1">
        <w:r w:rsidR="0068663E" w:rsidRPr="00047BE7">
          <w:rPr>
            <w:rStyle w:val="Hyperlink"/>
          </w:rPr>
          <w:t>Strategic Plan</w:t>
        </w:r>
        <w:r w:rsidR="0068663E">
          <w:rPr>
            <w:webHidden/>
          </w:rPr>
          <w:tab/>
        </w:r>
        <w:r w:rsidR="0068663E">
          <w:rPr>
            <w:webHidden/>
          </w:rPr>
          <w:fldChar w:fldCharType="begin"/>
        </w:r>
        <w:r w:rsidR="0068663E">
          <w:rPr>
            <w:webHidden/>
          </w:rPr>
          <w:instrText xml:space="preserve"> PAGEREF _Toc524603028 \h </w:instrText>
        </w:r>
        <w:r w:rsidR="0068663E">
          <w:rPr>
            <w:webHidden/>
          </w:rPr>
        </w:r>
        <w:r w:rsidR="0068663E">
          <w:rPr>
            <w:webHidden/>
          </w:rPr>
          <w:fldChar w:fldCharType="separate"/>
        </w:r>
        <w:r w:rsidR="008D29C7">
          <w:rPr>
            <w:webHidden/>
          </w:rPr>
          <w:t>79</w:t>
        </w:r>
        <w:r w:rsidR="0068663E">
          <w:rPr>
            <w:webHidden/>
          </w:rPr>
          <w:fldChar w:fldCharType="end"/>
        </w:r>
      </w:hyperlink>
    </w:p>
    <w:p w14:paraId="52C4EA0F" w14:textId="7158EC18" w:rsidR="0068663E" w:rsidRDefault="00F85DD5">
      <w:pPr>
        <w:pStyle w:val="TOC2"/>
        <w:rPr>
          <w:rFonts w:asciiTheme="minorHAnsi" w:eastAsiaTheme="minorEastAsia" w:hAnsiTheme="minorHAnsi" w:cstheme="minorBidi"/>
          <w:noProof/>
        </w:rPr>
      </w:pPr>
      <w:hyperlink w:anchor="_Toc524603029" w:history="1">
        <w:r w:rsidR="0068663E" w:rsidRPr="00047BE7">
          <w:rPr>
            <w:rStyle w:val="Hyperlink"/>
            <w:noProof/>
          </w:rPr>
          <w:t>SP-05 Overview</w:t>
        </w:r>
        <w:r w:rsidR="0068663E">
          <w:rPr>
            <w:noProof/>
            <w:webHidden/>
          </w:rPr>
          <w:tab/>
        </w:r>
        <w:r w:rsidR="0068663E">
          <w:rPr>
            <w:noProof/>
            <w:webHidden/>
          </w:rPr>
          <w:fldChar w:fldCharType="begin"/>
        </w:r>
        <w:r w:rsidR="0068663E">
          <w:rPr>
            <w:noProof/>
            <w:webHidden/>
          </w:rPr>
          <w:instrText xml:space="preserve"> PAGEREF _Toc524603029 \h </w:instrText>
        </w:r>
        <w:r w:rsidR="0068663E">
          <w:rPr>
            <w:noProof/>
            <w:webHidden/>
          </w:rPr>
        </w:r>
        <w:r w:rsidR="0068663E">
          <w:rPr>
            <w:noProof/>
            <w:webHidden/>
          </w:rPr>
          <w:fldChar w:fldCharType="separate"/>
        </w:r>
        <w:r w:rsidR="008D29C7">
          <w:rPr>
            <w:noProof/>
            <w:webHidden/>
          </w:rPr>
          <w:t>79</w:t>
        </w:r>
        <w:r w:rsidR="0068663E">
          <w:rPr>
            <w:noProof/>
            <w:webHidden/>
          </w:rPr>
          <w:fldChar w:fldCharType="end"/>
        </w:r>
      </w:hyperlink>
    </w:p>
    <w:p w14:paraId="67541B83" w14:textId="2030AF58" w:rsidR="0068663E" w:rsidRDefault="00F85DD5">
      <w:pPr>
        <w:pStyle w:val="TOC2"/>
        <w:rPr>
          <w:rFonts w:asciiTheme="minorHAnsi" w:eastAsiaTheme="minorEastAsia" w:hAnsiTheme="minorHAnsi" w:cstheme="minorBidi"/>
          <w:noProof/>
        </w:rPr>
      </w:pPr>
      <w:hyperlink w:anchor="_Toc524603030" w:history="1">
        <w:r w:rsidR="0068663E" w:rsidRPr="00047BE7">
          <w:rPr>
            <w:rStyle w:val="Hyperlink"/>
            <w:noProof/>
          </w:rPr>
          <w:t>SP-10 Geographic Priorities – 91.315(a)(1)</w:t>
        </w:r>
        <w:r w:rsidR="0068663E">
          <w:rPr>
            <w:noProof/>
            <w:webHidden/>
          </w:rPr>
          <w:tab/>
        </w:r>
        <w:r w:rsidR="0068663E">
          <w:rPr>
            <w:noProof/>
            <w:webHidden/>
          </w:rPr>
          <w:fldChar w:fldCharType="begin"/>
        </w:r>
        <w:r w:rsidR="0068663E">
          <w:rPr>
            <w:noProof/>
            <w:webHidden/>
          </w:rPr>
          <w:instrText xml:space="preserve"> PAGEREF _Toc524603030 \h </w:instrText>
        </w:r>
        <w:r w:rsidR="0068663E">
          <w:rPr>
            <w:noProof/>
            <w:webHidden/>
          </w:rPr>
        </w:r>
        <w:r w:rsidR="0068663E">
          <w:rPr>
            <w:noProof/>
            <w:webHidden/>
          </w:rPr>
          <w:fldChar w:fldCharType="separate"/>
        </w:r>
        <w:r w:rsidR="008D29C7">
          <w:rPr>
            <w:noProof/>
            <w:webHidden/>
          </w:rPr>
          <w:t>81</w:t>
        </w:r>
        <w:r w:rsidR="0068663E">
          <w:rPr>
            <w:noProof/>
            <w:webHidden/>
          </w:rPr>
          <w:fldChar w:fldCharType="end"/>
        </w:r>
      </w:hyperlink>
    </w:p>
    <w:p w14:paraId="20B0572B" w14:textId="17DC9476" w:rsidR="0068663E" w:rsidRDefault="00F85DD5">
      <w:pPr>
        <w:pStyle w:val="TOC2"/>
        <w:rPr>
          <w:rFonts w:asciiTheme="minorHAnsi" w:eastAsiaTheme="minorEastAsia" w:hAnsiTheme="minorHAnsi" w:cstheme="minorBidi"/>
          <w:noProof/>
        </w:rPr>
      </w:pPr>
      <w:hyperlink w:anchor="_Toc524603031" w:history="1">
        <w:r w:rsidR="0068663E" w:rsidRPr="00047BE7">
          <w:rPr>
            <w:rStyle w:val="Hyperlink"/>
            <w:noProof/>
          </w:rPr>
          <w:t>SP-25 Priority Needs – 91.315(a)(2)</w:t>
        </w:r>
        <w:r w:rsidR="0068663E">
          <w:rPr>
            <w:noProof/>
            <w:webHidden/>
          </w:rPr>
          <w:tab/>
        </w:r>
        <w:r w:rsidR="0068663E">
          <w:rPr>
            <w:noProof/>
            <w:webHidden/>
          </w:rPr>
          <w:fldChar w:fldCharType="begin"/>
        </w:r>
        <w:r w:rsidR="0068663E">
          <w:rPr>
            <w:noProof/>
            <w:webHidden/>
          </w:rPr>
          <w:instrText xml:space="preserve"> PAGEREF _Toc524603031 \h </w:instrText>
        </w:r>
        <w:r w:rsidR="0068663E">
          <w:rPr>
            <w:noProof/>
            <w:webHidden/>
          </w:rPr>
        </w:r>
        <w:r w:rsidR="0068663E">
          <w:rPr>
            <w:noProof/>
            <w:webHidden/>
          </w:rPr>
          <w:fldChar w:fldCharType="separate"/>
        </w:r>
        <w:r w:rsidR="008D29C7">
          <w:rPr>
            <w:noProof/>
            <w:webHidden/>
          </w:rPr>
          <w:t>83</w:t>
        </w:r>
        <w:r w:rsidR="0068663E">
          <w:rPr>
            <w:noProof/>
            <w:webHidden/>
          </w:rPr>
          <w:fldChar w:fldCharType="end"/>
        </w:r>
      </w:hyperlink>
    </w:p>
    <w:p w14:paraId="280CD9A6" w14:textId="7C936810" w:rsidR="0068663E" w:rsidRDefault="00F85DD5">
      <w:pPr>
        <w:pStyle w:val="TOC2"/>
        <w:rPr>
          <w:rFonts w:asciiTheme="minorHAnsi" w:eastAsiaTheme="minorEastAsia" w:hAnsiTheme="minorHAnsi" w:cstheme="minorBidi"/>
          <w:noProof/>
        </w:rPr>
      </w:pPr>
      <w:hyperlink w:anchor="_Toc524603032" w:history="1">
        <w:r w:rsidR="0068663E" w:rsidRPr="00047BE7">
          <w:rPr>
            <w:rStyle w:val="Hyperlink"/>
            <w:noProof/>
          </w:rPr>
          <w:t>SP-30 Influence of Market Conditions – 91.315(b)</w:t>
        </w:r>
        <w:r w:rsidR="0068663E">
          <w:rPr>
            <w:noProof/>
            <w:webHidden/>
          </w:rPr>
          <w:tab/>
        </w:r>
        <w:r w:rsidR="0068663E">
          <w:rPr>
            <w:noProof/>
            <w:webHidden/>
          </w:rPr>
          <w:fldChar w:fldCharType="begin"/>
        </w:r>
        <w:r w:rsidR="0068663E">
          <w:rPr>
            <w:noProof/>
            <w:webHidden/>
          </w:rPr>
          <w:instrText xml:space="preserve"> PAGEREF _Toc524603032 \h </w:instrText>
        </w:r>
        <w:r w:rsidR="0068663E">
          <w:rPr>
            <w:noProof/>
            <w:webHidden/>
          </w:rPr>
        </w:r>
        <w:r w:rsidR="0068663E">
          <w:rPr>
            <w:noProof/>
            <w:webHidden/>
          </w:rPr>
          <w:fldChar w:fldCharType="separate"/>
        </w:r>
        <w:r w:rsidR="008D29C7">
          <w:rPr>
            <w:noProof/>
            <w:webHidden/>
          </w:rPr>
          <w:t>89</w:t>
        </w:r>
        <w:r w:rsidR="0068663E">
          <w:rPr>
            <w:noProof/>
            <w:webHidden/>
          </w:rPr>
          <w:fldChar w:fldCharType="end"/>
        </w:r>
      </w:hyperlink>
    </w:p>
    <w:p w14:paraId="100684A8" w14:textId="74FA9970" w:rsidR="0068663E" w:rsidRDefault="00F85DD5">
      <w:pPr>
        <w:pStyle w:val="TOC2"/>
        <w:rPr>
          <w:rFonts w:asciiTheme="minorHAnsi" w:eastAsiaTheme="minorEastAsia" w:hAnsiTheme="minorHAnsi" w:cstheme="minorBidi"/>
          <w:noProof/>
        </w:rPr>
      </w:pPr>
      <w:hyperlink w:anchor="_Toc524603033" w:history="1">
        <w:r w:rsidR="0068663E" w:rsidRPr="00047BE7">
          <w:rPr>
            <w:rStyle w:val="Hyperlink"/>
            <w:noProof/>
          </w:rPr>
          <w:t>SP-35 Anticipated Resources - 91.315(a)(4), 91.320(c)(1,2)</w:t>
        </w:r>
        <w:r w:rsidR="0068663E">
          <w:rPr>
            <w:noProof/>
            <w:webHidden/>
          </w:rPr>
          <w:tab/>
        </w:r>
        <w:r w:rsidR="0068663E">
          <w:rPr>
            <w:noProof/>
            <w:webHidden/>
          </w:rPr>
          <w:fldChar w:fldCharType="begin"/>
        </w:r>
        <w:r w:rsidR="0068663E">
          <w:rPr>
            <w:noProof/>
            <w:webHidden/>
          </w:rPr>
          <w:instrText xml:space="preserve"> PAGEREF _Toc524603033 \h </w:instrText>
        </w:r>
        <w:r w:rsidR="0068663E">
          <w:rPr>
            <w:noProof/>
            <w:webHidden/>
          </w:rPr>
        </w:r>
        <w:r w:rsidR="0068663E">
          <w:rPr>
            <w:noProof/>
            <w:webHidden/>
          </w:rPr>
          <w:fldChar w:fldCharType="separate"/>
        </w:r>
        <w:r w:rsidR="008D29C7">
          <w:rPr>
            <w:noProof/>
            <w:webHidden/>
          </w:rPr>
          <w:t>92</w:t>
        </w:r>
        <w:r w:rsidR="0068663E">
          <w:rPr>
            <w:noProof/>
            <w:webHidden/>
          </w:rPr>
          <w:fldChar w:fldCharType="end"/>
        </w:r>
      </w:hyperlink>
    </w:p>
    <w:p w14:paraId="651BE238" w14:textId="61D277E2" w:rsidR="0068663E" w:rsidRDefault="00F85DD5">
      <w:pPr>
        <w:pStyle w:val="TOC2"/>
        <w:rPr>
          <w:rFonts w:asciiTheme="minorHAnsi" w:eastAsiaTheme="minorEastAsia" w:hAnsiTheme="minorHAnsi" w:cstheme="minorBidi"/>
          <w:noProof/>
        </w:rPr>
      </w:pPr>
      <w:hyperlink w:anchor="_Toc524603034" w:history="1">
        <w:r w:rsidR="0068663E" w:rsidRPr="00047BE7">
          <w:rPr>
            <w:rStyle w:val="Hyperlink"/>
            <w:noProof/>
          </w:rPr>
          <w:t>SP-40 Institutional Delivery Structure – 91.315(k)</w:t>
        </w:r>
        <w:r w:rsidR="0068663E">
          <w:rPr>
            <w:noProof/>
            <w:webHidden/>
          </w:rPr>
          <w:tab/>
        </w:r>
        <w:r w:rsidR="0068663E">
          <w:rPr>
            <w:noProof/>
            <w:webHidden/>
          </w:rPr>
          <w:fldChar w:fldCharType="begin"/>
        </w:r>
        <w:r w:rsidR="0068663E">
          <w:rPr>
            <w:noProof/>
            <w:webHidden/>
          </w:rPr>
          <w:instrText xml:space="preserve"> PAGEREF _Toc524603034 \h </w:instrText>
        </w:r>
        <w:r w:rsidR="0068663E">
          <w:rPr>
            <w:noProof/>
            <w:webHidden/>
          </w:rPr>
        </w:r>
        <w:r w:rsidR="0068663E">
          <w:rPr>
            <w:noProof/>
            <w:webHidden/>
          </w:rPr>
          <w:fldChar w:fldCharType="separate"/>
        </w:r>
        <w:r w:rsidR="008D29C7">
          <w:rPr>
            <w:noProof/>
            <w:webHidden/>
          </w:rPr>
          <w:t>97</w:t>
        </w:r>
        <w:r w:rsidR="0068663E">
          <w:rPr>
            <w:noProof/>
            <w:webHidden/>
          </w:rPr>
          <w:fldChar w:fldCharType="end"/>
        </w:r>
      </w:hyperlink>
    </w:p>
    <w:p w14:paraId="79C2593B" w14:textId="664AD83E" w:rsidR="0068663E" w:rsidRDefault="00F85DD5">
      <w:pPr>
        <w:pStyle w:val="TOC2"/>
        <w:rPr>
          <w:rFonts w:asciiTheme="minorHAnsi" w:eastAsiaTheme="minorEastAsia" w:hAnsiTheme="minorHAnsi" w:cstheme="minorBidi"/>
          <w:noProof/>
        </w:rPr>
      </w:pPr>
      <w:hyperlink w:anchor="_Toc524603035" w:history="1">
        <w:r w:rsidR="0068663E" w:rsidRPr="00047BE7">
          <w:rPr>
            <w:rStyle w:val="Hyperlink"/>
            <w:noProof/>
          </w:rPr>
          <w:t>SP-45 Goals Summary – 91.315(a)(4)</w:t>
        </w:r>
        <w:r w:rsidR="0068663E">
          <w:rPr>
            <w:noProof/>
            <w:webHidden/>
          </w:rPr>
          <w:tab/>
        </w:r>
        <w:r w:rsidR="0068663E">
          <w:rPr>
            <w:noProof/>
            <w:webHidden/>
          </w:rPr>
          <w:fldChar w:fldCharType="begin"/>
        </w:r>
        <w:r w:rsidR="0068663E">
          <w:rPr>
            <w:noProof/>
            <w:webHidden/>
          </w:rPr>
          <w:instrText xml:space="preserve"> PAGEREF _Toc524603035 \h </w:instrText>
        </w:r>
        <w:r w:rsidR="0068663E">
          <w:rPr>
            <w:noProof/>
            <w:webHidden/>
          </w:rPr>
        </w:r>
        <w:r w:rsidR="0068663E">
          <w:rPr>
            <w:noProof/>
            <w:webHidden/>
          </w:rPr>
          <w:fldChar w:fldCharType="separate"/>
        </w:r>
        <w:r w:rsidR="008D29C7">
          <w:rPr>
            <w:noProof/>
            <w:webHidden/>
          </w:rPr>
          <w:t>103</w:t>
        </w:r>
        <w:r w:rsidR="0068663E">
          <w:rPr>
            <w:noProof/>
            <w:webHidden/>
          </w:rPr>
          <w:fldChar w:fldCharType="end"/>
        </w:r>
      </w:hyperlink>
    </w:p>
    <w:p w14:paraId="2FE612F0" w14:textId="79262602" w:rsidR="0068663E" w:rsidRDefault="00F85DD5">
      <w:pPr>
        <w:pStyle w:val="TOC2"/>
        <w:rPr>
          <w:rFonts w:asciiTheme="minorHAnsi" w:eastAsiaTheme="minorEastAsia" w:hAnsiTheme="minorHAnsi" w:cstheme="minorBidi"/>
          <w:noProof/>
        </w:rPr>
      </w:pPr>
      <w:hyperlink w:anchor="_Toc524603036" w:history="1">
        <w:r w:rsidR="0068663E" w:rsidRPr="00047BE7">
          <w:rPr>
            <w:rStyle w:val="Hyperlink"/>
            <w:noProof/>
          </w:rPr>
          <w:t>SP-50 Public Housing Accessibility and Involvement – 91.315(c)</w:t>
        </w:r>
        <w:r w:rsidR="0068663E">
          <w:rPr>
            <w:noProof/>
            <w:webHidden/>
          </w:rPr>
          <w:tab/>
        </w:r>
        <w:r w:rsidR="0068663E">
          <w:rPr>
            <w:noProof/>
            <w:webHidden/>
          </w:rPr>
          <w:fldChar w:fldCharType="begin"/>
        </w:r>
        <w:r w:rsidR="0068663E">
          <w:rPr>
            <w:noProof/>
            <w:webHidden/>
          </w:rPr>
          <w:instrText xml:space="preserve"> PAGEREF _Toc524603036 \h </w:instrText>
        </w:r>
        <w:r w:rsidR="0068663E">
          <w:rPr>
            <w:noProof/>
            <w:webHidden/>
          </w:rPr>
        </w:r>
        <w:r w:rsidR="0068663E">
          <w:rPr>
            <w:noProof/>
            <w:webHidden/>
          </w:rPr>
          <w:fldChar w:fldCharType="separate"/>
        </w:r>
        <w:r w:rsidR="008D29C7">
          <w:rPr>
            <w:noProof/>
            <w:webHidden/>
          </w:rPr>
          <w:t>111</w:t>
        </w:r>
        <w:r w:rsidR="0068663E">
          <w:rPr>
            <w:noProof/>
            <w:webHidden/>
          </w:rPr>
          <w:fldChar w:fldCharType="end"/>
        </w:r>
      </w:hyperlink>
    </w:p>
    <w:p w14:paraId="2871473F" w14:textId="0C997F6A" w:rsidR="0068663E" w:rsidRDefault="00F85DD5">
      <w:pPr>
        <w:pStyle w:val="TOC2"/>
        <w:rPr>
          <w:rFonts w:asciiTheme="minorHAnsi" w:eastAsiaTheme="minorEastAsia" w:hAnsiTheme="minorHAnsi" w:cstheme="minorBidi"/>
          <w:noProof/>
        </w:rPr>
      </w:pPr>
      <w:hyperlink w:anchor="_Toc524603037" w:history="1">
        <w:r w:rsidR="0068663E" w:rsidRPr="00047BE7">
          <w:rPr>
            <w:rStyle w:val="Hyperlink"/>
            <w:noProof/>
          </w:rPr>
          <w:t>SP-55 Barriers to affordable housing – 91.315(h)</w:t>
        </w:r>
        <w:r w:rsidR="0068663E">
          <w:rPr>
            <w:noProof/>
            <w:webHidden/>
          </w:rPr>
          <w:tab/>
        </w:r>
        <w:r w:rsidR="0068663E">
          <w:rPr>
            <w:noProof/>
            <w:webHidden/>
          </w:rPr>
          <w:fldChar w:fldCharType="begin"/>
        </w:r>
        <w:r w:rsidR="0068663E">
          <w:rPr>
            <w:noProof/>
            <w:webHidden/>
          </w:rPr>
          <w:instrText xml:space="preserve"> PAGEREF _Toc524603037 \h </w:instrText>
        </w:r>
        <w:r w:rsidR="0068663E">
          <w:rPr>
            <w:noProof/>
            <w:webHidden/>
          </w:rPr>
        </w:r>
        <w:r w:rsidR="0068663E">
          <w:rPr>
            <w:noProof/>
            <w:webHidden/>
          </w:rPr>
          <w:fldChar w:fldCharType="separate"/>
        </w:r>
        <w:r w:rsidR="008D29C7">
          <w:rPr>
            <w:noProof/>
            <w:webHidden/>
          </w:rPr>
          <w:t>112</w:t>
        </w:r>
        <w:r w:rsidR="0068663E">
          <w:rPr>
            <w:noProof/>
            <w:webHidden/>
          </w:rPr>
          <w:fldChar w:fldCharType="end"/>
        </w:r>
      </w:hyperlink>
    </w:p>
    <w:p w14:paraId="1CC70F5C" w14:textId="2AF78D5A" w:rsidR="0068663E" w:rsidRDefault="00F85DD5">
      <w:pPr>
        <w:pStyle w:val="TOC2"/>
        <w:rPr>
          <w:rFonts w:asciiTheme="minorHAnsi" w:eastAsiaTheme="minorEastAsia" w:hAnsiTheme="minorHAnsi" w:cstheme="minorBidi"/>
          <w:noProof/>
        </w:rPr>
      </w:pPr>
      <w:hyperlink w:anchor="_Toc524603038" w:history="1">
        <w:r w:rsidR="0068663E" w:rsidRPr="00047BE7">
          <w:rPr>
            <w:rStyle w:val="Hyperlink"/>
            <w:noProof/>
          </w:rPr>
          <w:t>SP-60 Homelessness Strategy – 91.315(d)</w:t>
        </w:r>
        <w:r w:rsidR="0068663E">
          <w:rPr>
            <w:noProof/>
            <w:webHidden/>
          </w:rPr>
          <w:tab/>
        </w:r>
        <w:r w:rsidR="0068663E">
          <w:rPr>
            <w:noProof/>
            <w:webHidden/>
          </w:rPr>
          <w:fldChar w:fldCharType="begin"/>
        </w:r>
        <w:r w:rsidR="0068663E">
          <w:rPr>
            <w:noProof/>
            <w:webHidden/>
          </w:rPr>
          <w:instrText xml:space="preserve"> PAGEREF _Toc524603038 \h </w:instrText>
        </w:r>
        <w:r w:rsidR="0068663E">
          <w:rPr>
            <w:noProof/>
            <w:webHidden/>
          </w:rPr>
        </w:r>
        <w:r w:rsidR="0068663E">
          <w:rPr>
            <w:noProof/>
            <w:webHidden/>
          </w:rPr>
          <w:fldChar w:fldCharType="separate"/>
        </w:r>
        <w:r w:rsidR="008D29C7">
          <w:rPr>
            <w:noProof/>
            <w:webHidden/>
          </w:rPr>
          <w:t>116</w:t>
        </w:r>
        <w:r w:rsidR="0068663E">
          <w:rPr>
            <w:noProof/>
            <w:webHidden/>
          </w:rPr>
          <w:fldChar w:fldCharType="end"/>
        </w:r>
      </w:hyperlink>
    </w:p>
    <w:p w14:paraId="1BA4FD3D" w14:textId="09BD4832" w:rsidR="0068663E" w:rsidRDefault="00F85DD5">
      <w:pPr>
        <w:pStyle w:val="TOC2"/>
        <w:rPr>
          <w:rFonts w:asciiTheme="minorHAnsi" w:eastAsiaTheme="minorEastAsia" w:hAnsiTheme="minorHAnsi" w:cstheme="minorBidi"/>
          <w:noProof/>
        </w:rPr>
      </w:pPr>
      <w:hyperlink w:anchor="_Toc524603039" w:history="1">
        <w:r w:rsidR="0068663E" w:rsidRPr="00047BE7">
          <w:rPr>
            <w:rStyle w:val="Hyperlink"/>
            <w:noProof/>
          </w:rPr>
          <w:t>SP-65 Lead based paint Hazards – 91.315(i)</w:t>
        </w:r>
        <w:r w:rsidR="0068663E">
          <w:rPr>
            <w:noProof/>
            <w:webHidden/>
          </w:rPr>
          <w:tab/>
        </w:r>
        <w:r w:rsidR="0068663E">
          <w:rPr>
            <w:noProof/>
            <w:webHidden/>
          </w:rPr>
          <w:fldChar w:fldCharType="begin"/>
        </w:r>
        <w:r w:rsidR="0068663E">
          <w:rPr>
            <w:noProof/>
            <w:webHidden/>
          </w:rPr>
          <w:instrText xml:space="preserve"> PAGEREF _Toc524603039 \h </w:instrText>
        </w:r>
        <w:r w:rsidR="0068663E">
          <w:rPr>
            <w:noProof/>
            <w:webHidden/>
          </w:rPr>
        </w:r>
        <w:r w:rsidR="0068663E">
          <w:rPr>
            <w:noProof/>
            <w:webHidden/>
          </w:rPr>
          <w:fldChar w:fldCharType="separate"/>
        </w:r>
        <w:r w:rsidR="008D29C7">
          <w:rPr>
            <w:noProof/>
            <w:webHidden/>
          </w:rPr>
          <w:t>120</w:t>
        </w:r>
        <w:r w:rsidR="0068663E">
          <w:rPr>
            <w:noProof/>
            <w:webHidden/>
          </w:rPr>
          <w:fldChar w:fldCharType="end"/>
        </w:r>
      </w:hyperlink>
    </w:p>
    <w:p w14:paraId="2393C535" w14:textId="0A53539A" w:rsidR="0068663E" w:rsidRDefault="00F85DD5">
      <w:pPr>
        <w:pStyle w:val="TOC2"/>
        <w:rPr>
          <w:rFonts w:asciiTheme="minorHAnsi" w:eastAsiaTheme="minorEastAsia" w:hAnsiTheme="minorHAnsi" w:cstheme="minorBidi"/>
          <w:noProof/>
        </w:rPr>
      </w:pPr>
      <w:hyperlink w:anchor="_Toc524603040" w:history="1">
        <w:r w:rsidR="0068663E" w:rsidRPr="00047BE7">
          <w:rPr>
            <w:rStyle w:val="Hyperlink"/>
            <w:noProof/>
          </w:rPr>
          <w:t>SP-70 Anti-Poverty Strategy – 91.315(j)</w:t>
        </w:r>
        <w:r w:rsidR="0068663E">
          <w:rPr>
            <w:noProof/>
            <w:webHidden/>
          </w:rPr>
          <w:tab/>
        </w:r>
        <w:r w:rsidR="0068663E">
          <w:rPr>
            <w:noProof/>
            <w:webHidden/>
          </w:rPr>
          <w:fldChar w:fldCharType="begin"/>
        </w:r>
        <w:r w:rsidR="0068663E">
          <w:rPr>
            <w:noProof/>
            <w:webHidden/>
          </w:rPr>
          <w:instrText xml:space="preserve"> PAGEREF _Toc524603040 \h </w:instrText>
        </w:r>
        <w:r w:rsidR="0068663E">
          <w:rPr>
            <w:noProof/>
            <w:webHidden/>
          </w:rPr>
        </w:r>
        <w:r w:rsidR="0068663E">
          <w:rPr>
            <w:noProof/>
            <w:webHidden/>
          </w:rPr>
          <w:fldChar w:fldCharType="separate"/>
        </w:r>
        <w:r w:rsidR="008D29C7">
          <w:rPr>
            <w:noProof/>
            <w:webHidden/>
          </w:rPr>
          <w:t>121</w:t>
        </w:r>
        <w:r w:rsidR="0068663E">
          <w:rPr>
            <w:noProof/>
            <w:webHidden/>
          </w:rPr>
          <w:fldChar w:fldCharType="end"/>
        </w:r>
      </w:hyperlink>
    </w:p>
    <w:p w14:paraId="770156FF" w14:textId="5398B40F" w:rsidR="0068663E" w:rsidRDefault="00F85DD5">
      <w:pPr>
        <w:pStyle w:val="TOC2"/>
        <w:rPr>
          <w:rFonts w:asciiTheme="minorHAnsi" w:eastAsiaTheme="minorEastAsia" w:hAnsiTheme="minorHAnsi" w:cstheme="minorBidi"/>
          <w:noProof/>
        </w:rPr>
      </w:pPr>
      <w:hyperlink w:anchor="_Toc524603041" w:history="1">
        <w:r w:rsidR="0068663E" w:rsidRPr="00047BE7">
          <w:rPr>
            <w:rStyle w:val="Hyperlink"/>
            <w:noProof/>
          </w:rPr>
          <w:t>SP-80 Monitoring – 91.330</w:t>
        </w:r>
        <w:r w:rsidR="0068663E">
          <w:rPr>
            <w:noProof/>
            <w:webHidden/>
          </w:rPr>
          <w:tab/>
        </w:r>
        <w:r w:rsidR="0068663E">
          <w:rPr>
            <w:noProof/>
            <w:webHidden/>
          </w:rPr>
          <w:fldChar w:fldCharType="begin"/>
        </w:r>
        <w:r w:rsidR="0068663E">
          <w:rPr>
            <w:noProof/>
            <w:webHidden/>
          </w:rPr>
          <w:instrText xml:space="preserve"> PAGEREF _Toc524603041 \h </w:instrText>
        </w:r>
        <w:r w:rsidR="0068663E">
          <w:rPr>
            <w:noProof/>
            <w:webHidden/>
          </w:rPr>
        </w:r>
        <w:r w:rsidR="0068663E">
          <w:rPr>
            <w:noProof/>
            <w:webHidden/>
          </w:rPr>
          <w:fldChar w:fldCharType="separate"/>
        </w:r>
        <w:r w:rsidR="008D29C7">
          <w:rPr>
            <w:noProof/>
            <w:webHidden/>
          </w:rPr>
          <w:t>122</w:t>
        </w:r>
        <w:r w:rsidR="0068663E">
          <w:rPr>
            <w:noProof/>
            <w:webHidden/>
          </w:rPr>
          <w:fldChar w:fldCharType="end"/>
        </w:r>
      </w:hyperlink>
    </w:p>
    <w:p w14:paraId="09735F30" w14:textId="5CAB282B" w:rsidR="0068663E" w:rsidRDefault="00F85DD5">
      <w:pPr>
        <w:pStyle w:val="TOC1"/>
        <w:rPr>
          <w:rFonts w:asciiTheme="minorHAnsi" w:eastAsiaTheme="minorEastAsia" w:hAnsiTheme="minorHAnsi" w:cstheme="minorBidi"/>
          <w:b w:val="0"/>
          <w:sz w:val="22"/>
        </w:rPr>
      </w:pPr>
      <w:hyperlink w:anchor="_Toc524603042" w:history="1">
        <w:r w:rsidR="0068663E" w:rsidRPr="00047BE7">
          <w:rPr>
            <w:rStyle w:val="Hyperlink"/>
          </w:rPr>
          <w:t>Action Plan</w:t>
        </w:r>
        <w:r w:rsidR="0068663E">
          <w:rPr>
            <w:webHidden/>
          </w:rPr>
          <w:tab/>
        </w:r>
        <w:r w:rsidR="0068663E">
          <w:rPr>
            <w:webHidden/>
          </w:rPr>
          <w:fldChar w:fldCharType="begin"/>
        </w:r>
        <w:r w:rsidR="0068663E">
          <w:rPr>
            <w:webHidden/>
          </w:rPr>
          <w:instrText xml:space="preserve"> PAGEREF _Toc524603042 \h </w:instrText>
        </w:r>
        <w:r w:rsidR="0068663E">
          <w:rPr>
            <w:webHidden/>
          </w:rPr>
        </w:r>
        <w:r w:rsidR="0068663E">
          <w:rPr>
            <w:webHidden/>
          </w:rPr>
          <w:fldChar w:fldCharType="separate"/>
        </w:r>
        <w:r w:rsidR="008D29C7">
          <w:rPr>
            <w:webHidden/>
          </w:rPr>
          <w:t>127</w:t>
        </w:r>
        <w:r w:rsidR="0068663E">
          <w:rPr>
            <w:webHidden/>
          </w:rPr>
          <w:fldChar w:fldCharType="end"/>
        </w:r>
      </w:hyperlink>
    </w:p>
    <w:p w14:paraId="2A17734E" w14:textId="48B3BEEE" w:rsidR="0068663E" w:rsidRDefault="00F85DD5">
      <w:pPr>
        <w:pStyle w:val="TOC2"/>
        <w:rPr>
          <w:rFonts w:asciiTheme="minorHAnsi" w:eastAsiaTheme="minorEastAsia" w:hAnsiTheme="minorHAnsi" w:cstheme="minorBidi"/>
          <w:noProof/>
        </w:rPr>
      </w:pPr>
      <w:hyperlink w:anchor="_Toc524603043" w:history="1">
        <w:r w:rsidR="0068663E" w:rsidRPr="00047BE7">
          <w:rPr>
            <w:rStyle w:val="Hyperlink"/>
            <w:noProof/>
          </w:rPr>
          <w:t>AP-15 Expected Resources – 91.320(c)(1,2)</w:t>
        </w:r>
        <w:r w:rsidR="0068663E">
          <w:rPr>
            <w:noProof/>
            <w:webHidden/>
          </w:rPr>
          <w:tab/>
        </w:r>
        <w:r w:rsidR="0068663E">
          <w:rPr>
            <w:noProof/>
            <w:webHidden/>
          </w:rPr>
          <w:fldChar w:fldCharType="begin"/>
        </w:r>
        <w:r w:rsidR="0068663E">
          <w:rPr>
            <w:noProof/>
            <w:webHidden/>
          </w:rPr>
          <w:instrText xml:space="preserve"> PAGEREF _Toc524603043 \h </w:instrText>
        </w:r>
        <w:r w:rsidR="0068663E">
          <w:rPr>
            <w:noProof/>
            <w:webHidden/>
          </w:rPr>
        </w:r>
        <w:r w:rsidR="0068663E">
          <w:rPr>
            <w:noProof/>
            <w:webHidden/>
          </w:rPr>
          <w:fldChar w:fldCharType="separate"/>
        </w:r>
        <w:r w:rsidR="008D29C7">
          <w:rPr>
            <w:noProof/>
            <w:webHidden/>
          </w:rPr>
          <w:t>127</w:t>
        </w:r>
        <w:r w:rsidR="0068663E">
          <w:rPr>
            <w:noProof/>
            <w:webHidden/>
          </w:rPr>
          <w:fldChar w:fldCharType="end"/>
        </w:r>
      </w:hyperlink>
    </w:p>
    <w:p w14:paraId="60AF3A05" w14:textId="3B31EC93" w:rsidR="0068663E" w:rsidRDefault="00F85DD5">
      <w:pPr>
        <w:pStyle w:val="TOC2"/>
        <w:rPr>
          <w:rFonts w:asciiTheme="minorHAnsi" w:eastAsiaTheme="minorEastAsia" w:hAnsiTheme="minorHAnsi" w:cstheme="minorBidi"/>
          <w:noProof/>
        </w:rPr>
      </w:pPr>
      <w:hyperlink w:anchor="_Toc524603044" w:history="1">
        <w:r w:rsidR="0068663E" w:rsidRPr="00047BE7">
          <w:rPr>
            <w:rStyle w:val="Hyperlink"/>
            <w:noProof/>
          </w:rPr>
          <w:t>AP-25 Allocation Priorities – 91.320(d)</w:t>
        </w:r>
        <w:r w:rsidR="0068663E">
          <w:rPr>
            <w:noProof/>
            <w:webHidden/>
          </w:rPr>
          <w:tab/>
        </w:r>
        <w:r w:rsidR="0068663E">
          <w:rPr>
            <w:noProof/>
            <w:webHidden/>
          </w:rPr>
          <w:fldChar w:fldCharType="begin"/>
        </w:r>
        <w:r w:rsidR="0068663E">
          <w:rPr>
            <w:noProof/>
            <w:webHidden/>
          </w:rPr>
          <w:instrText xml:space="preserve"> PAGEREF _Toc524603044 \h </w:instrText>
        </w:r>
        <w:r w:rsidR="0068663E">
          <w:rPr>
            <w:noProof/>
            <w:webHidden/>
          </w:rPr>
        </w:r>
        <w:r w:rsidR="0068663E">
          <w:rPr>
            <w:noProof/>
            <w:webHidden/>
          </w:rPr>
          <w:fldChar w:fldCharType="separate"/>
        </w:r>
        <w:r w:rsidR="008D29C7">
          <w:rPr>
            <w:noProof/>
            <w:webHidden/>
          </w:rPr>
          <w:t>141</w:t>
        </w:r>
        <w:r w:rsidR="0068663E">
          <w:rPr>
            <w:noProof/>
            <w:webHidden/>
          </w:rPr>
          <w:fldChar w:fldCharType="end"/>
        </w:r>
      </w:hyperlink>
    </w:p>
    <w:p w14:paraId="3D51C4FB" w14:textId="0C7C71DF" w:rsidR="0068663E" w:rsidRDefault="00F85DD5">
      <w:pPr>
        <w:pStyle w:val="TOC2"/>
        <w:rPr>
          <w:rFonts w:asciiTheme="minorHAnsi" w:eastAsiaTheme="minorEastAsia" w:hAnsiTheme="minorHAnsi" w:cstheme="minorBidi"/>
          <w:noProof/>
        </w:rPr>
      </w:pPr>
      <w:hyperlink w:anchor="_Toc524603045" w:history="1">
        <w:r w:rsidR="0068663E" w:rsidRPr="00047BE7">
          <w:rPr>
            <w:rStyle w:val="Hyperlink"/>
            <w:noProof/>
          </w:rPr>
          <w:t>AP-30 Methods of Distribution – 91.320(d)&amp;(k)</w:t>
        </w:r>
        <w:r w:rsidR="0068663E">
          <w:rPr>
            <w:noProof/>
            <w:webHidden/>
          </w:rPr>
          <w:tab/>
        </w:r>
        <w:r w:rsidR="0068663E">
          <w:rPr>
            <w:noProof/>
            <w:webHidden/>
          </w:rPr>
          <w:fldChar w:fldCharType="begin"/>
        </w:r>
        <w:r w:rsidR="0068663E">
          <w:rPr>
            <w:noProof/>
            <w:webHidden/>
          </w:rPr>
          <w:instrText xml:space="preserve"> PAGEREF _Toc524603045 \h </w:instrText>
        </w:r>
        <w:r w:rsidR="0068663E">
          <w:rPr>
            <w:noProof/>
            <w:webHidden/>
          </w:rPr>
        </w:r>
        <w:r w:rsidR="0068663E">
          <w:rPr>
            <w:noProof/>
            <w:webHidden/>
          </w:rPr>
          <w:fldChar w:fldCharType="separate"/>
        </w:r>
        <w:r w:rsidR="008D29C7">
          <w:rPr>
            <w:noProof/>
            <w:webHidden/>
          </w:rPr>
          <w:t>143</w:t>
        </w:r>
        <w:r w:rsidR="0068663E">
          <w:rPr>
            <w:noProof/>
            <w:webHidden/>
          </w:rPr>
          <w:fldChar w:fldCharType="end"/>
        </w:r>
      </w:hyperlink>
    </w:p>
    <w:p w14:paraId="04FEB1FF" w14:textId="526D09F0" w:rsidR="0068663E" w:rsidRDefault="00F85DD5">
      <w:pPr>
        <w:pStyle w:val="TOC2"/>
        <w:rPr>
          <w:rFonts w:asciiTheme="minorHAnsi" w:eastAsiaTheme="minorEastAsia" w:hAnsiTheme="minorHAnsi" w:cstheme="minorBidi"/>
          <w:noProof/>
        </w:rPr>
      </w:pPr>
      <w:hyperlink w:anchor="_Toc524603046" w:history="1">
        <w:r w:rsidR="0068663E" w:rsidRPr="00047BE7">
          <w:rPr>
            <w:rStyle w:val="Hyperlink"/>
            <w:noProof/>
          </w:rPr>
          <w:t>AP-35 Projects – (Optional)</w:t>
        </w:r>
        <w:r w:rsidR="0068663E">
          <w:rPr>
            <w:noProof/>
            <w:webHidden/>
          </w:rPr>
          <w:tab/>
        </w:r>
        <w:r w:rsidR="0068663E">
          <w:rPr>
            <w:noProof/>
            <w:webHidden/>
          </w:rPr>
          <w:fldChar w:fldCharType="begin"/>
        </w:r>
        <w:r w:rsidR="0068663E">
          <w:rPr>
            <w:noProof/>
            <w:webHidden/>
          </w:rPr>
          <w:instrText xml:space="preserve"> PAGEREF _Toc524603046 \h </w:instrText>
        </w:r>
        <w:r w:rsidR="0068663E">
          <w:rPr>
            <w:noProof/>
            <w:webHidden/>
          </w:rPr>
        </w:r>
        <w:r w:rsidR="0068663E">
          <w:rPr>
            <w:noProof/>
            <w:webHidden/>
          </w:rPr>
          <w:fldChar w:fldCharType="separate"/>
        </w:r>
        <w:r w:rsidR="008D29C7">
          <w:rPr>
            <w:noProof/>
            <w:webHidden/>
          </w:rPr>
          <w:t>188</w:t>
        </w:r>
        <w:r w:rsidR="0068663E">
          <w:rPr>
            <w:noProof/>
            <w:webHidden/>
          </w:rPr>
          <w:fldChar w:fldCharType="end"/>
        </w:r>
      </w:hyperlink>
    </w:p>
    <w:p w14:paraId="39FF2AD3" w14:textId="2CAE7293" w:rsidR="0068663E" w:rsidRDefault="00F85DD5">
      <w:pPr>
        <w:pStyle w:val="TOC2"/>
        <w:rPr>
          <w:rFonts w:asciiTheme="minorHAnsi" w:eastAsiaTheme="minorEastAsia" w:hAnsiTheme="minorHAnsi" w:cstheme="minorBidi"/>
          <w:noProof/>
        </w:rPr>
      </w:pPr>
      <w:hyperlink w:anchor="_Toc524603047" w:history="1">
        <w:r w:rsidR="0068663E" w:rsidRPr="00047BE7">
          <w:rPr>
            <w:rStyle w:val="Hyperlink"/>
            <w:noProof/>
          </w:rPr>
          <w:t>AP-38 Project Summary</w:t>
        </w:r>
        <w:r w:rsidR="0068663E">
          <w:rPr>
            <w:noProof/>
            <w:webHidden/>
          </w:rPr>
          <w:tab/>
        </w:r>
        <w:r w:rsidR="0068663E">
          <w:rPr>
            <w:noProof/>
            <w:webHidden/>
          </w:rPr>
          <w:fldChar w:fldCharType="begin"/>
        </w:r>
        <w:r w:rsidR="0068663E">
          <w:rPr>
            <w:noProof/>
            <w:webHidden/>
          </w:rPr>
          <w:instrText xml:space="preserve"> PAGEREF _Toc524603047 \h </w:instrText>
        </w:r>
        <w:r w:rsidR="0068663E">
          <w:rPr>
            <w:noProof/>
            <w:webHidden/>
          </w:rPr>
        </w:r>
        <w:r w:rsidR="0068663E">
          <w:rPr>
            <w:noProof/>
            <w:webHidden/>
          </w:rPr>
          <w:fldChar w:fldCharType="separate"/>
        </w:r>
        <w:r w:rsidR="008D29C7">
          <w:rPr>
            <w:noProof/>
            <w:webHidden/>
          </w:rPr>
          <w:t>189</w:t>
        </w:r>
        <w:r w:rsidR="0068663E">
          <w:rPr>
            <w:noProof/>
            <w:webHidden/>
          </w:rPr>
          <w:fldChar w:fldCharType="end"/>
        </w:r>
      </w:hyperlink>
    </w:p>
    <w:p w14:paraId="0D1ABA6B" w14:textId="0DD40308" w:rsidR="0068663E" w:rsidRDefault="00F85DD5">
      <w:pPr>
        <w:pStyle w:val="TOC2"/>
        <w:rPr>
          <w:rFonts w:asciiTheme="minorHAnsi" w:eastAsiaTheme="minorEastAsia" w:hAnsiTheme="minorHAnsi" w:cstheme="minorBidi"/>
          <w:noProof/>
        </w:rPr>
      </w:pPr>
      <w:hyperlink w:anchor="_Toc524603048" w:history="1">
        <w:r w:rsidR="0068663E" w:rsidRPr="00047BE7">
          <w:rPr>
            <w:rStyle w:val="Hyperlink"/>
            <w:noProof/>
          </w:rPr>
          <w:t>AP-40 Section 108 Loan Guarantee – 91.320(k)(1)(ii)</w:t>
        </w:r>
        <w:r w:rsidR="0068663E">
          <w:rPr>
            <w:noProof/>
            <w:webHidden/>
          </w:rPr>
          <w:tab/>
        </w:r>
        <w:r w:rsidR="0068663E">
          <w:rPr>
            <w:noProof/>
            <w:webHidden/>
          </w:rPr>
          <w:fldChar w:fldCharType="begin"/>
        </w:r>
        <w:r w:rsidR="0068663E">
          <w:rPr>
            <w:noProof/>
            <w:webHidden/>
          </w:rPr>
          <w:instrText xml:space="preserve"> PAGEREF _Toc524603048 \h </w:instrText>
        </w:r>
        <w:r w:rsidR="0068663E">
          <w:rPr>
            <w:noProof/>
            <w:webHidden/>
          </w:rPr>
        </w:r>
        <w:r w:rsidR="0068663E">
          <w:rPr>
            <w:noProof/>
            <w:webHidden/>
          </w:rPr>
          <w:fldChar w:fldCharType="separate"/>
        </w:r>
        <w:r w:rsidR="008D29C7">
          <w:rPr>
            <w:noProof/>
            <w:webHidden/>
          </w:rPr>
          <w:t>193</w:t>
        </w:r>
        <w:r w:rsidR="0068663E">
          <w:rPr>
            <w:noProof/>
            <w:webHidden/>
          </w:rPr>
          <w:fldChar w:fldCharType="end"/>
        </w:r>
      </w:hyperlink>
    </w:p>
    <w:p w14:paraId="556E6593" w14:textId="1E66A55D" w:rsidR="0068663E" w:rsidRDefault="00F85DD5">
      <w:pPr>
        <w:pStyle w:val="TOC2"/>
        <w:rPr>
          <w:rFonts w:asciiTheme="minorHAnsi" w:eastAsiaTheme="minorEastAsia" w:hAnsiTheme="minorHAnsi" w:cstheme="minorBidi"/>
          <w:noProof/>
        </w:rPr>
      </w:pPr>
      <w:hyperlink w:anchor="_Toc524603049" w:history="1">
        <w:r w:rsidR="0068663E" w:rsidRPr="00047BE7">
          <w:rPr>
            <w:rStyle w:val="Hyperlink"/>
            <w:noProof/>
          </w:rPr>
          <w:t>AP-45 Community Revitalization Strategies – 91.320(k)(1)(ii)</w:t>
        </w:r>
        <w:r w:rsidR="0068663E">
          <w:rPr>
            <w:noProof/>
            <w:webHidden/>
          </w:rPr>
          <w:tab/>
        </w:r>
        <w:r w:rsidR="0068663E">
          <w:rPr>
            <w:noProof/>
            <w:webHidden/>
          </w:rPr>
          <w:fldChar w:fldCharType="begin"/>
        </w:r>
        <w:r w:rsidR="0068663E">
          <w:rPr>
            <w:noProof/>
            <w:webHidden/>
          </w:rPr>
          <w:instrText xml:space="preserve"> PAGEREF _Toc524603049 \h </w:instrText>
        </w:r>
        <w:r w:rsidR="0068663E">
          <w:rPr>
            <w:noProof/>
            <w:webHidden/>
          </w:rPr>
        </w:r>
        <w:r w:rsidR="0068663E">
          <w:rPr>
            <w:noProof/>
            <w:webHidden/>
          </w:rPr>
          <w:fldChar w:fldCharType="separate"/>
        </w:r>
        <w:r w:rsidR="008D29C7">
          <w:rPr>
            <w:noProof/>
            <w:webHidden/>
          </w:rPr>
          <w:t>194</w:t>
        </w:r>
        <w:r w:rsidR="0068663E">
          <w:rPr>
            <w:noProof/>
            <w:webHidden/>
          </w:rPr>
          <w:fldChar w:fldCharType="end"/>
        </w:r>
      </w:hyperlink>
    </w:p>
    <w:p w14:paraId="073B95EB" w14:textId="28D4A639" w:rsidR="0068663E" w:rsidRDefault="00F85DD5">
      <w:pPr>
        <w:pStyle w:val="TOC2"/>
        <w:rPr>
          <w:rFonts w:asciiTheme="minorHAnsi" w:eastAsiaTheme="minorEastAsia" w:hAnsiTheme="minorHAnsi" w:cstheme="minorBidi"/>
          <w:noProof/>
        </w:rPr>
      </w:pPr>
      <w:hyperlink w:anchor="_Toc524603050" w:history="1">
        <w:r w:rsidR="0068663E" w:rsidRPr="00047BE7">
          <w:rPr>
            <w:rStyle w:val="Hyperlink"/>
            <w:noProof/>
          </w:rPr>
          <w:t>AP-50 Geographic Distribution – 91.320(f)</w:t>
        </w:r>
        <w:r w:rsidR="0068663E">
          <w:rPr>
            <w:noProof/>
            <w:webHidden/>
          </w:rPr>
          <w:tab/>
        </w:r>
        <w:r w:rsidR="0068663E">
          <w:rPr>
            <w:noProof/>
            <w:webHidden/>
          </w:rPr>
          <w:fldChar w:fldCharType="begin"/>
        </w:r>
        <w:r w:rsidR="0068663E">
          <w:rPr>
            <w:noProof/>
            <w:webHidden/>
          </w:rPr>
          <w:instrText xml:space="preserve"> PAGEREF _Toc524603050 \h </w:instrText>
        </w:r>
        <w:r w:rsidR="0068663E">
          <w:rPr>
            <w:noProof/>
            <w:webHidden/>
          </w:rPr>
        </w:r>
        <w:r w:rsidR="0068663E">
          <w:rPr>
            <w:noProof/>
            <w:webHidden/>
          </w:rPr>
          <w:fldChar w:fldCharType="separate"/>
        </w:r>
        <w:r w:rsidR="008D29C7">
          <w:rPr>
            <w:noProof/>
            <w:webHidden/>
          </w:rPr>
          <w:t>195</w:t>
        </w:r>
        <w:r w:rsidR="0068663E">
          <w:rPr>
            <w:noProof/>
            <w:webHidden/>
          </w:rPr>
          <w:fldChar w:fldCharType="end"/>
        </w:r>
      </w:hyperlink>
    </w:p>
    <w:p w14:paraId="13F2FFDC" w14:textId="01586F2E" w:rsidR="0068663E" w:rsidRDefault="00F85DD5">
      <w:pPr>
        <w:pStyle w:val="TOC2"/>
        <w:rPr>
          <w:rFonts w:asciiTheme="minorHAnsi" w:eastAsiaTheme="minorEastAsia" w:hAnsiTheme="minorHAnsi" w:cstheme="minorBidi"/>
          <w:noProof/>
        </w:rPr>
      </w:pPr>
      <w:hyperlink w:anchor="_Toc524603051" w:history="1">
        <w:r w:rsidR="0068663E" w:rsidRPr="00047BE7">
          <w:rPr>
            <w:rStyle w:val="Hyperlink"/>
            <w:noProof/>
          </w:rPr>
          <w:t>AP-55 Affordable Housing – 24 CFR 91.320(g)</w:t>
        </w:r>
        <w:r w:rsidR="0068663E">
          <w:rPr>
            <w:noProof/>
            <w:webHidden/>
          </w:rPr>
          <w:tab/>
        </w:r>
        <w:r w:rsidR="0068663E">
          <w:rPr>
            <w:noProof/>
            <w:webHidden/>
          </w:rPr>
          <w:fldChar w:fldCharType="begin"/>
        </w:r>
        <w:r w:rsidR="0068663E">
          <w:rPr>
            <w:noProof/>
            <w:webHidden/>
          </w:rPr>
          <w:instrText xml:space="preserve"> PAGEREF _Toc524603051 \h </w:instrText>
        </w:r>
        <w:r w:rsidR="0068663E">
          <w:rPr>
            <w:noProof/>
            <w:webHidden/>
          </w:rPr>
        </w:r>
        <w:r w:rsidR="0068663E">
          <w:rPr>
            <w:noProof/>
            <w:webHidden/>
          </w:rPr>
          <w:fldChar w:fldCharType="separate"/>
        </w:r>
        <w:r w:rsidR="008D29C7">
          <w:rPr>
            <w:noProof/>
            <w:webHidden/>
          </w:rPr>
          <w:t>196</w:t>
        </w:r>
        <w:r w:rsidR="0068663E">
          <w:rPr>
            <w:noProof/>
            <w:webHidden/>
          </w:rPr>
          <w:fldChar w:fldCharType="end"/>
        </w:r>
      </w:hyperlink>
    </w:p>
    <w:p w14:paraId="6C4E6A32" w14:textId="035DEB07" w:rsidR="0068663E" w:rsidRDefault="00F85DD5">
      <w:pPr>
        <w:pStyle w:val="TOC2"/>
        <w:rPr>
          <w:rFonts w:asciiTheme="minorHAnsi" w:eastAsiaTheme="minorEastAsia" w:hAnsiTheme="minorHAnsi" w:cstheme="minorBidi"/>
          <w:noProof/>
        </w:rPr>
      </w:pPr>
      <w:hyperlink w:anchor="_Toc524603052" w:history="1">
        <w:r w:rsidR="0068663E" w:rsidRPr="00047BE7">
          <w:rPr>
            <w:rStyle w:val="Hyperlink"/>
            <w:noProof/>
          </w:rPr>
          <w:t>AP-60 Public Housing - 24 CFR 91.320(j)</w:t>
        </w:r>
        <w:r w:rsidR="0068663E">
          <w:rPr>
            <w:noProof/>
            <w:webHidden/>
          </w:rPr>
          <w:tab/>
        </w:r>
        <w:r w:rsidR="0068663E">
          <w:rPr>
            <w:noProof/>
            <w:webHidden/>
          </w:rPr>
          <w:fldChar w:fldCharType="begin"/>
        </w:r>
        <w:r w:rsidR="0068663E">
          <w:rPr>
            <w:noProof/>
            <w:webHidden/>
          </w:rPr>
          <w:instrText xml:space="preserve"> PAGEREF _Toc524603052 \h </w:instrText>
        </w:r>
        <w:r w:rsidR="0068663E">
          <w:rPr>
            <w:noProof/>
            <w:webHidden/>
          </w:rPr>
        </w:r>
        <w:r w:rsidR="0068663E">
          <w:rPr>
            <w:noProof/>
            <w:webHidden/>
          </w:rPr>
          <w:fldChar w:fldCharType="separate"/>
        </w:r>
        <w:r w:rsidR="008D29C7">
          <w:rPr>
            <w:noProof/>
            <w:webHidden/>
          </w:rPr>
          <w:t>198</w:t>
        </w:r>
        <w:r w:rsidR="0068663E">
          <w:rPr>
            <w:noProof/>
            <w:webHidden/>
          </w:rPr>
          <w:fldChar w:fldCharType="end"/>
        </w:r>
      </w:hyperlink>
    </w:p>
    <w:p w14:paraId="174CE0C0" w14:textId="479E0D73" w:rsidR="0068663E" w:rsidRDefault="00F85DD5">
      <w:pPr>
        <w:pStyle w:val="TOC2"/>
        <w:rPr>
          <w:rFonts w:asciiTheme="minorHAnsi" w:eastAsiaTheme="minorEastAsia" w:hAnsiTheme="minorHAnsi" w:cstheme="minorBidi"/>
          <w:noProof/>
        </w:rPr>
      </w:pPr>
      <w:hyperlink w:anchor="_Toc524603053" w:history="1">
        <w:r w:rsidR="0068663E" w:rsidRPr="00047BE7">
          <w:rPr>
            <w:rStyle w:val="Hyperlink"/>
            <w:noProof/>
          </w:rPr>
          <w:t>AP-65 Homeless and Other Special Needs Activities – 91.320(h)</w:t>
        </w:r>
        <w:r w:rsidR="0068663E">
          <w:rPr>
            <w:noProof/>
            <w:webHidden/>
          </w:rPr>
          <w:tab/>
        </w:r>
        <w:r w:rsidR="0068663E">
          <w:rPr>
            <w:noProof/>
            <w:webHidden/>
          </w:rPr>
          <w:fldChar w:fldCharType="begin"/>
        </w:r>
        <w:r w:rsidR="0068663E">
          <w:rPr>
            <w:noProof/>
            <w:webHidden/>
          </w:rPr>
          <w:instrText xml:space="preserve"> PAGEREF _Toc524603053 \h </w:instrText>
        </w:r>
        <w:r w:rsidR="0068663E">
          <w:rPr>
            <w:noProof/>
            <w:webHidden/>
          </w:rPr>
        </w:r>
        <w:r w:rsidR="0068663E">
          <w:rPr>
            <w:noProof/>
            <w:webHidden/>
          </w:rPr>
          <w:fldChar w:fldCharType="separate"/>
        </w:r>
        <w:r w:rsidR="008D29C7">
          <w:rPr>
            <w:noProof/>
            <w:webHidden/>
          </w:rPr>
          <w:t>199</w:t>
        </w:r>
        <w:r w:rsidR="0068663E">
          <w:rPr>
            <w:noProof/>
            <w:webHidden/>
          </w:rPr>
          <w:fldChar w:fldCharType="end"/>
        </w:r>
      </w:hyperlink>
    </w:p>
    <w:p w14:paraId="7B56DE78" w14:textId="08464791" w:rsidR="0068663E" w:rsidRDefault="00F85DD5">
      <w:pPr>
        <w:pStyle w:val="TOC2"/>
        <w:rPr>
          <w:rFonts w:asciiTheme="minorHAnsi" w:eastAsiaTheme="minorEastAsia" w:hAnsiTheme="minorHAnsi" w:cstheme="minorBidi"/>
          <w:noProof/>
        </w:rPr>
      </w:pPr>
      <w:hyperlink w:anchor="_Toc524603054" w:history="1">
        <w:r w:rsidR="0068663E" w:rsidRPr="00047BE7">
          <w:rPr>
            <w:rStyle w:val="Hyperlink"/>
            <w:noProof/>
          </w:rPr>
          <w:t>AP-70 HOPWA Goals – 91.320(k)(4)</w:t>
        </w:r>
        <w:r w:rsidR="0068663E">
          <w:rPr>
            <w:noProof/>
            <w:webHidden/>
          </w:rPr>
          <w:tab/>
        </w:r>
        <w:r w:rsidR="0068663E">
          <w:rPr>
            <w:noProof/>
            <w:webHidden/>
          </w:rPr>
          <w:fldChar w:fldCharType="begin"/>
        </w:r>
        <w:r w:rsidR="0068663E">
          <w:rPr>
            <w:noProof/>
            <w:webHidden/>
          </w:rPr>
          <w:instrText xml:space="preserve"> PAGEREF _Toc524603054 \h </w:instrText>
        </w:r>
        <w:r w:rsidR="0068663E">
          <w:rPr>
            <w:noProof/>
            <w:webHidden/>
          </w:rPr>
        </w:r>
        <w:r w:rsidR="0068663E">
          <w:rPr>
            <w:noProof/>
            <w:webHidden/>
          </w:rPr>
          <w:fldChar w:fldCharType="separate"/>
        </w:r>
        <w:r w:rsidR="008D29C7">
          <w:rPr>
            <w:noProof/>
            <w:webHidden/>
          </w:rPr>
          <w:t>202</w:t>
        </w:r>
        <w:r w:rsidR="0068663E">
          <w:rPr>
            <w:noProof/>
            <w:webHidden/>
          </w:rPr>
          <w:fldChar w:fldCharType="end"/>
        </w:r>
      </w:hyperlink>
    </w:p>
    <w:p w14:paraId="4EA18EB0" w14:textId="6F83E7B0" w:rsidR="0068663E" w:rsidRDefault="00F85DD5">
      <w:pPr>
        <w:pStyle w:val="TOC2"/>
        <w:rPr>
          <w:rFonts w:asciiTheme="minorHAnsi" w:eastAsiaTheme="minorEastAsia" w:hAnsiTheme="minorHAnsi" w:cstheme="minorBidi"/>
          <w:noProof/>
        </w:rPr>
      </w:pPr>
      <w:hyperlink w:anchor="_Toc524603055" w:history="1">
        <w:r w:rsidR="0068663E" w:rsidRPr="00047BE7">
          <w:rPr>
            <w:rStyle w:val="Hyperlink"/>
            <w:noProof/>
          </w:rPr>
          <w:t>AP-75 Barriers to affordable housing – 91.320(i)</w:t>
        </w:r>
        <w:r w:rsidR="0068663E">
          <w:rPr>
            <w:noProof/>
            <w:webHidden/>
          </w:rPr>
          <w:tab/>
        </w:r>
        <w:r w:rsidR="0068663E">
          <w:rPr>
            <w:noProof/>
            <w:webHidden/>
          </w:rPr>
          <w:fldChar w:fldCharType="begin"/>
        </w:r>
        <w:r w:rsidR="0068663E">
          <w:rPr>
            <w:noProof/>
            <w:webHidden/>
          </w:rPr>
          <w:instrText xml:space="preserve"> PAGEREF _Toc524603055 \h </w:instrText>
        </w:r>
        <w:r w:rsidR="0068663E">
          <w:rPr>
            <w:noProof/>
            <w:webHidden/>
          </w:rPr>
        </w:r>
        <w:r w:rsidR="0068663E">
          <w:rPr>
            <w:noProof/>
            <w:webHidden/>
          </w:rPr>
          <w:fldChar w:fldCharType="separate"/>
        </w:r>
        <w:r w:rsidR="008D29C7">
          <w:rPr>
            <w:noProof/>
            <w:webHidden/>
          </w:rPr>
          <w:t>203</w:t>
        </w:r>
        <w:r w:rsidR="0068663E">
          <w:rPr>
            <w:noProof/>
            <w:webHidden/>
          </w:rPr>
          <w:fldChar w:fldCharType="end"/>
        </w:r>
      </w:hyperlink>
    </w:p>
    <w:p w14:paraId="26EBE1C3" w14:textId="1859E5A9" w:rsidR="0068663E" w:rsidRDefault="00F85DD5">
      <w:pPr>
        <w:pStyle w:val="TOC2"/>
        <w:rPr>
          <w:rFonts w:asciiTheme="minorHAnsi" w:eastAsiaTheme="minorEastAsia" w:hAnsiTheme="minorHAnsi" w:cstheme="minorBidi"/>
          <w:noProof/>
        </w:rPr>
      </w:pPr>
      <w:hyperlink w:anchor="_Toc524603056" w:history="1">
        <w:r w:rsidR="0068663E" w:rsidRPr="00047BE7">
          <w:rPr>
            <w:rStyle w:val="Hyperlink"/>
            <w:noProof/>
          </w:rPr>
          <w:t>AP-85 Other Actions – 91.320(j)</w:t>
        </w:r>
        <w:r w:rsidR="0068663E">
          <w:rPr>
            <w:noProof/>
            <w:webHidden/>
          </w:rPr>
          <w:tab/>
        </w:r>
        <w:r w:rsidR="0068663E">
          <w:rPr>
            <w:noProof/>
            <w:webHidden/>
          </w:rPr>
          <w:fldChar w:fldCharType="begin"/>
        </w:r>
        <w:r w:rsidR="0068663E">
          <w:rPr>
            <w:noProof/>
            <w:webHidden/>
          </w:rPr>
          <w:instrText xml:space="preserve"> PAGEREF _Toc524603056 \h </w:instrText>
        </w:r>
        <w:r w:rsidR="0068663E">
          <w:rPr>
            <w:noProof/>
            <w:webHidden/>
          </w:rPr>
        </w:r>
        <w:r w:rsidR="0068663E">
          <w:rPr>
            <w:noProof/>
            <w:webHidden/>
          </w:rPr>
          <w:fldChar w:fldCharType="separate"/>
        </w:r>
        <w:r w:rsidR="008D29C7">
          <w:rPr>
            <w:noProof/>
            <w:webHidden/>
          </w:rPr>
          <w:t>206</w:t>
        </w:r>
        <w:r w:rsidR="0068663E">
          <w:rPr>
            <w:noProof/>
            <w:webHidden/>
          </w:rPr>
          <w:fldChar w:fldCharType="end"/>
        </w:r>
      </w:hyperlink>
    </w:p>
    <w:p w14:paraId="239F9A90" w14:textId="16DFF047" w:rsidR="00031897" w:rsidRDefault="00AD6A59">
      <w:pPr>
        <w:spacing w:after="0" w:line="240" w:lineRule="auto"/>
      </w:pPr>
      <w:r>
        <w:fldChar w:fldCharType="end"/>
      </w:r>
    </w:p>
    <w:p w14:paraId="3CF95BF5" w14:textId="77777777" w:rsidR="00031897" w:rsidRDefault="00031897">
      <w:pPr>
        <w:spacing w:after="0" w:line="240" w:lineRule="auto"/>
      </w:pPr>
      <w:r>
        <w:br w:type="page"/>
      </w:r>
    </w:p>
    <w:p w14:paraId="45499115" w14:textId="77777777" w:rsidR="006E7115" w:rsidRDefault="006E7115" w:rsidP="006E7115">
      <w:pPr>
        <w:pStyle w:val="Heading1"/>
        <w:jc w:val="center"/>
        <w:rPr>
          <w:rFonts w:ascii="Calibri" w:hAnsi="Calibri"/>
          <w:color w:val="auto"/>
          <w:sz w:val="32"/>
          <w:szCs w:val="32"/>
        </w:rPr>
      </w:pPr>
      <w:bookmarkStart w:id="1" w:name="_Toc524603002"/>
      <w:r>
        <w:rPr>
          <w:rFonts w:ascii="Calibri" w:hAnsi="Calibri"/>
          <w:color w:val="auto"/>
          <w:sz w:val="32"/>
          <w:szCs w:val="32"/>
        </w:rPr>
        <w:t>Executive Summary</w:t>
      </w:r>
      <w:bookmarkEnd w:id="1"/>
    </w:p>
    <w:p w14:paraId="324FAC9E" w14:textId="77777777" w:rsidR="006E7115" w:rsidRDefault="006E7115" w:rsidP="00671AB5">
      <w:pPr>
        <w:pStyle w:val="Heading2"/>
        <w:shd w:val="clear" w:color="auto" w:fill="95B3D7" w:themeFill="accent1" w:themeFillTint="99"/>
        <w:rPr>
          <w:rFonts w:ascii="Calibri" w:hAnsi="Calibri"/>
          <w:i w:val="0"/>
        </w:rPr>
      </w:pPr>
      <w:bookmarkStart w:id="2" w:name="_Toc524603003"/>
      <w:r>
        <w:rPr>
          <w:rFonts w:ascii="Calibri" w:hAnsi="Calibri"/>
          <w:i w:val="0"/>
        </w:rPr>
        <w:t>ES-05 Executive Summary- 91.300(c), 91.320(b)</w:t>
      </w:r>
      <w:bookmarkEnd w:id="2"/>
    </w:p>
    <w:p w14:paraId="359E0902" w14:textId="77777777" w:rsidR="006E7115" w:rsidRDefault="006E7115" w:rsidP="006E7115">
      <w:pPr>
        <w:rPr>
          <w:b/>
          <w:sz w:val="24"/>
          <w:szCs w:val="24"/>
        </w:rPr>
      </w:pPr>
      <w:r>
        <w:rPr>
          <w:b/>
          <w:sz w:val="24"/>
          <w:szCs w:val="24"/>
        </w:rPr>
        <w:t>1.</w:t>
      </w:r>
      <w:r>
        <w:rPr>
          <w:b/>
          <w:sz w:val="24"/>
          <w:szCs w:val="24"/>
        </w:rPr>
        <w:tab/>
        <w:t>Introduction</w:t>
      </w:r>
    </w:p>
    <w:p w14:paraId="0ACC62E1" w14:textId="77777777" w:rsidR="006E7115" w:rsidRDefault="006E7115" w:rsidP="006E7115">
      <w:pPr>
        <w:rPr>
          <w:rFonts w:cs="Arial"/>
          <w:sz w:val="24"/>
          <w:szCs w:val="24"/>
        </w:rPr>
      </w:pPr>
      <w:r w:rsidRPr="00954D38">
        <w:rPr>
          <w:sz w:val="24"/>
          <w:szCs w:val="24"/>
        </w:rPr>
        <w:t xml:space="preserve">The Kansas </w:t>
      </w:r>
      <w:r>
        <w:rPr>
          <w:sz w:val="24"/>
          <w:szCs w:val="24"/>
        </w:rPr>
        <w:t xml:space="preserve">Five-Year </w:t>
      </w:r>
      <w:r w:rsidRPr="00954D38">
        <w:rPr>
          <w:sz w:val="24"/>
          <w:szCs w:val="24"/>
        </w:rPr>
        <w:t>Consolidated Plan is</w:t>
      </w:r>
      <w:r>
        <w:rPr>
          <w:sz w:val="24"/>
          <w:szCs w:val="24"/>
        </w:rPr>
        <w:t xml:space="preserve"> a process</w:t>
      </w:r>
      <w:r w:rsidRPr="00954D38">
        <w:rPr>
          <w:sz w:val="24"/>
          <w:szCs w:val="24"/>
        </w:rPr>
        <w:t xml:space="preserve"> mandated by the U.S. </w:t>
      </w:r>
      <w:r>
        <w:rPr>
          <w:sz w:val="24"/>
          <w:szCs w:val="24"/>
        </w:rPr>
        <w:t xml:space="preserve">Department of Housing and Urban </w:t>
      </w:r>
      <w:r w:rsidRPr="00954D38">
        <w:rPr>
          <w:sz w:val="24"/>
          <w:szCs w:val="24"/>
        </w:rPr>
        <w:t xml:space="preserve">Development (HUD). </w:t>
      </w:r>
      <w:r>
        <w:rPr>
          <w:sz w:val="24"/>
          <w:szCs w:val="24"/>
        </w:rPr>
        <w:t>The process culminates in the creation of a document that outlines the planning for use of federal funds given to the State by HUD, to implement five of HUD’s programs:</w:t>
      </w:r>
    </w:p>
    <w:p w14:paraId="5DF9FA59" w14:textId="77777777" w:rsidR="006E7115" w:rsidRDefault="006E7115" w:rsidP="00A121EE">
      <w:pPr>
        <w:pStyle w:val="ListParagraph"/>
        <w:numPr>
          <w:ilvl w:val="0"/>
          <w:numId w:val="19"/>
        </w:numPr>
        <w:rPr>
          <w:rFonts w:cs="Arial"/>
          <w:sz w:val="24"/>
          <w:szCs w:val="24"/>
        </w:rPr>
      </w:pPr>
      <w:r>
        <w:rPr>
          <w:rFonts w:cs="Arial"/>
          <w:sz w:val="24"/>
          <w:szCs w:val="24"/>
        </w:rPr>
        <w:t>The Community Development Block Grant (CDBG)</w:t>
      </w:r>
    </w:p>
    <w:p w14:paraId="5A061367" w14:textId="77777777" w:rsidR="006E7115" w:rsidRDefault="006E7115" w:rsidP="00A121EE">
      <w:pPr>
        <w:pStyle w:val="ListParagraph"/>
        <w:numPr>
          <w:ilvl w:val="0"/>
          <w:numId w:val="19"/>
        </w:numPr>
        <w:rPr>
          <w:rFonts w:cs="Arial"/>
          <w:sz w:val="24"/>
          <w:szCs w:val="24"/>
        </w:rPr>
      </w:pPr>
      <w:r>
        <w:rPr>
          <w:rFonts w:cs="Arial"/>
          <w:sz w:val="24"/>
          <w:szCs w:val="24"/>
        </w:rPr>
        <w:t>Emergency Solutions Grant (ESG)</w:t>
      </w:r>
    </w:p>
    <w:p w14:paraId="362345EA" w14:textId="77777777" w:rsidR="006E7115" w:rsidRDefault="006E7115" w:rsidP="00A121EE">
      <w:pPr>
        <w:pStyle w:val="ListParagraph"/>
        <w:numPr>
          <w:ilvl w:val="0"/>
          <w:numId w:val="19"/>
        </w:numPr>
        <w:rPr>
          <w:rFonts w:cs="Arial"/>
          <w:sz w:val="24"/>
          <w:szCs w:val="24"/>
        </w:rPr>
      </w:pPr>
      <w:r>
        <w:rPr>
          <w:rFonts w:cs="Arial"/>
          <w:sz w:val="24"/>
          <w:szCs w:val="24"/>
        </w:rPr>
        <w:t>HOME Investment Partnership (HOME)</w:t>
      </w:r>
    </w:p>
    <w:p w14:paraId="023DE047" w14:textId="77777777" w:rsidR="006E7115" w:rsidRDefault="006E7115" w:rsidP="00A121EE">
      <w:pPr>
        <w:pStyle w:val="ListParagraph"/>
        <w:numPr>
          <w:ilvl w:val="0"/>
          <w:numId w:val="19"/>
        </w:numPr>
        <w:rPr>
          <w:rFonts w:cs="Arial"/>
          <w:sz w:val="24"/>
          <w:szCs w:val="24"/>
        </w:rPr>
      </w:pPr>
      <w:r>
        <w:rPr>
          <w:rFonts w:cs="Arial"/>
          <w:sz w:val="24"/>
          <w:szCs w:val="24"/>
        </w:rPr>
        <w:t>Housing Opportunities for Persons with AIDS (HOPWA)</w:t>
      </w:r>
    </w:p>
    <w:p w14:paraId="1AD1B519" w14:textId="77777777" w:rsidR="006E7115" w:rsidRPr="00F963F2" w:rsidRDefault="006E7115" w:rsidP="00A121EE">
      <w:pPr>
        <w:pStyle w:val="ListParagraph"/>
        <w:numPr>
          <w:ilvl w:val="0"/>
          <w:numId w:val="19"/>
        </w:numPr>
        <w:rPr>
          <w:rFonts w:cs="Arial"/>
          <w:sz w:val="24"/>
          <w:szCs w:val="24"/>
        </w:rPr>
      </w:pPr>
      <w:r>
        <w:rPr>
          <w:rFonts w:cs="Arial"/>
          <w:sz w:val="24"/>
          <w:szCs w:val="24"/>
        </w:rPr>
        <w:t>Housing Trust Fund (HTF)</w:t>
      </w:r>
    </w:p>
    <w:p w14:paraId="7A1D477D" w14:textId="77777777" w:rsidR="006E7115" w:rsidRPr="00891A0E" w:rsidRDefault="006E7115" w:rsidP="006E7115">
      <w:pPr>
        <w:rPr>
          <w:sz w:val="24"/>
          <w:szCs w:val="24"/>
        </w:rPr>
      </w:pPr>
      <w:r>
        <w:rPr>
          <w:rFonts w:cs="Arial"/>
          <w:sz w:val="24"/>
          <w:szCs w:val="24"/>
        </w:rPr>
        <w:t xml:space="preserve">Kansas anticipates receiving the following amounts in FY 2019; estimated projections for the complete five-year plan follows in parentheses: </w:t>
      </w:r>
    </w:p>
    <w:p w14:paraId="504C7B39" w14:textId="77777777" w:rsidR="006E7115" w:rsidRDefault="006E7115" w:rsidP="00A121EE">
      <w:pPr>
        <w:pStyle w:val="ListParagraph"/>
        <w:numPr>
          <w:ilvl w:val="0"/>
          <w:numId w:val="17"/>
        </w:numPr>
        <w:jc w:val="both"/>
        <w:rPr>
          <w:rFonts w:cs="Arial"/>
          <w:sz w:val="24"/>
          <w:szCs w:val="24"/>
        </w:rPr>
      </w:pPr>
      <w:r>
        <w:rPr>
          <w:rFonts w:cs="Arial"/>
          <w:sz w:val="24"/>
          <w:szCs w:val="24"/>
        </w:rPr>
        <w:t>CDBG: $14 million ($70 million)</w:t>
      </w:r>
    </w:p>
    <w:p w14:paraId="21201A71" w14:textId="477DE9FA" w:rsidR="006E7115" w:rsidRDefault="006E7115" w:rsidP="00A121EE">
      <w:pPr>
        <w:pStyle w:val="ListParagraph"/>
        <w:numPr>
          <w:ilvl w:val="0"/>
          <w:numId w:val="17"/>
        </w:numPr>
        <w:jc w:val="both"/>
        <w:rPr>
          <w:rFonts w:cs="Arial"/>
          <w:sz w:val="24"/>
          <w:szCs w:val="24"/>
        </w:rPr>
      </w:pPr>
      <w:r>
        <w:rPr>
          <w:rFonts w:cs="Arial"/>
          <w:sz w:val="24"/>
          <w:szCs w:val="24"/>
        </w:rPr>
        <w:t>HOME: $</w:t>
      </w:r>
      <w:r w:rsidR="003B7CE7">
        <w:rPr>
          <w:rFonts w:cs="Arial"/>
          <w:sz w:val="24"/>
          <w:szCs w:val="24"/>
        </w:rPr>
        <w:t>6.75</w:t>
      </w:r>
      <w:r>
        <w:rPr>
          <w:rFonts w:cs="Arial"/>
          <w:sz w:val="24"/>
          <w:szCs w:val="24"/>
        </w:rPr>
        <w:t xml:space="preserve"> million ($2</w:t>
      </w:r>
      <w:r w:rsidR="0038340A">
        <w:rPr>
          <w:rFonts w:cs="Arial"/>
          <w:sz w:val="24"/>
          <w:szCs w:val="24"/>
        </w:rPr>
        <w:t>6</w:t>
      </w:r>
      <w:r>
        <w:rPr>
          <w:rFonts w:cs="Arial"/>
          <w:sz w:val="24"/>
          <w:szCs w:val="24"/>
        </w:rPr>
        <w:t xml:space="preserve"> million)</w:t>
      </w:r>
    </w:p>
    <w:p w14:paraId="67A327A2" w14:textId="77777777" w:rsidR="006E7115" w:rsidRDefault="006E7115" w:rsidP="00A121EE">
      <w:pPr>
        <w:pStyle w:val="ListParagraph"/>
        <w:numPr>
          <w:ilvl w:val="0"/>
          <w:numId w:val="17"/>
        </w:numPr>
        <w:jc w:val="both"/>
        <w:rPr>
          <w:rFonts w:cs="Arial"/>
          <w:sz w:val="24"/>
          <w:szCs w:val="24"/>
        </w:rPr>
      </w:pPr>
      <w:r>
        <w:rPr>
          <w:rFonts w:cs="Arial"/>
          <w:sz w:val="24"/>
          <w:szCs w:val="24"/>
        </w:rPr>
        <w:t>HOPWA: $366,000 ($1.8 million)</w:t>
      </w:r>
    </w:p>
    <w:p w14:paraId="79344FBC" w14:textId="77777777" w:rsidR="006E7115" w:rsidRDefault="006E7115" w:rsidP="00A121EE">
      <w:pPr>
        <w:pStyle w:val="ListParagraph"/>
        <w:numPr>
          <w:ilvl w:val="0"/>
          <w:numId w:val="17"/>
        </w:numPr>
        <w:jc w:val="both"/>
        <w:rPr>
          <w:rFonts w:cs="Arial"/>
          <w:sz w:val="24"/>
          <w:szCs w:val="24"/>
        </w:rPr>
      </w:pPr>
      <w:r>
        <w:rPr>
          <w:rFonts w:cs="Arial"/>
          <w:sz w:val="24"/>
          <w:szCs w:val="24"/>
        </w:rPr>
        <w:t>ESG: $1.5 million ($7.5 million)</w:t>
      </w:r>
    </w:p>
    <w:p w14:paraId="66E3CFFD" w14:textId="77777777" w:rsidR="006E7115" w:rsidRPr="00D6674E" w:rsidRDefault="006E7115" w:rsidP="00A121EE">
      <w:pPr>
        <w:pStyle w:val="ListParagraph"/>
        <w:numPr>
          <w:ilvl w:val="0"/>
          <w:numId w:val="17"/>
        </w:numPr>
        <w:jc w:val="both"/>
        <w:rPr>
          <w:rFonts w:cs="Arial"/>
          <w:sz w:val="24"/>
          <w:szCs w:val="24"/>
        </w:rPr>
      </w:pPr>
      <w:r>
        <w:rPr>
          <w:rFonts w:cs="Arial"/>
          <w:sz w:val="24"/>
          <w:szCs w:val="24"/>
        </w:rPr>
        <w:t>HTF: $3 million ($15 million)</w:t>
      </w:r>
    </w:p>
    <w:p w14:paraId="4CAEFDF1" w14:textId="77777777" w:rsidR="006E7115" w:rsidRDefault="006E7115" w:rsidP="006E7115">
      <w:pPr>
        <w:rPr>
          <w:rFonts w:ascii="Times New Roman" w:eastAsiaTheme="minorHAnsi" w:hAnsi="Times New Roman"/>
          <w:sz w:val="24"/>
          <w:szCs w:val="24"/>
        </w:rPr>
      </w:pPr>
      <w:r w:rsidRPr="00954D38">
        <w:rPr>
          <w:sz w:val="24"/>
          <w:szCs w:val="24"/>
        </w:rPr>
        <w:t xml:space="preserve">The </w:t>
      </w:r>
      <w:r>
        <w:rPr>
          <w:sz w:val="24"/>
          <w:szCs w:val="24"/>
        </w:rPr>
        <w:t>objectives of the Consolidated Plan</w:t>
      </w:r>
      <w:r w:rsidRPr="00954D38">
        <w:rPr>
          <w:sz w:val="24"/>
          <w:szCs w:val="24"/>
        </w:rPr>
        <w:t>, as</w:t>
      </w:r>
      <w:r>
        <w:rPr>
          <w:sz w:val="24"/>
          <w:szCs w:val="24"/>
        </w:rPr>
        <w:t xml:space="preserve"> identified by HUD and accepted </w:t>
      </w:r>
      <w:r w:rsidRPr="00954D38">
        <w:rPr>
          <w:sz w:val="24"/>
          <w:szCs w:val="24"/>
        </w:rPr>
        <w:t>by the Kansas Department of Commerce (Commerce</w:t>
      </w:r>
      <w:r>
        <w:rPr>
          <w:sz w:val="24"/>
          <w:szCs w:val="24"/>
        </w:rPr>
        <w:t xml:space="preserve">), the Kansas Housing Resources </w:t>
      </w:r>
      <w:r w:rsidRPr="00954D38">
        <w:rPr>
          <w:sz w:val="24"/>
          <w:szCs w:val="24"/>
        </w:rPr>
        <w:t>Corporation (KHRC), and the Kansas Department of Health and Environment (KDHE), include:</w:t>
      </w:r>
    </w:p>
    <w:p w14:paraId="7050E901"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Create communities of opportunity</w:t>
      </w:r>
    </w:p>
    <w:p w14:paraId="6B07BF20"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Foster a comprehensive vision of development</w:t>
      </w:r>
    </w:p>
    <w:p w14:paraId="233C20E5"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Promote coordination of local activities</w:t>
      </w:r>
    </w:p>
    <w:p w14:paraId="54C6A4D1"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Establish a continuum of care with homeless persons</w:t>
      </w:r>
    </w:p>
    <w:p w14:paraId="63ADC588"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Support economic opportunities for target areas</w:t>
      </w:r>
    </w:p>
    <w:p w14:paraId="1C7FE9EB"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Assist low-and-moderate income persons, minority- and women-owned businesses</w:t>
      </w:r>
    </w:p>
    <w:p w14:paraId="723DAB58" w14:textId="77777777" w:rsidR="006E7115" w:rsidRPr="009B66FA" w:rsidRDefault="006E7115" w:rsidP="00A121EE">
      <w:pPr>
        <w:pStyle w:val="ListParagraph"/>
        <w:numPr>
          <w:ilvl w:val="0"/>
          <w:numId w:val="9"/>
        </w:numPr>
        <w:rPr>
          <w:rFonts w:cs="Arial"/>
          <w:sz w:val="24"/>
          <w:szCs w:val="24"/>
        </w:rPr>
      </w:pPr>
      <w:r w:rsidRPr="009B66FA">
        <w:rPr>
          <w:rFonts w:cs="Arial"/>
          <w:sz w:val="24"/>
          <w:szCs w:val="24"/>
        </w:rPr>
        <w:t>Encourage innovative projects.</w:t>
      </w:r>
    </w:p>
    <w:p w14:paraId="42E33A0B" w14:textId="77777777" w:rsidR="006E7115" w:rsidRPr="00954D38" w:rsidRDefault="006E7115" w:rsidP="006E7115">
      <w:pPr>
        <w:autoSpaceDE w:val="0"/>
        <w:autoSpaceDN w:val="0"/>
        <w:adjustRightInd w:val="0"/>
        <w:spacing w:after="0"/>
        <w:jc w:val="both"/>
        <w:rPr>
          <w:sz w:val="24"/>
          <w:szCs w:val="24"/>
        </w:rPr>
      </w:pPr>
      <w:r w:rsidRPr="00954D38">
        <w:rPr>
          <w:sz w:val="24"/>
          <w:szCs w:val="24"/>
        </w:rPr>
        <w:t xml:space="preserve">The Kansas Consolidated Plan affirms the three </w:t>
      </w:r>
      <w:r>
        <w:rPr>
          <w:sz w:val="24"/>
          <w:szCs w:val="24"/>
        </w:rPr>
        <w:t>n</w:t>
      </w:r>
      <w:r w:rsidRPr="00954D38">
        <w:rPr>
          <w:sz w:val="24"/>
          <w:szCs w:val="24"/>
        </w:rPr>
        <w:t xml:space="preserve">ational </w:t>
      </w:r>
      <w:r>
        <w:rPr>
          <w:sz w:val="24"/>
          <w:szCs w:val="24"/>
        </w:rPr>
        <w:t>o</w:t>
      </w:r>
      <w:r w:rsidRPr="00954D38">
        <w:rPr>
          <w:sz w:val="24"/>
          <w:szCs w:val="24"/>
        </w:rPr>
        <w:t>bjectives of Title I of the Housing</w:t>
      </w:r>
    </w:p>
    <w:p w14:paraId="22368134" w14:textId="77777777" w:rsidR="006E7115" w:rsidRDefault="006E7115" w:rsidP="006E7115">
      <w:pPr>
        <w:autoSpaceDE w:val="0"/>
        <w:autoSpaceDN w:val="0"/>
        <w:adjustRightInd w:val="0"/>
        <w:spacing w:after="0"/>
        <w:rPr>
          <w:sz w:val="24"/>
          <w:szCs w:val="24"/>
        </w:rPr>
      </w:pPr>
      <w:r w:rsidRPr="00954D38">
        <w:rPr>
          <w:sz w:val="24"/>
          <w:szCs w:val="24"/>
        </w:rPr>
        <w:t>and Community Development Act of 1974, as amended, including activities which:</w:t>
      </w:r>
    </w:p>
    <w:p w14:paraId="20076D20" w14:textId="77777777" w:rsidR="006E7115" w:rsidRPr="009B66FA" w:rsidRDefault="006E7115" w:rsidP="00A121EE">
      <w:pPr>
        <w:pStyle w:val="ListParagraph"/>
        <w:numPr>
          <w:ilvl w:val="0"/>
          <w:numId w:val="9"/>
        </w:numPr>
        <w:jc w:val="both"/>
        <w:rPr>
          <w:rFonts w:cs="Arial"/>
          <w:sz w:val="24"/>
          <w:szCs w:val="24"/>
        </w:rPr>
      </w:pPr>
      <w:r w:rsidRPr="009B66FA">
        <w:rPr>
          <w:rFonts w:cs="Arial"/>
          <w:sz w:val="24"/>
          <w:szCs w:val="24"/>
        </w:rPr>
        <w:t>Primarily benefit low-and-moderate income persons</w:t>
      </w:r>
    </w:p>
    <w:p w14:paraId="57F2382B" w14:textId="77777777" w:rsidR="006E7115" w:rsidRPr="009B66FA" w:rsidRDefault="006E7115" w:rsidP="00A121EE">
      <w:pPr>
        <w:pStyle w:val="ListParagraph"/>
        <w:numPr>
          <w:ilvl w:val="0"/>
          <w:numId w:val="9"/>
        </w:numPr>
        <w:jc w:val="both"/>
        <w:rPr>
          <w:rFonts w:cs="Arial"/>
          <w:sz w:val="24"/>
          <w:szCs w:val="24"/>
        </w:rPr>
      </w:pPr>
      <w:r w:rsidRPr="009B66FA">
        <w:rPr>
          <w:rFonts w:cs="Arial"/>
          <w:sz w:val="24"/>
          <w:szCs w:val="24"/>
        </w:rPr>
        <w:t>Aid in the prevention of slums and blight</w:t>
      </w:r>
    </w:p>
    <w:p w14:paraId="0261B7C5" w14:textId="77777777" w:rsidR="006E7115" w:rsidRDefault="006E7115" w:rsidP="00A121EE">
      <w:pPr>
        <w:pStyle w:val="ListParagraph"/>
        <w:numPr>
          <w:ilvl w:val="0"/>
          <w:numId w:val="9"/>
        </w:numPr>
        <w:jc w:val="both"/>
        <w:rPr>
          <w:rFonts w:cs="Arial"/>
          <w:sz w:val="24"/>
          <w:szCs w:val="24"/>
        </w:rPr>
      </w:pPr>
      <w:r w:rsidRPr="009B66FA">
        <w:rPr>
          <w:rFonts w:cs="Arial"/>
          <w:sz w:val="24"/>
          <w:szCs w:val="24"/>
        </w:rPr>
        <w:t>Alleviate conditions which pose a serious and immediate threat to the health or welfare of</w:t>
      </w:r>
      <w:r>
        <w:rPr>
          <w:rFonts w:cs="Arial"/>
          <w:sz w:val="24"/>
          <w:szCs w:val="24"/>
        </w:rPr>
        <w:t xml:space="preserve"> </w:t>
      </w:r>
      <w:r w:rsidRPr="009B66FA">
        <w:rPr>
          <w:rFonts w:cs="Arial"/>
          <w:sz w:val="24"/>
          <w:szCs w:val="24"/>
        </w:rPr>
        <w:t>a community.</w:t>
      </w:r>
    </w:p>
    <w:p w14:paraId="79D3B47D" w14:textId="77777777" w:rsidR="006E7115" w:rsidRDefault="006E7115" w:rsidP="006E7115">
      <w:pPr>
        <w:jc w:val="both"/>
        <w:rPr>
          <w:sz w:val="24"/>
          <w:szCs w:val="24"/>
        </w:rPr>
      </w:pPr>
      <w:r w:rsidRPr="00037530">
        <w:rPr>
          <w:sz w:val="24"/>
          <w:szCs w:val="24"/>
        </w:rPr>
        <w:t xml:space="preserve">The Kansas Consolidated Plan </w:t>
      </w:r>
      <w:r>
        <w:rPr>
          <w:sz w:val="24"/>
          <w:szCs w:val="24"/>
        </w:rPr>
        <w:t xml:space="preserve">also </w:t>
      </w:r>
      <w:r w:rsidRPr="00037530">
        <w:rPr>
          <w:sz w:val="24"/>
          <w:szCs w:val="24"/>
        </w:rPr>
        <w:t>endorses the objectives of the National Affordable Housing Act</w:t>
      </w:r>
      <w:r>
        <w:rPr>
          <w:sz w:val="24"/>
          <w:szCs w:val="24"/>
        </w:rPr>
        <w:t xml:space="preserve"> </w:t>
      </w:r>
      <w:r w:rsidRPr="00037530">
        <w:rPr>
          <w:sz w:val="24"/>
          <w:szCs w:val="24"/>
        </w:rPr>
        <w:t xml:space="preserve">of 1990, including: </w:t>
      </w:r>
    </w:p>
    <w:p w14:paraId="49C01AE5" w14:textId="77777777" w:rsidR="006E7115" w:rsidRDefault="006E7115" w:rsidP="00A121EE">
      <w:pPr>
        <w:pStyle w:val="ListParagraph"/>
        <w:numPr>
          <w:ilvl w:val="0"/>
          <w:numId w:val="17"/>
        </w:numPr>
        <w:jc w:val="both"/>
        <w:rPr>
          <w:sz w:val="24"/>
          <w:szCs w:val="24"/>
        </w:rPr>
      </w:pPr>
      <w:r>
        <w:rPr>
          <w:sz w:val="24"/>
          <w:szCs w:val="24"/>
        </w:rPr>
        <w:t>E</w:t>
      </w:r>
      <w:r w:rsidRPr="00037530">
        <w:rPr>
          <w:sz w:val="24"/>
          <w:szCs w:val="24"/>
        </w:rPr>
        <w:t>nsure that all residents</w:t>
      </w:r>
      <w:r>
        <w:rPr>
          <w:sz w:val="24"/>
          <w:szCs w:val="24"/>
        </w:rPr>
        <w:t xml:space="preserve"> have access to decent shelter</w:t>
      </w:r>
    </w:p>
    <w:p w14:paraId="69D49AEE" w14:textId="77777777" w:rsidR="006E7115" w:rsidRDefault="006E7115" w:rsidP="00A121EE">
      <w:pPr>
        <w:pStyle w:val="ListParagraph"/>
        <w:numPr>
          <w:ilvl w:val="0"/>
          <w:numId w:val="17"/>
        </w:numPr>
        <w:rPr>
          <w:sz w:val="24"/>
          <w:szCs w:val="24"/>
        </w:rPr>
      </w:pPr>
      <w:r>
        <w:rPr>
          <w:sz w:val="24"/>
          <w:szCs w:val="24"/>
        </w:rPr>
        <w:t>I</w:t>
      </w:r>
      <w:r w:rsidRPr="00037530">
        <w:rPr>
          <w:sz w:val="24"/>
          <w:szCs w:val="24"/>
        </w:rPr>
        <w:t>ncreas</w:t>
      </w:r>
      <w:r>
        <w:rPr>
          <w:sz w:val="24"/>
          <w:szCs w:val="24"/>
        </w:rPr>
        <w:t>e the supply of affordable housing</w:t>
      </w:r>
    </w:p>
    <w:p w14:paraId="1C489134" w14:textId="77777777" w:rsidR="006E7115" w:rsidRDefault="006E7115" w:rsidP="00A121EE">
      <w:pPr>
        <w:pStyle w:val="ListParagraph"/>
        <w:numPr>
          <w:ilvl w:val="0"/>
          <w:numId w:val="17"/>
        </w:numPr>
        <w:rPr>
          <w:sz w:val="24"/>
          <w:szCs w:val="24"/>
        </w:rPr>
      </w:pPr>
      <w:r>
        <w:rPr>
          <w:sz w:val="24"/>
          <w:szCs w:val="24"/>
        </w:rPr>
        <w:t>M</w:t>
      </w:r>
      <w:r w:rsidRPr="00037530">
        <w:rPr>
          <w:sz w:val="24"/>
          <w:szCs w:val="24"/>
        </w:rPr>
        <w:t>ake neighborhoods safe and li</w:t>
      </w:r>
      <w:r>
        <w:rPr>
          <w:sz w:val="24"/>
          <w:szCs w:val="24"/>
        </w:rPr>
        <w:t>vable; expand opportunities for homeownership</w:t>
      </w:r>
      <w:r w:rsidRPr="00037530">
        <w:rPr>
          <w:sz w:val="24"/>
          <w:szCs w:val="24"/>
        </w:rPr>
        <w:t xml:space="preserve"> </w:t>
      </w:r>
    </w:p>
    <w:p w14:paraId="26F72B38" w14:textId="77777777" w:rsidR="006E7115" w:rsidRDefault="006E7115" w:rsidP="00A121EE">
      <w:pPr>
        <w:pStyle w:val="ListParagraph"/>
        <w:numPr>
          <w:ilvl w:val="0"/>
          <w:numId w:val="17"/>
        </w:numPr>
        <w:rPr>
          <w:sz w:val="24"/>
          <w:szCs w:val="24"/>
        </w:rPr>
      </w:pPr>
      <w:r>
        <w:rPr>
          <w:sz w:val="24"/>
          <w:szCs w:val="24"/>
        </w:rPr>
        <w:t>P</w:t>
      </w:r>
      <w:r w:rsidRPr="00037530">
        <w:rPr>
          <w:sz w:val="24"/>
          <w:szCs w:val="24"/>
        </w:rPr>
        <w:t>rovide a relia</w:t>
      </w:r>
      <w:r>
        <w:rPr>
          <w:sz w:val="24"/>
          <w:szCs w:val="24"/>
        </w:rPr>
        <w:t>ble supply of mortgage finance</w:t>
      </w:r>
    </w:p>
    <w:p w14:paraId="7341C713" w14:textId="77777777" w:rsidR="006E7115" w:rsidRDefault="006E7115" w:rsidP="00A121EE">
      <w:pPr>
        <w:pStyle w:val="ListParagraph"/>
        <w:numPr>
          <w:ilvl w:val="0"/>
          <w:numId w:val="17"/>
        </w:numPr>
        <w:rPr>
          <w:sz w:val="24"/>
          <w:szCs w:val="24"/>
        </w:rPr>
      </w:pPr>
      <w:r>
        <w:rPr>
          <w:sz w:val="24"/>
          <w:szCs w:val="24"/>
        </w:rPr>
        <w:t>Reduce generational poverty in assisted housing</w:t>
      </w:r>
    </w:p>
    <w:p w14:paraId="3D7F2BE6" w14:textId="77777777" w:rsidR="006E7115" w:rsidRPr="00037530" w:rsidRDefault="006E7115" w:rsidP="006E7115">
      <w:pPr>
        <w:rPr>
          <w:sz w:val="24"/>
          <w:szCs w:val="24"/>
        </w:rPr>
      </w:pPr>
      <w:r>
        <w:rPr>
          <w:sz w:val="24"/>
          <w:szCs w:val="24"/>
        </w:rPr>
        <w:t>T</w:t>
      </w:r>
      <w:r w:rsidRPr="00037530">
        <w:rPr>
          <w:sz w:val="24"/>
          <w:szCs w:val="24"/>
        </w:rPr>
        <w:t xml:space="preserve">he Kansas Consolidated Plan </w:t>
      </w:r>
      <w:r>
        <w:rPr>
          <w:sz w:val="24"/>
          <w:szCs w:val="24"/>
        </w:rPr>
        <w:t xml:space="preserve">also addresses the needs of persons </w:t>
      </w:r>
      <w:r w:rsidRPr="00037530">
        <w:rPr>
          <w:sz w:val="24"/>
          <w:szCs w:val="24"/>
        </w:rPr>
        <w:t>living with HIV/AIDS</w:t>
      </w:r>
      <w:r>
        <w:rPr>
          <w:sz w:val="24"/>
          <w:szCs w:val="24"/>
        </w:rPr>
        <w:t xml:space="preserve"> through the HOPWA program. </w:t>
      </w:r>
      <w:r w:rsidRPr="00037530">
        <w:rPr>
          <w:sz w:val="24"/>
          <w:szCs w:val="24"/>
        </w:rPr>
        <w:t>The Kansas Consolidated Plan supports the objectives of the Stewart B. McKinney Homeless</w:t>
      </w:r>
      <w:r>
        <w:rPr>
          <w:sz w:val="24"/>
          <w:szCs w:val="24"/>
        </w:rPr>
        <w:t xml:space="preserve"> </w:t>
      </w:r>
      <w:r w:rsidRPr="00037530">
        <w:rPr>
          <w:sz w:val="24"/>
          <w:szCs w:val="24"/>
        </w:rPr>
        <w:t>Assistance Act of 1987.</w:t>
      </w:r>
    </w:p>
    <w:p w14:paraId="52C3E41B" w14:textId="77777777" w:rsidR="006E7115" w:rsidRPr="00037530" w:rsidRDefault="006E7115" w:rsidP="006E7115">
      <w:pPr>
        <w:rPr>
          <w:sz w:val="24"/>
          <w:szCs w:val="24"/>
        </w:rPr>
      </w:pPr>
      <w:r w:rsidRPr="00037530">
        <w:rPr>
          <w:sz w:val="24"/>
          <w:szCs w:val="24"/>
        </w:rPr>
        <w:t xml:space="preserve">Accordingly, the Kansas Consolidated Plan describes the priorities and guidelines of the </w:t>
      </w:r>
      <w:r>
        <w:rPr>
          <w:sz w:val="24"/>
          <w:szCs w:val="24"/>
        </w:rPr>
        <w:t xml:space="preserve">five </w:t>
      </w:r>
      <w:r w:rsidRPr="00037530">
        <w:rPr>
          <w:sz w:val="24"/>
          <w:szCs w:val="24"/>
        </w:rPr>
        <w:t xml:space="preserve">federally </w:t>
      </w:r>
      <w:r>
        <w:rPr>
          <w:sz w:val="24"/>
          <w:szCs w:val="24"/>
        </w:rPr>
        <w:t xml:space="preserve">funded </w:t>
      </w:r>
      <w:r w:rsidRPr="00037530">
        <w:rPr>
          <w:sz w:val="24"/>
          <w:szCs w:val="24"/>
        </w:rPr>
        <w:t>programs</w:t>
      </w:r>
      <w:r>
        <w:rPr>
          <w:sz w:val="24"/>
          <w:szCs w:val="24"/>
        </w:rPr>
        <w:t>, including</w:t>
      </w:r>
      <w:r w:rsidRPr="00037530">
        <w:rPr>
          <w:sz w:val="24"/>
          <w:szCs w:val="24"/>
        </w:rPr>
        <w:t xml:space="preserve">: </w:t>
      </w:r>
      <w:r>
        <w:rPr>
          <w:sz w:val="24"/>
          <w:szCs w:val="24"/>
        </w:rPr>
        <w:t xml:space="preserve">CDBG, ESG, HOME, HOPWA, and HTF. The </w:t>
      </w:r>
      <w:r w:rsidRPr="00037530">
        <w:rPr>
          <w:sz w:val="24"/>
          <w:szCs w:val="24"/>
        </w:rPr>
        <w:t xml:space="preserve">Department of Commerce will administer the CDBG program. </w:t>
      </w:r>
      <w:r>
        <w:rPr>
          <w:sz w:val="24"/>
          <w:szCs w:val="24"/>
        </w:rPr>
        <w:t xml:space="preserve"> Kansas Housing Resources </w:t>
      </w:r>
      <w:r w:rsidRPr="00954D38">
        <w:rPr>
          <w:sz w:val="24"/>
          <w:szCs w:val="24"/>
        </w:rPr>
        <w:t xml:space="preserve">Corporation </w:t>
      </w:r>
      <w:r>
        <w:rPr>
          <w:sz w:val="24"/>
          <w:szCs w:val="24"/>
        </w:rPr>
        <w:t>(</w:t>
      </w:r>
      <w:r w:rsidRPr="00037530">
        <w:rPr>
          <w:sz w:val="24"/>
          <w:szCs w:val="24"/>
        </w:rPr>
        <w:t>KHRC</w:t>
      </w:r>
      <w:r>
        <w:rPr>
          <w:sz w:val="24"/>
          <w:szCs w:val="24"/>
        </w:rPr>
        <w:t>)</w:t>
      </w:r>
      <w:r w:rsidRPr="00037530">
        <w:rPr>
          <w:sz w:val="24"/>
          <w:szCs w:val="24"/>
        </w:rPr>
        <w:t xml:space="preserve"> will administer the</w:t>
      </w:r>
      <w:r>
        <w:rPr>
          <w:sz w:val="24"/>
          <w:szCs w:val="24"/>
        </w:rPr>
        <w:t xml:space="preserve"> </w:t>
      </w:r>
      <w:r w:rsidR="009141AE">
        <w:rPr>
          <w:sz w:val="24"/>
          <w:szCs w:val="24"/>
        </w:rPr>
        <w:t xml:space="preserve">HOME, HTF, and </w:t>
      </w:r>
      <w:r w:rsidRPr="00037530">
        <w:rPr>
          <w:sz w:val="24"/>
          <w:szCs w:val="24"/>
        </w:rPr>
        <w:t xml:space="preserve">ESG programs. The </w:t>
      </w:r>
      <w:r w:rsidRPr="00954D38">
        <w:rPr>
          <w:sz w:val="24"/>
          <w:szCs w:val="24"/>
        </w:rPr>
        <w:t xml:space="preserve">Kansas Department of Health and Environment </w:t>
      </w:r>
      <w:r>
        <w:rPr>
          <w:sz w:val="24"/>
          <w:szCs w:val="24"/>
        </w:rPr>
        <w:t>(</w:t>
      </w:r>
      <w:r w:rsidRPr="00037530">
        <w:rPr>
          <w:sz w:val="24"/>
          <w:szCs w:val="24"/>
        </w:rPr>
        <w:t>KDHE</w:t>
      </w:r>
      <w:r>
        <w:rPr>
          <w:sz w:val="24"/>
          <w:szCs w:val="24"/>
        </w:rPr>
        <w:t>)</w:t>
      </w:r>
      <w:r w:rsidRPr="00037530">
        <w:rPr>
          <w:sz w:val="24"/>
          <w:szCs w:val="24"/>
        </w:rPr>
        <w:t xml:space="preserve"> will administer the HOPWA program.</w:t>
      </w:r>
    </w:p>
    <w:p w14:paraId="4012B993" w14:textId="77777777" w:rsidR="006E7115" w:rsidRDefault="006E7115" w:rsidP="006E7115">
      <w:pPr>
        <w:ind w:left="720" w:hanging="720"/>
        <w:rPr>
          <w:b/>
          <w:sz w:val="24"/>
          <w:szCs w:val="24"/>
        </w:rPr>
      </w:pPr>
      <w:r>
        <w:rPr>
          <w:b/>
          <w:sz w:val="24"/>
          <w:szCs w:val="24"/>
        </w:rPr>
        <w:t>2.</w:t>
      </w:r>
      <w:r>
        <w:rPr>
          <w:b/>
          <w:sz w:val="24"/>
          <w:szCs w:val="24"/>
        </w:rPr>
        <w:tab/>
        <w:t>Summary of the objectives and outcomes identified in the Plan/Needs Assessment Overview</w:t>
      </w:r>
    </w:p>
    <w:p w14:paraId="2966071C" w14:textId="77777777" w:rsidR="006E7115" w:rsidRDefault="006E7115" w:rsidP="006E7115">
      <w:pPr>
        <w:spacing w:beforeAutospacing="1" w:afterAutospacing="1"/>
        <w:rPr>
          <w:rFonts w:cs="Arial"/>
          <w:sz w:val="24"/>
          <w:szCs w:val="24"/>
        </w:rPr>
      </w:pPr>
      <w:r>
        <w:rPr>
          <w:rFonts w:cs="Arial"/>
          <w:sz w:val="24"/>
          <w:szCs w:val="24"/>
        </w:rPr>
        <w:t xml:space="preserve">The housing needs as described in the Needs Assessment portion of this document were determined through stakeholder engagements and analyses of available datasets. Stakeholder engagements were done both in-person with agency leaders as well as via online web sessions. The online sessions were made available to a wider audience, seeking input from those individuals in the field working with and for programs that receive HUD funding. The datasets used are the Comprehensive Housing Affordability Strategy (CHAS) dataset and the American Community Survey. Both datasets are developed by the United States Census Bureau, and both datasets are for years 2009-2013, the most recent data available at the time this document was developed. </w:t>
      </w:r>
    </w:p>
    <w:p w14:paraId="4A2B7452" w14:textId="77777777" w:rsidR="006E7115" w:rsidRDefault="006E7115" w:rsidP="006E7115">
      <w:pPr>
        <w:spacing w:beforeAutospacing="1" w:afterAutospacing="1"/>
        <w:rPr>
          <w:rFonts w:cs="Arial"/>
          <w:sz w:val="24"/>
          <w:szCs w:val="24"/>
        </w:rPr>
      </w:pPr>
      <w:r>
        <w:rPr>
          <w:rFonts w:cs="Arial"/>
          <w:sz w:val="24"/>
          <w:szCs w:val="24"/>
        </w:rPr>
        <w:t xml:space="preserve">Through stakeholder engagement, supported by data, it was found that cost burden and workforce housing are the key issues facing Kansans seeking housing. Generally, renter households experience cost burden and other housing problems at a higher rate, this rate increases for those households that earn less than 80% of the area median income. </w:t>
      </w:r>
    </w:p>
    <w:p w14:paraId="001A3BA5" w14:textId="77777777" w:rsidR="006E7115" w:rsidRPr="009C07BA" w:rsidRDefault="006E7115" w:rsidP="006E7115">
      <w:pPr>
        <w:spacing w:beforeAutospacing="1" w:afterAutospacing="1"/>
        <w:rPr>
          <w:rFonts w:cs="Arial"/>
          <w:sz w:val="24"/>
          <w:szCs w:val="24"/>
        </w:rPr>
      </w:pPr>
      <w:r>
        <w:rPr>
          <w:rFonts w:cs="Arial"/>
          <w:sz w:val="24"/>
          <w:szCs w:val="24"/>
        </w:rPr>
        <w:t xml:space="preserve">To address the needs identified, the State has established the following goals and desired outcomes to be achieved in utilization of the funds provided by HUD. The “Goal Outcome” column is reflecting a five-year period of time. </w:t>
      </w:r>
    </w:p>
    <w:tbl>
      <w:tblPr>
        <w:tblStyle w:val="GridTable4-Accent1"/>
        <w:tblW w:w="0" w:type="auto"/>
        <w:tblLook w:val="0420" w:firstRow="1" w:lastRow="0" w:firstColumn="0" w:lastColumn="0" w:noHBand="0" w:noVBand="1"/>
      </w:tblPr>
      <w:tblGrid>
        <w:gridCol w:w="3501"/>
        <w:gridCol w:w="1001"/>
        <w:gridCol w:w="4848"/>
      </w:tblGrid>
      <w:tr w:rsidR="006E7115" w14:paraId="02DB8069" w14:textId="77777777" w:rsidTr="00F66A86">
        <w:trPr>
          <w:cnfStyle w:val="100000000000" w:firstRow="1" w:lastRow="0" w:firstColumn="0" w:lastColumn="0" w:oddVBand="0" w:evenVBand="0" w:oddHBand="0" w:evenHBand="0" w:firstRowFirstColumn="0" w:firstRowLastColumn="0" w:lastRowFirstColumn="0" w:lastRowLastColumn="0"/>
        </w:trPr>
        <w:tc>
          <w:tcPr>
            <w:tcW w:w="3501" w:type="dxa"/>
          </w:tcPr>
          <w:p w14:paraId="096ED1DB" w14:textId="77777777" w:rsidR="006E7115" w:rsidRDefault="006E7115" w:rsidP="006E7115">
            <w:pPr>
              <w:jc w:val="center"/>
              <w:rPr>
                <w:b w:val="0"/>
                <w:sz w:val="24"/>
                <w:szCs w:val="24"/>
              </w:rPr>
            </w:pPr>
            <w:r>
              <w:rPr>
                <w:b w:val="0"/>
                <w:sz w:val="24"/>
                <w:szCs w:val="24"/>
              </w:rPr>
              <w:t>Goal/Objective</w:t>
            </w:r>
          </w:p>
        </w:tc>
        <w:tc>
          <w:tcPr>
            <w:tcW w:w="1001" w:type="dxa"/>
          </w:tcPr>
          <w:p w14:paraId="7B7578C7" w14:textId="77777777" w:rsidR="006E7115" w:rsidRDefault="006E7115" w:rsidP="006E7115">
            <w:pPr>
              <w:jc w:val="center"/>
              <w:rPr>
                <w:b w:val="0"/>
                <w:sz w:val="24"/>
                <w:szCs w:val="24"/>
              </w:rPr>
            </w:pPr>
            <w:r>
              <w:rPr>
                <w:b w:val="0"/>
                <w:sz w:val="24"/>
                <w:szCs w:val="24"/>
              </w:rPr>
              <w:t>Funding Source</w:t>
            </w:r>
          </w:p>
        </w:tc>
        <w:tc>
          <w:tcPr>
            <w:tcW w:w="4848" w:type="dxa"/>
          </w:tcPr>
          <w:p w14:paraId="64A757AD" w14:textId="77777777" w:rsidR="006E7115" w:rsidRDefault="006E7115" w:rsidP="006E7115">
            <w:pPr>
              <w:jc w:val="center"/>
              <w:rPr>
                <w:b w:val="0"/>
                <w:sz w:val="24"/>
                <w:szCs w:val="24"/>
              </w:rPr>
            </w:pPr>
            <w:r>
              <w:rPr>
                <w:b w:val="0"/>
                <w:sz w:val="24"/>
                <w:szCs w:val="24"/>
              </w:rPr>
              <w:t>Goal Outcome</w:t>
            </w:r>
          </w:p>
        </w:tc>
      </w:tr>
      <w:tr w:rsidR="006E7115" w14:paraId="660DA8E3"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39D9F996" w14:textId="77777777" w:rsidR="006E7115" w:rsidRPr="00A70B9C" w:rsidRDefault="006E7115" w:rsidP="006E7115">
            <w:pPr>
              <w:rPr>
                <w:sz w:val="24"/>
                <w:szCs w:val="24"/>
              </w:rPr>
            </w:pPr>
            <w:r>
              <w:rPr>
                <w:sz w:val="24"/>
                <w:szCs w:val="24"/>
              </w:rPr>
              <w:t>Water and Sewer Improvements</w:t>
            </w:r>
          </w:p>
        </w:tc>
        <w:tc>
          <w:tcPr>
            <w:tcW w:w="1001" w:type="dxa"/>
          </w:tcPr>
          <w:p w14:paraId="7A48C73B" w14:textId="77777777" w:rsidR="006E7115" w:rsidRPr="00A70B9C" w:rsidRDefault="006E7115" w:rsidP="006E7115">
            <w:pPr>
              <w:rPr>
                <w:sz w:val="24"/>
                <w:szCs w:val="24"/>
              </w:rPr>
            </w:pPr>
            <w:r>
              <w:rPr>
                <w:sz w:val="24"/>
                <w:szCs w:val="24"/>
              </w:rPr>
              <w:t>CDBG</w:t>
            </w:r>
          </w:p>
        </w:tc>
        <w:tc>
          <w:tcPr>
            <w:tcW w:w="4848" w:type="dxa"/>
          </w:tcPr>
          <w:p w14:paraId="55102E2D" w14:textId="77777777" w:rsidR="006E7115" w:rsidRPr="00A70B9C" w:rsidRDefault="006E7115" w:rsidP="006E7115">
            <w:pPr>
              <w:keepNext/>
              <w:widowControl w:val="0"/>
              <w:spacing w:after="0" w:line="240" w:lineRule="auto"/>
              <w:rPr>
                <w:sz w:val="24"/>
                <w:szCs w:val="20"/>
              </w:rPr>
            </w:pPr>
            <w:r w:rsidRPr="00A70B9C">
              <w:rPr>
                <w:sz w:val="24"/>
                <w:szCs w:val="20"/>
              </w:rPr>
              <w:t>Public Facility or Infrastructure Activities other than Low/Moderate Income Housing Benefit:</w:t>
            </w:r>
          </w:p>
          <w:p w14:paraId="68C8450B" w14:textId="77777777" w:rsidR="006E7115" w:rsidRPr="00A70B9C" w:rsidRDefault="006E7115" w:rsidP="006E7115">
            <w:pPr>
              <w:rPr>
                <w:sz w:val="24"/>
                <w:szCs w:val="24"/>
              </w:rPr>
            </w:pPr>
            <w:r w:rsidRPr="00A70B9C">
              <w:rPr>
                <w:sz w:val="24"/>
                <w:szCs w:val="20"/>
              </w:rPr>
              <w:t>126,631 Persons Assisted</w:t>
            </w:r>
          </w:p>
        </w:tc>
      </w:tr>
      <w:tr w:rsidR="006E7115" w14:paraId="5DF8F809" w14:textId="77777777" w:rsidTr="00F66A86">
        <w:tc>
          <w:tcPr>
            <w:tcW w:w="3501" w:type="dxa"/>
          </w:tcPr>
          <w:p w14:paraId="3514E9E7" w14:textId="77777777" w:rsidR="006E7115" w:rsidRPr="00A70B9C" w:rsidRDefault="006E7115" w:rsidP="006E7115">
            <w:pPr>
              <w:rPr>
                <w:sz w:val="24"/>
                <w:szCs w:val="24"/>
              </w:rPr>
            </w:pPr>
            <w:r>
              <w:rPr>
                <w:sz w:val="24"/>
                <w:szCs w:val="24"/>
              </w:rPr>
              <w:t>Increasing the quality of housing</w:t>
            </w:r>
          </w:p>
        </w:tc>
        <w:tc>
          <w:tcPr>
            <w:tcW w:w="1001" w:type="dxa"/>
          </w:tcPr>
          <w:p w14:paraId="7E5E09CC" w14:textId="77777777" w:rsidR="006E7115" w:rsidRPr="00A70B9C" w:rsidRDefault="006E7115" w:rsidP="006E7115">
            <w:pPr>
              <w:rPr>
                <w:sz w:val="24"/>
                <w:szCs w:val="24"/>
              </w:rPr>
            </w:pPr>
            <w:r>
              <w:rPr>
                <w:sz w:val="24"/>
                <w:szCs w:val="24"/>
              </w:rPr>
              <w:t>CDBG</w:t>
            </w:r>
          </w:p>
        </w:tc>
        <w:tc>
          <w:tcPr>
            <w:tcW w:w="4848" w:type="dxa"/>
          </w:tcPr>
          <w:p w14:paraId="78AAD0DD" w14:textId="77777777" w:rsidR="006E7115" w:rsidRPr="00A70B9C" w:rsidRDefault="006E7115" w:rsidP="006E7115">
            <w:pPr>
              <w:keepNext/>
              <w:widowControl w:val="0"/>
              <w:spacing w:after="0" w:line="240" w:lineRule="auto"/>
              <w:rPr>
                <w:sz w:val="24"/>
                <w:szCs w:val="20"/>
              </w:rPr>
            </w:pPr>
            <w:r w:rsidRPr="00A70B9C">
              <w:rPr>
                <w:sz w:val="24"/>
                <w:szCs w:val="20"/>
              </w:rPr>
              <w:t>New rental units: 143</w:t>
            </w:r>
          </w:p>
          <w:p w14:paraId="4C1BB4EE" w14:textId="77777777" w:rsidR="006E7115" w:rsidRPr="00A70B9C" w:rsidRDefault="006E7115" w:rsidP="006E7115">
            <w:pPr>
              <w:rPr>
                <w:sz w:val="24"/>
                <w:szCs w:val="24"/>
              </w:rPr>
            </w:pPr>
            <w:r w:rsidRPr="00A70B9C">
              <w:rPr>
                <w:sz w:val="24"/>
                <w:szCs w:val="20"/>
              </w:rPr>
              <w:t>Rental rehabilitation: 54</w:t>
            </w:r>
          </w:p>
        </w:tc>
      </w:tr>
      <w:tr w:rsidR="006E7115" w14:paraId="56119C0D"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3350487D" w14:textId="77777777" w:rsidR="006E7115" w:rsidRPr="00A70B9C" w:rsidRDefault="006E7115" w:rsidP="006E7115">
            <w:pPr>
              <w:rPr>
                <w:sz w:val="24"/>
                <w:szCs w:val="24"/>
              </w:rPr>
            </w:pPr>
            <w:r>
              <w:rPr>
                <w:sz w:val="24"/>
                <w:szCs w:val="24"/>
              </w:rPr>
              <w:t>Community Facilities</w:t>
            </w:r>
          </w:p>
        </w:tc>
        <w:tc>
          <w:tcPr>
            <w:tcW w:w="1001" w:type="dxa"/>
          </w:tcPr>
          <w:p w14:paraId="29F9A75F" w14:textId="77777777" w:rsidR="006E7115" w:rsidRPr="00A70B9C" w:rsidRDefault="006E7115" w:rsidP="006E7115">
            <w:pPr>
              <w:rPr>
                <w:sz w:val="24"/>
                <w:szCs w:val="24"/>
              </w:rPr>
            </w:pPr>
            <w:r>
              <w:rPr>
                <w:sz w:val="24"/>
                <w:szCs w:val="24"/>
              </w:rPr>
              <w:t>CDBG</w:t>
            </w:r>
          </w:p>
        </w:tc>
        <w:tc>
          <w:tcPr>
            <w:tcW w:w="4848" w:type="dxa"/>
          </w:tcPr>
          <w:p w14:paraId="6996B7AF" w14:textId="77777777" w:rsidR="006E7115" w:rsidRPr="00A70B9C" w:rsidRDefault="006E7115" w:rsidP="006E7115">
            <w:pPr>
              <w:rPr>
                <w:sz w:val="24"/>
                <w:szCs w:val="24"/>
              </w:rPr>
            </w:pPr>
            <w:r w:rsidRPr="00A70B9C">
              <w:rPr>
                <w:sz w:val="24"/>
                <w:szCs w:val="20"/>
              </w:rPr>
              <w:t>Other: 41</w:t>
            </w:r>
          </w:p>
        </w:tc>
      </w:tr>
      <w:tr w:rsidR="006E7115" w14:paraId="1D923644" w14:textId="77777777" w:rsidTr="00F66A86">
        <w:tc>
          <w:tcPr>
            <w:tcW w:w="3501" w:type="dxa"/>
          </w:tcPr>
          <w:p w14:paraId="7C9C72A4" w14:textId="77777777" w:rsidR="006E7115" w:rsidRPr="00A70B9C" w:rsidRDefault="006E7115" w:rsidP="006E7115">
            <w:pPr>
              <w:rPr>
                <w:sz w:val="24"/>
                <w:szCs w:val="24"/>
              </w:rPr>
            </w:pPr>
            <w:r>
              <w:rPr>
                <w:sz w:val="24"/>
                <w:szCs w:val="24"/>
              </w:rPr>
              <w:t>Economic Development</w:t>
            </w:r>
          </w:p>
        </w:tc>
        <w:tc>
          <w:tcPr>
            <w:tcW w:w="1001" w:type="dxa"/>
          </w:tcPr>
          <w:p w14:paraId="18E6E834" w14:textId="77777777" w:rsidR="006E7115" w:rsidRPr="00A70B9C" w:rsidRDefault="006E7115" w:rsidP="006E7115">
            <w:pPr>
              <w:rPr>
                <w:sz w:val="24"/>
                <w:szCs w:val="24"/>
              </w:rPr>
            </w:pPr>
            <w:r>
              <w:rPr>
                <w:sz w:val="24"/>
                <w:szCs w:val="24"/>
              </w:rPr>
              <w:t>CDBG</w:t>
            </w:r>
          </w:p>
        </w:tc>
        <w:tc>
          <w:tcPr>
            <w:tcW w:w="4848" w:type="dxa"/>
          </w:tcPr>
          <w:p w14:paraId="6D66D8A5" w14:textId="77777777" w:rsidR="006E7115" w:rsidRPr="00A70B9C" w:rsidRDefault="006E7115" w:rsidP="006E7115">
            <w:pPr>
              <w:rPr>
                <w:sz w:val="24"/>
                <w:szCs w:val="24"/>
              </w:rPr>
            </w:pPr>
            <w:r w:rsidRPr="00A70B9C">
              <w:rPr>
                <w:sz w:val="24"/>
                <w:szCs w:val="20"/>
              </w:rPr>
              <w:t>Businesses assisted: 24</w:t>
            </w:r>
          </w:p>
        </w:tc>
      </w:tr>
      <w:tr w:rsidR="006E7115" w14:paraId="5923079B"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0D38A027" w14:textId="77777777" w:rsidR="006E7115" w:rsidRPr="00A70B9C" w:rsidRDefault="006E7115" w:rsidP="006E7115">
            <w:pPr>
              <w:rPr>
                <w:sz w:val="24"/>
                <w:szCs w:val="24"/>
              </w:rPr>
            </w:pPr>
            <w:r>
              <w:rPr>
                <w:sz w:val="24"/>
                <w:szCs w:val="24"/>
              </w:rPr>
              <w:t>Downtown Commercial Rehabilitation</w:t>
            </w:r>
          </w:p>
        </w:tc>
        <w:tc>
          <w:tcPr>
            <w:tcW w:w="1001" w:type="dxa"/>
          </w:tcPr>
          <w:p w14:paraId="5064BCA7" w14:textId="77777777" w:rsidR="006E7115" w:rsidRPr="00A70B9C" w:rsidRDefault="006E7115" w:rsidP="006E7115">
            <w:pPr>
              <w:rPr>
                <w:sz w:val="24"/>
                <w:szCs w:val="24"/>
              </w:rPr>
            </w:pPr>
            <w:r>
              <w:rPr>
                <w:sz w:val="24"/>
                <w:szCs w:val="24"/>
              </w:rPr>
              <w:t>CDBG</w:t>
            </w:r>
          </w:p>
        </w:tc>
        <w:tc>
          <w:tcPr>
            <w:tcW w:w="4848" w:type="dxa"/>
          </w:tcPr>
          <w:p w14:paraId="43A62D42" w14:textId="77777777" w:rsidR="006E7115" w:rsidRPr="00A70B9C" w:rsidRDefault="006E7115" w:rsidP="006E7115">
            <w:pPr>
              <w:rPr>
                <w:sz w:val="24"/>
                <w:szCs w:val="24"/>
              </w:rPr>
            </w:pPr>
            <w:r w:rsidRPr="00A70B9C">
              <w:rPr>
                <w:sz w:val="24"/>
                <w:szCs w:val="20"/>
              </w:rPr>
              <w:t>Businesses assisted: 30</w:t>
            </w:r>
          </w:p>
        </w:tc>
      </w:tr>
      <w:tr w:rsidR="006E7115" w14:paraId="3B3C6C38" w14:textId="77777777" w:rsidTr="00F66A86">
        <w:tc>
          <w:tcPr>
            <w:tcW w:w="3501" w:type="dxa"/>
          </w:tcPr>
          <w:p w14:paraId="2FEAB34D" w14:textId="77777777" w:rsidR="006E7115" w:rsidRPr="00A70B9C" w:rsidRDefault="006E7115" w:rsidP="006E7115">
            <w:pPr>
              <w:rPr>
                <w:sz w:val="24"/>
                <w:szCs w:val="24"/>
              </w:rPr>
            </w:pPr>
            <w:r>
              <w:rPr>
                <w:sz w:val="24"/>
                <w:szCs w:val="24"/>
              </w:rPr>
              <w:t>Urgent Need</w:t>
            </w:r>
          </w:p>
        </w:tc>
        <w:tc>
          <w:tcPr>
            <w:tcW w:w="1001" w:type="dxa"/>
          </w:tcPr>
          <w:p w14:paraId="59ED6C29" w14:textId="77777777" w:rsidR="006E7115" w:rsidRPr="00A70B9C" w:rsidRDefault="006E7115" w:rsidP="006E7115">
            <w:pPr>
              <w:rPr>
                <w:sz w:val="24"/>
                <w:szCs w:val="24"/>
              </w:rPr>
            </w:pPr>
            <w:r>
              <w:rPr>
                <w:sz w:val="24"/>
                <w:szCs w:val="24"/>
              </w:rPr>
              <w:t>CDBG</w:t>
            </w:r>
          </w:p>
        </w:tc>
        <w:tc>
          <w:tcPr>
            <w:tcW w:w="4848" w:type="dxa"/>
          </w:tcPr>
          <w:p w14:paraId="045B3CE9" w14:textId="77777777" w:rsidR="006E7115" w:rsidRPr="00A70B9C" w:rsidRDefault="006E7115" w:rsidP="006E7115">
            <w:pPr>
              <w:rPr>
                <w:sz w:val="24"/>
                <w:szCs w:val="24"/>
              </w:rPr>
            </w:pPr>
            <w:r w:rsidRPr="00A70B9C">
              <w:rPr>
                <w:sz w:val="24"/>
                <w:szCs w:val="20"/>
              </w:rPr>
              <w:t>Other: 6</w:t>
            </w:r>
          </w:p>
        </w:tc>
      </w:tr>
      <w:tr w:rsidR="006E7115" w14:paraId="4050F957"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18107551" w14:textId="77777777" w:rsidR="006E7115" w:rsidRPr="00A70B9C" w:rsidRDefault="006E7115" w:rsidP="006E7115">
            <w:pPr>
              <w:rPr>
                <w:sz w:val="24"/>
                <w:szCs w:val="24"/>
              </w:rPr>
            </w:pPr>
            <w:r>
              <w:rPr>
                <w:sz w:val="24"/>
                <w:szCs w:val="24"/>
              </w:rPr>
              <w:t>State Admin and Technical Assistance</w:t>
            </w:r>
          </w:p>
        </w:tc>
        <w:tc>
          <w:tcPr>
            <w:tcW w:w="1001" w:type="dxa"/>
          </w:tcPr>
          <w:p w14:paraId="4A715727" w14:textId="77777777" w:rsidR="006E7115" w:rsidRPr="00A70B9C" w:rsidRDefault="006E7115" w:rsidP="006E7115">
            <w:pPr>
              <w:rPr>
                <w:sz w:val="24"/>
                <w:szCs w:val="24"/>
              </w:rPr>
            </w:pPr>
            <w:r>
              <w:rPr>
                <w:sz w:val="24"/>
                <w:szCs w:val="24"/>
              </w:rPr>
              <w:t>CDBG</w:t>
            </w:r>
          </w:p>
        </w:tc>
        <w:tc>
          <w:tcPr>
            <w:tcW w:w="4848" w:type="dxa"/>
          </w:tcPr>
          <w:p w14:paraId="79294BE1" w14:textId="77777777" w:rsidR="006E7115" w:rsidRPr="00A70B9C" w:rsidRDefault="006E7115" w:rsidP="006E7115">
            <w:pPr>
              <w:rPr>
                <w:sz w:val="24"/>
                <w:szCs w:val="24"/>
              </w:rPr>
            </w:pPr>
            <w:r w:rsidRPr="00A70B9C">
              <w:rPr>
                <w:sz w:val="24"/>
                <w:szCs w:val="20"/>
              </w:rPr>
              <w:t>Other: 25</w:t>
            </w:r>
          </w:p>
        </w:tc>
      </w:tr>
      <w:tr w:rsidR="006E7115" w14:paraId="566D9646" w14:textId="77777777" w:rsidTr="00F66A86">
        <w:tc>
          <w:tcPr>
            <w:tcW w:w="3501" w:type="dxa"/>
          </w:tcPr>
          <w:p w14:paraId="7D7A4928" w14:textId="77777777" w:rsidR="006E7115" w:rsidRPr="00A70B9C" w:rsidRDefault="006E7115" w:rsidP="006E7115">
            <w:pPr>
              <w:rPr>
                <w:sz w:val="24"/>
                <w:szCs w:val="24"/>
              </w:rPr>
            </w:pPr>
            <w:r>
              <w:rPr>
                <w:sz w:val="24"/>
                <w:szCs w:val="24"/>
              </w:rPr>
              <w:t>First-Time Homebuyers</w:t>
            </w:r>
          </w:p>
        </w:tc>
        <w:tc>
          <w:tcPr>
            <w:tcW w:w="1001" w:type="dxa"/>
          </w:tcPr>
          <w:p w14:paraId="57557978" w14:textId="77777777" w:rsidR="006E7115" w:rsidRPr="00A70B9C" w:rsidRDefault="006E7115" w:rsidP="006E7115">
            <w:pPr>
              <w:rPr>
                <w:sz w:val="24"/>
                <w:szCs w:val="24"/>
              </w:rPr>
            </w:pPr>
            <w:r>
              <w:rPr>
                <w:sz w:val="24"/>
                <w:szCs w:val="24"/>
              </w:rPr>
              <w:t>HOME</w:t>
            </w:r>
          </w:p>
        </w:tc>
        <w:tc>
          <w:tcPr>
            <w:tcW w:w="4848" w:type="dxa"/>
          </w:tcPr>
          <w:p w14:paraId="0521C6D7" w14:textId="77777777" w:rsidR="006E7115" w:rsidRPr="00A70B9C" w:rsidRDefault="006E7115" w:rsidP="006E7115">
            <w:pPr>
              <w:keepNext/>
              <w:widowControl w:val="0"/>
              <w:spacing w:after="0" w:line="240" w:lineRule="auto"/>
              <w:rPr>
                <w:sz w:val="24"/>
                <w:szCs w:val="20"/>
              </w:rPr>
            </w:pPr>
            <w:r w:rsidRPr="00A70B9C">
              <w:rPr>
                <w:sz w:val="24"/>
                <w:szCs w:val="20"/>
              </w:rPr>
              <w:t>Direct Financial Assistance to Homebuyers:</w:t>
            </w:r>
          </w:p>
          <w:p w14:paraId="7BD5DC33" w14:textId="67F50F71" w:rsidR="006E7115" w:rsidRPr="00A70B9C" w:rsidRDefault="00636F16" w:rsidP="006E7115">
            <w:pPr>
              <w:rPr>
                <w:sz w:val="24"/>
                <w:szCs w:val="24"/>
              </w:rPr>
            </w:pPr>
            <w:r>
              <w:rPr>
                <w:sz w:val="24"/>
                <w:szCs w:val="20"/>
              </w:rPr>
              <w:t>3</w:t>
            </w:r>
            <w:r w:rsidR="006E7115" w:rsidRPr="00A70B9C">
              <w:rPr>
                <w:sz w:val="24"/>
                <w:szCs w:val="20"/>
              </w:rPr>
              <w:t>75 Households Assisted</w:t>
            </w:r>
          </w:p>
        </w:tc>
      </w:tr>
      <w:tr w:rsidR="00F66A86" w14:paraId="33AAE8D8"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452ADE1C" w14:textId="77777777" w:rsidR="00F66A86" w:rsidRPr="00A70B9C" w:rsidRDefault="00F66A86" w:rsidP="00F66A86">
            <w:pPr>
              <w:rPr>
                <w:sz w:val="24"/>
                <w:szCs w:val="24"/>
              </w:rPr>
            </w:pPr>
            <w:r>
              <w:rPr>
                <w:sz w:val="24"/>
                <w:szCs w:val="24"/>
              </w:rPr>
              <w:t>HOME Rental Development</w:t>
            </w:r>
          </w:p>
        </w:tc>
        <w:tc>
          <w:tcPr>
            <w:tcW w:w="1001" w:type="dxa"/>
          </w:tcPr>
          <w:p w14:paraId="1897BA7B" w14:textId="77777777" w:rsidR="00F66A86" w:rsidRPr="00A70B9C" w:rsidRDefault="00F66A86" w:rsidP="00F66A86">
            <w:pPr>
              <w:rPr>
                <w:sz w:val="24"/>
                <w:szCs w:val="24"/>
              </w:rPr>
            </w:pPr>
            <w:r>
              <w:rPr>
                <w:sz w:val="24"/>
                <w:szCs w:val="24"/>
              </w:rPr>
              <w:t>HOME</w:t>
            </w:r>
          </w:p>
        </w:tc>
        <w:tc>
          <w:tcPr>
            <w:tcW w:w="4848" w:type="dxa"/>
          </w:tcPr>
          <w:p w14:paraId="7CC9C640" w14:textId="354D2FC3" w:rsidR="00F66A86" w:rsidRPr="00A70B9C" w:rsidRDefault="00F66A86" w:rsidP="00F66A86">
            <w:pPr>
              <w:keepNext/>
              <w:widowControl w:val="0"/>
              <w:spacing w:after="0" w:line="240" w:lineRule="auto"/>
              <w:rPr>
                <w:sz w:val="24"/>
                <w:szCs w:val="20"/>
              </w:rPr>
            </w:pPr>
            <w:r w:rsidRPr="00A70B9C">
              <w:rPr>
                <w:sz w:val="24"/>
                <w:szCs w:val="20"/>
              </w:rPr>
              <w:t xml:space="preserve">Rental Units Constructed: </w:t>
            </w:r>
            <w:r>
              <w:rPr>
                <w:sz w:val="24"/>
                <w:szCs w:val="20"/>
              </w:rPr>
              <w:t>155 Household housing unit</w:t>
            </w:r>
          </w:p>
          <w:p w14:paraId="255E7493" w14:textId="1D03E5EC" w:rsidR="00F66A86" w:rsidRPr="00A70B9C" w:rsidRDefault="00F66A86" w:rsidP="00F66A86">
            <w:pPr>
              <w:rPr>
                <w:sz w:val="24"/>
                <w:szCs w:val="24"/>
              </w:rPr>
            </w:pPr>
            <w:r w:rsidRPr="00A70B9C">
              <w:rPr>
                <w:sz w:val="24"/>
                <w:szCs w:val="20"/>
              </w:rPr>
              <w:t xml:space="preserve">Rental Units Rehabilitated: </w:t>
            </w:r>
            <w:r>
              <w:rPr>
                <w:sz w:val="24"/>
                <w:szCs w:val="20"/>
              </w:rPr>
              <w:t>20 Household housing unit</w:t>
            </w:r>
          </w:p>
        </w:tc>
      </w:tr>
      <w:tr w:rsidR="00F66A86" w14:paraId="694849DC" w14:textId="77777777" w:rsidTr="00F66A86">
        <w:tc>
          <w:tcPr>
            <w:tcW w:w="3501" w:type="dxa"/>
          </w:tcPr>
          <w:p w14:paraId="3EB37E36" w14:textId="77777777" w:rsidR="00F66A86" w:rsidRPr="00A70B9C" w:rsidRDefault="00F66A86" w:rsidP="00F66A86">
            <w:pPr>
              <w:rPr>
                <w:sz w:val="24"/>
                <w:szCs w:val="24"/>
              </w:rPr>
            </w:pPr>
            <w:r>
              <w:rPr>
                <w:sz w:val="24"/>
                <w:szCs w:val="24"/>
              </w:rPr>
              <w:t>Tenant Based Rental Assistance (TBRA)</w:t>
            </w:r>
          </w:p>
        </w:tc>
        <w:tc>
          <w:tcPr>
            <w:tcW w:w="1001" w:type="dxa"/>
          </w:tcPr>
          <w:p w14:paraId="06FDABFF" w14:textId="77777777" w:rsidR="00F66A86" w:rsidRPr="00A70B9C" w:rsidRDefault="00F66A86" w:rsidP="00F66A86">
            <w:pPr>
              <w:rPr>
                <w:sz w:val="24"/>
                <w:szCs w:val="24"/>
              </w:rPr>
            </w:pPr>
            <w:r>
              <w:rPr>
                <w:sz w:val="24"/>
                <w:szCs w:val="24"/>
              </w:rPr>
              <w:t>HOME</w:t>
            </w:r>
          </w:p>
        </w:tc>
        <w:tc>
          <w:tcPr>
            <w:tcW w:w="4848" w:type="dxa"/>
          </w:tcPr>
          <w:p w14:paraId="4CBC08F6" w14:textId="77777777" w:rsidR="00F66A86" w:rsidRPr="00A70B9C" w:rsidRDefault="00F66A86" w:rsidP="00F66A86">
            <w:pPr>
              <w:keepNext/>
              <w:widowControl w:val="0"/>
              <w:spacing w:after="0" w:line="240" w:lineRule="auto"/>
              <w:rPr>
                <w:sz w:val="24"/>
                <w:szCs w:val="20"/>
              </w:rPr>
            </w:pPr>
            <w:r w:rsidRPr="00A70B9C">
              <w:rPr>
                <w:sz w:val="24"/>
                <w:szCs w:val="20"/>
              </w:rPr>
              <w:t>Tenant-based rental assistance / Rapid Rehousing:</w:t>
            </w:r>
          </w:p>
          <w:p w14:paraId="64B0AF77" w14:textId="7409DA0A" w:rsidR="00F66A86" w:rsidRPr="00A70B9C" w:rsidRDefault="00F66A86" w:rsidP="00F66A86">
            <w:pPr>
              <w:rPr>
                <w:sz w:val="24"/>
                <w:szCs w:val="24"/>
              </w:rPr>
            </w:pPr>
            <w:r>
              <w:rPr>
                <w:sz w:val="24"/>
                <w:szCs w:val="20"/>
              </w:rPr>
              <w:t>3</w:t>
            </w:r>
            <w:r w:rsidRPr="00A70B9C">
              <w:rPr>
                <w:sz w:val="24"/>
                <w:szCs w:val="20"/>
              </w:rPr>
              <w:t>,</w:t>
            </w:r>
            <w:r>
              <w:rPr>
                <w:sz w:val="24"/>
                <w:szCs w:val="20"/>
              </w:rPr>
              <w:t>750</w:t>
            </w:r>
            <w:r w:rsidRPr="00A70B9C">
              <w:rPr>
                <w:sz w:val="24"/>
                <w:szCs w:val="20"/>
              </w:rPr>
              <w:t xml:space="preserve"> Households Assisted</w:t>
            </w:r>
          </w:p>
        </w:tc>
      </w:tr>
      <w:tr w:rsidR="00F66A86" w14:paraId="2B872CEC"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154670C4" w14:textId="77777777" w:rsidR="00F66A86" w:rsidRPr="00A70B9C" w:rsidRDefault="00F66A86" w:rsidP="00F66A86">
            <w:pPr>
              <w:rPr>
                <w:sz w:val="24"/>
                <w:szCs w:val="24"/>
              </w:rPr>
            </w:pPr>
            <w:r>
              <w:rPr>
                <w:sz w:val="24"/>
                <w:szCs w:val="24"/>
              </w:rPr>
              <w:t>Emergency Solutions Grant (ESG)</w:t>
            </w:r>
          </w:p>
        </w:tc>
        <w:tc>
          <w:tcPr>
            <w:tcW w:w="1001" w:type="dxa"/>
          </w:tcPr>
          <w:p w14:paraId="4A60BBA3" w14:textId="77777777" w:rsidR="00F66A86" w:rsidRPr="00A70B9C" w:rsidRDefault="00F66A86" w:rsidP="00F66A86">
            <w:pPr>
              <w:rPr>
                <w:sz w:val="24"/>
                <w:szCs w:val="24"/>
              </w:rPr>
            </w:pPr>
            <w:r>
              <w:rPr>
                <w:sz w:val="24"/>
                <w:szCs w:val="24"/>
              </w:rPr>
              <w:t>ESG</w:t>
            </w:r>
          </w:p>
        </w:tc>
        <w:tc>
          <w:tcPr>
            <w:tcW w:w="4848" w:type="dxa"/>
          </w:tcPr>
          <w:p w14:paraId="7C0B2B09" w14:textId="77777777" w:rsidR="00F66A86" w:rsidRPr="00A70B9C" w:rsidRDefault="00F66A86" w:rsidP="00F66A86">
            <w:pPr>
              <w:keepNext/>
              <w:widowControl w:val="0"/>
              <w:spacing w:after="0" w:line="240" w:lineRule="auto"/>
              <w:rPr>
                <w:sz w:val="24"/>
                <w:szCs w:val="20"/>
              </w:rPr>
            </w:pPr>
            <w:r w:rsidRPr="00A70B9C">
              <w:rPr>
                <w:sz w:val="24"/>
                <w:szCs w:val="20"/>
              </w:rPr>
              <w:t>Homelessness Prevention:</w:t>
            </w:r>
          </w:p>
          <w:p w14:paraId="537EFBC5" w14:textId="77777777" w:rsidR="00F66A86" w:rsidRPr="00A70B9C" w:rsidRDefault="00F66A86" w:rsidP="00F66A86">
            <w:pPr>
              <w:keepNext/>
              <w:widowControl w:val="0"/>
              <w:spacing w:after="0" w:line="240" w:lineRule="auto"/>
              <w:rPr>
                <w:sz w:val="24"/>
                <w:szCs w:val="20"/>
              </w:rPr>
            </w:pPr>
            <w:r w:rsidRPr="00A70B9C">
              <w:rPr>
                <w:sz w:val="24"/>
                <w:szCs w:val="20"/>
              </w:rPr>
              <w:t>9,250 Persons Assisted</w:t>
            </w:r>
          </w:p>
          <w:p w14:paraId="498D8603" w14:textId="77777777" w:rsidR="00F66A86" w:rsidRPr="00A70B9C" w:rsidRDefault="00F66A86" w:rsidP="00F66A86">
            <w:pPr>
              <w:keepNext/>
              <w:widowControl w:val="0"/>
              <w:spacing w:after="0" w:line="240" w:lineRule="auto"/>
              <w:rPr>
                <w:sz w:val="24"/>
                <w:szCs w:val="20"/>
              </w:rPr>
            </w:pPr>
          </w:p>
          <w:p w14:paraId="555B0BF0" w14:textId="77777777" w:rsidR="00F66A86" w:rsidRPr="00A70B9C" w:rsidRDefault="00F66A86" w:rsidP="00F66A86">
            <w:pPr>
              <w:keepNext/>
              <w:widowControl w:val="0"/>
              <w:spacing w:after="0" w:line="240" w:lineRule="auto"/>
              <w:rPr>
                <w:sz w:val="24"/>
                <w:szCs w:val="20"/>
              </w:rPr>
            </w:pPr>
            <w:r w:rsidRPr="00A70B9C">
              <w:rPr>
                <w:sz w:val="24"/>
                <w:szCs w:val="20"/>
              </w:rPr>
              <w:t>Housing for Homeless added:</w:t>
            </w:r>
          </w:p>
          <w:p w14:paraId="20E5D0C7" w14:textId="77777777" w:rsidR="00F66A86" w:rsidRPr="00A70B9C" w:rsidRDefault="00F66A86" w:rsidP="00F66A86">
            <w:pPr>
              <w:rPr>
                <w:sz w:val="24"/>
                <w:szCs w:val="24"/>
              </w:rPr>
            </w:pPr>
            <w:r w:rsidRPr="00A70B9C">
              <w:rPr>
                <w:sz w:val="24"/>
                <w:szCs w:val="20"/>
              </w:rPr>
              <w:t>1,500 Rapid Rehousing Household Housing Unit</w:t>
            </w:r>
          </w:p>
        </w:tc>
      </w:tr>
      <w:tr w:rsidR="00F66A86" w14:paraId="6271F900" w14:textId="77777777" w:rsidTr="00F66A86">
        <w:tc>
          <w:tcPr>
            <w:tcW w:w="3501" w:type="dxa"/>
          </w:tcPr>
          <w:p w14:paraId="7BD33046" w14:textId="77777777" w:rsidR="00F66A86" w:rsidRPr="00A70B9C" w:rsidRDefault="00F66A86" w:rsidP="00F66A86">
            <w:pPr>
              <w:rPr>
                <w:sz w:val="24"/>
                <w:szCs w:val="24"/>
              </w:rPr>
            </w:pPr>
            <w:r>
              <w:rPr>
                <w:sz w:val="24"/>
                <w:szCs w:val="24"/>
              </w:rPr>
              <w:t>Housing Opportunities for Persons with AIDS (HOPWA)</w:t>
            </w:r>
          </w:p>
        </w:tc>
        <w:tc>
          <w:tcPr>
            <w:tcW w:w="1001" w:type="dxa"/>
          </w:tcPr>
          <w:p w14:paraId="6FEFE5C3" w14:textId="77777777" w:rsidR="00F66A86" w:rsidRPr="00A70B9C" w:rsidRDefault="00F66A86" w:rsidP="00F66A86">
            <w:pPr>
              <w:rPr>
                <w:sz w:val="24"/>
                <w:szCs w:val="24"/>
              </w:rPr>
            </w:pPr>
            <w:r>
              <w:rPr>
                <w:sz w:val="24"/>
                <w:szCs w:val="24"/>
              </w:rPr>
              <w:t>HOPWA</w:t>
            </w:r>
          </w:p>
        </w:tc>
        <w:tc>
          <w:tcPr>
            <w:tcW w:w="4848" w:type="dxa"/>
          </w:tcPr>
          <w:p w14:paraId="614E5F40" w14:textId="77777777" w:rsidR="00F66A86" w:rsidRPr="00A70B9C" w:rsidRDefault="00F66A86" w:rsidP="00F66A86">
            <w:pPr>
              <w:keepNext/>
              <w:widowControl w:val="0"/>
              <w:spacing w:after="0" w:line="240" w:lineRule="auto"/>
              <w:rPr>
                <w:sz w:val="24"/>
                <w:szCs w:val="20"/>
              </w:rPr>
            </w:pPr>
            <w:r w:rsidRPr="00A70B9C">
              <w:rPr>
                <w:sz w:val="24"/>
                <w:szCs w:val="20"/>
              </w:rPr>
              <w:t xml:space="preserve">Homelessness Prevention: </w:t>
            </w:r>
          </w:p>
          <w:p w14:paraId="16A90C5E" w14:textId="77777777" w:rsidR="00F66A86" w:rsidRPr="00A70B9C" w:rsidRDefault="00F66A86" w:rsidP="00F66A86">
            <w:pPr>
              <w:keepNext/>
              <w:widowControl w:val="0"/>
              <w:spacing w:after="0" w:line="240" w:lineRule="auto"/>
              <w:rPr>
                <w:sz w:val="24"/>
                <w:szCs w:val="20"/>
              </w:rPr>
            </w:pPr>
            <w:r w:rsidRPr="00A70B9C">
              <w:rPr>
                <w:sz w:val="24"/>
                <w:szCs w:val="20"/>
              </w:rPr>
              <w:t>876 Persons Assisted</w:t>
            </w:r>
          </w:p>
          <w:p w14:paraId="6E4C3E20" w14:textId="77777777" w:rsidR="00F66A86" w:rsidRPr="00A70B9C" w:rsidRDefault="00F66A86" w:rsidP="00F66A86">
            <w:pPr>
              <w:keepNext/>
              <w:widowControl w:val="0"/>
              <w:spacing w:after="0" w:line="240" w:lineRule="auto"/>
              <w:rPr>
                <w:sz w:val="24"/>
                <w:szCs w:val="20"/>
              </w:rPr>
            </w:pPr>
          </w:p>
          <w:p w14:paraId="7DF83281" w14:textId="77777777" w:rsidR="00F66A86" w:rsidRPr="00A70B9C" w:rsidRDefault="00F66A86" w:rsidP="00F66A86">
            <w:pPr>
              <w:keepNext/>
              <w:widowControl w:val="0"/>
              <w:spacing w:after="0" w:line="240" w:lineRule="auto"/>
              <w:rPr>
                <w:sz w:val="24"/>
                <w:szCs w:val="20"/>
              </w:rPr>
            </w:pPr>
            <w:r w:rsidRPr="00A70B9C">
              <w:rPr>
                <w:sz w:val="24"/>
                <w:szCs w:val="20"/>
              </w:rPr>
              <w:t>Housing for People with HIV/AIDS added:</w:t>
            </w:r>
          </w:p>
          <w:p w14:paraId="35B679D2" w14:textId="77777777" w:rsidR="00F66A86" w:rsidRPr="00A70B9C" w:rsidRDefault="00F66A86" w:rsidP="00F66A86">
            <w:pPr>
              <w:keepNext/>
              <w:widowControl w:val="0"/>
              <w:spacing w:after="0" w:line="240" w:lineRule="auto"/>
              <w:rPr>
                <w:sz w:val="24"/>
                <w:szCs w:val="20"/>
              </w:rPr>
            </w:pPr>
            <w:r w:rsidRPr="00A70B9C">
              <w:rPr>
                <w:sz w:val="24"/>
                <w:szCs w:val="20"/>
              </w:rPr>
              <w:t>8,759 Household Housing Unit</w:t>
            </w:r>
          </w:p>
          <w:p w14:paraId="346C49FA" w14:textId="77777777" w:rsidR="00F66A86" w:rsidRPr="00A70B9C" w:rsidRDefault="00F66A86" w:rsidP="00F66A86">
            <w:pPr>
              <w:keepNext/>
              <w:widowControl w:val="0"/>
              <w:spacing w:after="0" w:line="240" w:lineRule="auto"/>
              <w:rPr>
                <w:sz w:val="24"/>
                <w:szCs w:val="20"/>
              </w:rPr>
            </w:pPr>
          </w:p>
          <w:p w14:paraId="395EC9BF" w14:textId="77777777" w:rsidR="00F66A86" w:rsidRPr="00A70B9C" w:rsidRDefault="00F66A86" w:rsidP="00F66A86">
            <w:pPr>
              <w:keepNext/>
              <w:widowControl w:val="0"/>
              <w:spacing w:after="0" w:line="240" w:lineRule="auto"/>
              <w:rPr>
                <w:sz w:val="24"/>
                <w:szCs w:val="20"/>
              </w:rPr>
            </w:pPr>
            <w:r w:rsidRPr="00A70B9C">
              <w:rPr>
                <w:sz w:val="24"/>
                <w:szCs w:val="20"/>
              </w:rPr>
              <w:t>HIV/AIDS Housing Operations:</w:t>
            </w:r>
          </w:p>
          <w:p w14:paraId="046E7AA2" w14:textId="77777777" w:rsidR="00F66A86" w:rsidRPr="00A70B9C" w:rsidRDefault="00F66A86" w:rsidP="00F66A86">
            <w:pPr>
              <w:keepNext/>
              <w:widowControl w:val="0"/>
              <w:spacing w:after="0" w:line="240" w:lineRule="auto"/>
              <w:rPr>
                <w:sz w:val="24"/>
                <w:szCs w:val="20"/>
              </w:rPr>
            </w:pPr>
            <w:r w:rsidRPr="00A70B9C">
              <w:rPr>
                <w:sz w:val="24"/>
                <w:szCs w:val="20"/>
              </w:rPr>
              <w:t>3,258 Household Housing Unit</w:t>
            </w:r>
          </w:p>
          <w:p w14:paraId="1D634EF4" w14:textId="77777777" w:rsidR="00F66A86" w:rsidRPr="00A70B9C" w:rsidRDefault="00F66A86" w:rsidP="00F66A86">
            <w:pPr>
              <w:keepNext/>
              <w:widowControl w:val="0"/>
              <w:spacing w:after="0" w:line="240" w:lineRule="auto"/>
              <w:rPr>
                <w:sz w:val="24"/>
                <w:szCs w:val="20"/>
              </w:rPr>
            </w:pPr>
          </w:p>
          <w:p w14:paraId="05D89FAA" w14:textId="77777777" w:rsidR="00F66A86" w:rsidRPr="00A70B9C" w:rsidRDefault="00F66A86" w:rsidP="00F66A86">
            <w:pPr>
              <w:rPr>
                <w:sz w:val="24"/>
                <w:szCs w:val="24"/>
              </w:rPr>
            </w:pPr>
            <w:r w:rsidRPr="00A70B9C">
              <w:rPr>
                <w:sz w:val="24"/>
                <w:szCs w:val="20"/>
              </w:rPr>
              <w:t>Other: 1,682</w:t>
            </w:r>
          </w:p>
        </w:tc>
      </w:tr>
      <w:tr w:rsidR="00F66A86" w14:paraId="48C8009B" w14:textId="77777777" w:rsidTr="00F66A86">
        <w:trPr>
          <w:cnfStyle w:val="000000100000" w:firstRow="0" w:lastRow="0" w:firstColumn="0" w:lastColumn="0" w:oddVBand="0" w:evenVBand="0" w:oddHBand="1" w:evenHBand="0" w:firstRowFirstColumn="0" w:firstRowLastColumn="0" w:lastRowFirstColumn="0" w:lastRowLastColumn="0"/>
        </w:trPr>
        <w:tc>
          <w:tcPr>
            <w:tcW w:w="3501" w:type="dxa"/>
          </w:tcPr>
          <w:p w14:paraId="496A5056" w14:textId="77777777" w:rsidR="00F66A86" w:rsidRPr="00A70B9C" w:rsidRDefault="00F66A86" w:rsidP="00F66A86">
            <w:pPr>
              <w:rPr>
                <w:sz w:val="24"/>
                <w:szCs w:val="24"/>
              </w:rPr>
            </w:pPr>
            <w:r>
              <w:rPr>
                <w:sz w:val="24"/>
                <w:szCs w:val="24"/>
              </w:rPr>
              <w:t>Housing Trust Fund (HTF)</w:t>
            </w:r>
          </w:p>
        </w:tc>
        <w:tc>
          <w:tcPr>
            <w:tcW w:w="1001" w:type="dxa"/>
          </w:tcPr>
          <w:p w14:paraId="0E98DD32" w14:textId="77777777" w:rsidR="00F66A86" w:rsidRPr="00A70B9C" w:rsidRDefault="00F66A86" w:rsidP="00F66A86">
            <w:pPr>
              <w:rPr>
                <w:sz w:val="24"/>
                <w:szCs w:val="24"/>
              </w:rPr>
            </w:pPr>
            <w:r>
              <w:rPr>
                <w:sz w:val="24"/>
                <w:szCs w:val="24"/>
              </w:rPr>
              <w:t>HTF</w:t>
            </w:r>
          </w:p>
        </w:tc>
        <w:tc>
          <w:tcPr>
            <w:tcW w:w="4848" w:type="dxa"/>
          </w:tcPr>
          <w:p w14:paraId="196A7480" w14:textId="490E6DE4" w:rsidR="00F66A86" w:rsidRPr="00A70B9C" w:rsidRDefault="00F66A86" w:rsidP="00F66A86">
            <w:pPr>
              <w:keepNext/>
              <w:widowControl w:val="0"/>
              <w:spacing w:after="0" w:line="240" w:lineRule="auto"/>
              <w:rPr>
                <w:sz w:val="24"/>
                <w:szCs w:val="20"/>
              </w:rPr>
            </w:pPr>
            <w:r w:rsidRPr="00A70B9C">
              <w:rPr>
                <w:sz w:val="24"/>
                <w:szCs w:val="20"/>
              </w:rPr>
              <w:t xml:space="preserve">Rental Units Constructed: </w:t>
            </w:r>
            <w:r>
              <w:rPr>
                <w:sz w:val="24"/>
                <w:szCs w:val="20"/>
              </w:rPr>
              <w:t>50 Household housing unit</w:t>
            </w:r>
          </w:p>
          <w:p w14:paraId="240401DB" w14:textId="0AA93184" w:rsidR="00F66A86" w:rsidRPr="00A70B9C" w:rsidRDefault="00F66A86" w:rsidP="00F66A86">
            <w:pPr>
              <w:rPr>
                <w:sz w:val="24"/>
                <w:szCs w:val="24"/>
              </w:rPr>
            </w:pPr>
            <w:r w:rsidRPr="00A70B9C">
              <w:rPr>
                <w:sz w:val="24"/>
                <w:szCs w:val="20"/>
              </w:rPr>
              <w:t xml:space="preserve">Rental Units Rehabilitated: </w:t>
            </w:r>
            <w:r>
              <w:rPr>
                <w:sz w:val="24"/>
                <w:szCs w:val="20"/>
              </w:rPr>
              <w:t>25 Household housing unit</w:t>
            </w:r>
          </w:p>
        </w:tc>
      </w:tr>
    </w:tbl>
    <w:p w14:paraId="3BCC102D" w14:textId="77777777" w:rsidR="006E7115" w:rsidRPr="00FB0633" w:rsidRDefault="006E7115" w:rsidP="006E7115">
      <w:pPr>
        <w:spacing w:beforeAutospacing="1" w:afterAutospacing="1"/>
        <w:rPr>
          <w:rFonts w:cs="Arial"/>
          <w:sz w:val="24"/>
          <w:szCs w:val="24"/>
        </w:rPr>
      </w:pPr>
      <w:r w:rsidRPr="00FB0633">
        <w:rPr>
          <w:rFonts w:cs="Arial"/>
          <w:sz w:val="24"/>
          <w:szCs w:val="24"/>
        </w:rPr>
        <w:t>The three overarching objectives guiding the proposed activities are:</w:t>
      </w:r>
    </w:p>
    <w:p w14:paraId="1E956E55" w14:textId="77777777" w:rsidR="006E7115" w:rsidRDefault="006E7115" w:rsidP="00A121EE">
      <w:pPr>
        <w:pStyle w:val="ListParagraph"/>
        <w:numPr>
          <w:ilvl w:val="0"/>
          <w:numId w:val="9"/>
        </w:numPr>
        <w:jc w:val="both"/>
        <w:rPr>
          <w:rFonts w:cs="Arial"/>
          <w:sz w:val="24"/>
          <w:szCs w:val="24"/>
        </w:rPr>
      </w:pPr>
      <w:r w:rsidRPr="00FB0633">
        <w:rPr>
          <w:rFonts w:cs="Arial"/>
          <w:sz w:val="24"/>
          <w:szCs w:val="24"/>
        </w:rPr>
        <w:t xml:space="preserve">Providing </w:t>
      </w:r>
      <w:r>
        <w:rPr>
          <w:rFonts w:cs="Arial"/>
          <w:sz w:val="24"/>
          <w:szCs w:val="24"/>
        </w:rPr>
        <w:t>d</w:t>
      </w:r>
      <w:r w:rsidRPr="00FB0633">
        <w:rPr>
          <w:rFonts w:cs="Arial"/>
          <w:sz w:val="24"/>
          <w:szCs w:val="24"/>
        </w:rPr>
        <w:t xml:space="preserve">ecent </w:t>
      </w:r>
      <w:r>
        <w:rPr>
          <w:rFonts w:cs="Arial"/>
          <w:sz w:val="24"/>
          <w:szCs w:val="24"/>
        </w:rPr>
        <w:t>a</w:t>
      </w:r>
      <w:r w:rsidRPr="00FB0633">
        <w:rPr>
          <w:rFonts w:cs="Arial"/>
          <w:sz w:val="24"/>
          <w:szCs w:val="24"/>
        </w:rPr>
        <w:t xml:space="preserve">ffordable </w:t>
      </w:r>
      <w:r>
        <w:rPr>
          <w:rFonts w:cs="Arial"/>
          <w:sz w:val="24"/>
          <w:szCs w:val="24"/>
        </w:rPr>
        <w:t>h</w:t>
      </w:r>
      <w:r w:rsidRPr="00FB0633">
        <w:rPr>
          <w:rFonts w:cs="Arial"/>
          <w:sz w:val="24"/>
          <w:szCs w:val="24"/>
        </w:rPr>
        <w:t>ousing</w:t>
      </w:r>
    </w:p>
    <w:p w14:paraId="65B68081" w14:textId="77777777" w:rsidR="006E7115" w:rsidRDefault="006E7115" w:rsidP="00A121EE">
      <w:pPr>
        <w:pStyle w:val="ListParagraph"/>
        <w:numPr>
          <w:ilvl w:val="0"/>
          <w:numId w:val="9"/>
        </w:numPr>
        <w:jc w:val="both"/>
        <w:rPr>
          <w:rFonts w:cs="Arial"/>
          <w:sz w:val="24"/>
          <w:szCs w:val="24"/>
        </w:rPr>
      </w:pPr>
      <w:r>
        <w:rPr>
          <w:rFonts w:cs="Arial"/>
          <w:sz w:val="24"/>
          <w:szCs w:val="24"/>
        </w:rPr>
        <w:t>C</w:t>
      </w:r>
      <w:r w:rsidRPr="009B66FA">
        <w:rPr>
          <w:rFonts w:cs="Arial"/>
          <w:sz w:val="24"/>
          <w:szCs w:val="24"/>
        </w:rPr>
        <w:t xml:space="preserve">reating </w:t>
      </w:r>
      <w:r>
        <w:rPr>
          <w:rFonts w:cs="Arial"/>
          <w:sz w:val="24"/>
          <w:szCs w:val="24"/>
        </w:rPr>
        <w:t>s</w:t>
      </w:r>
      <w:r w:rsidRPr="009B66FA">
        <w:rPr>
          <w:rFonts w:cs="Arial"/>
          <w:sz w:val="24"/>
          <w:szCs w:val="24"/>
        </w:rPr>
        <w:t xml:space="preserve">uitable </w:t>
      </w:r>
      <w:r>
        <w:rPr>
          <w:rFonts w:cs="Arial"/>
          <w:sz w:val="24"/>
          <w:szCs w:val="24"/>
        </w:rPr>
        <w:t>l</w:t>
      </w:r>
      <w:r w:rsidRPr="009B66FA">
        <w:rPr>
          <w:rFonts w:cs="Arial"/>
          <w:sz w:val="24"/>
          <w:szCs w:val="24"/>
        </w:rPr>
        <w:t xml:space="preserve">iving </w:t>
      </w:r>
      <w:r>
        <w:rPr>
          <w:rFonts w:cs="Arial"/>
          <w:sz w:val="24"/>
          <w:szCs w:val="24"/>
        </w:rPr>
        <w:t>e</w:t>
      </w:r>
      <w:r w:rsidRPr="009B66FA">
        <w:rPr>
          <w:rFonts w:cs="Arial"/>
          <w:sz w:val="24"/>
          <w:szCs w:val="24"/>
        </w:rPr>
        <w:t>nvironments</w:t>
      </w:r>
    </w:p>
    <w:p w14:paraId="256CB599" w14:textId="77777777" w:rsidR="006E7115" w:rsidRPr="009B66FA" w:rsidRDefault="006E7115" w:rsidP="00A121EE">
      <w:pPr>
        <w:pStyle w:val="ListParagraph"/>
        <w:numPr>
          <w:ilvl w:val="0"/>
          <w:numId w:val="9"/>
        </w:numPr>
        <w:jc w:val="both"/>
        <w:rPr>
          <w:rFonts w:cs="Arial"/>
          <w:sz w:val="24"/>
          <w:szCs w:val="24"/>
        </w:rPr>
      </w:pPr>
      <w:r w:rsidRPr="009B66FA">
        <w:rPr>
          <w:rFonts w:cs="Arial"/>
          <w:sz w:val="24"/>
          <w:szCs w:val="24"/>
        </w:rPr>
        <w:t xml:space="preserve">Creating </w:t>
      </w:r>
      <w:r>
        <w:rPr>
          <w:rFonts w:cs="Arial"/>
          <w:sz w:val="24"/>
          <w:szCs w:val="24"/>
        </w:rPr>
        <w:t>e</w:t>
      </w:r>
      <w:r w:rsidRPr="009B66FA">
        <w:rPr>
          <w:rFonts w:cs="Arial"/>
          <w:sz w:val="24"/>
          <w:szCs w:val="24"/>
        </w:rPr>
        <w:t xml:space="preserve">conomic </w:t>
      </w:r>
      <w:r>
        <w:rPr>
          <w:rFonts w:cs="Arial"/>
          <w:sz w:val="24"/>
          <w:szCs w:val="24"/>
        </w:rPr>
        <w:t>o</w:t>
      </w:r>
      <w:r w:rsidRPr="009B66FA">
        <w:rPr>
          <w:rFonts w:cs="Arial"/>
          <w:sz w:val="24"/>
          <w:szCs w:val="24"/>
        </w:rPr>
        <w:t>pportunities</w:t>
      </w:r>
    </w:p>
    <w:p w14:paraId="567F752A" w14:textId="77777777" w:rsidR="006E7115" w:rsidRPr="00FB0633" w:rsidRDefault="006E7115" w:rsidP="006E7115">
      <w:pPr>
        <w:spacing w:beforeAutospacing="1" w:afterAutospacing="1"/>
        <w:rPr>
          <w:rFonts w:cs="Arial"/>
          <w:sz w:val="24"/>
          <w:szCs w:val="24"/>
        </w:rPr>
      </w:pPr>
      <w:r w:rsidRPr="00FB0633">
        <w:rPr>
          <w:rFonts w:cs="Arial"/>
          <w:sz w:val="24"/>
          <w:szCs w:val="24"/>
        </w:rPr>
        <w:t xml:space="preserve">Outcomes show how programs and activities benefit a community or the people served. The three outcomes that will illustrate the benefits of each activity funded by the </w:t>
      </w:r>
      <w:r>
        <w:rPr>
          <w:rFonts w:cs="Arial"/>
          <w:sz w:val="24"/>
          <w:szCs w:val="24"/>
        </w:rPr>
        <w:t>five</w:t>
      </w:r>
      <w:r w:rsidRPr="00FB0633">
        <w:rPr>
          <w:rFonts w:cs="Arial"/>
          <w:sz w:val="24"/>
          <w:szCs w:val="24"/>
        </w:rPr>
        <w:t xml:space="preserve"> federal programs are:</w:t>
      </w:r>
    </w:p>
    <w:p w14:paraId="72BEAA24" w14:textId="77777777" w:rsidR="006E7115" w:rsidRPr="00FB0633" w:rsidRDefault="006E7115" w:rsidP="00A121EE">
      <w:pPr>
        <w:numPr>
          <w:ilvl w:val="0"/>
          <w:numId w:val="10"/>
        </w:numPr>
        <w:spacing w:beforeAutospacing="1" w:afterAutospacing="1"/>
        <w:jc w:val="both"/>
        <w:rPr>
          <w:rFonts w:cs="Arial"/>
          <w:sz w:val="24"/>
          <w:szCs w:val="24"/>
        </w:rPr>
      </w:pPr>
      <w:r w:rsidRPr="00FB0633">
        <w:rPr>
          <w:rFonts w:cs="Arial"/>
          <w:sz w:val="24"/>
          <w:szCs w:val="24"/>
        </w:rPr>
        <w:t>Improve</w:t>
      </w:r>
      <w:r>
        <w:rPr>
          <w:rFonts w:cs="Arial"/>
          <w:sz w:val="24"/>
          <w:szCs w:val="24"/>
        </w:rPr>
        <w:t>d</w:t>
      </w:r>
      <w:r w:rsidRPr="00FB0633">
        <w:rPr>
          <w:rFonts w:cs="Arial"/>
          <w:sz w:val="24"/>
          <w:szCs w:val="24"/>
        </w:rPr>
        <w:t xml:space="preserve"> </w:t>
      </w:r>
      <w:r>
        <w:rPr>
          <w:rFonts w:cs="Arial"/>
          <w:sz w:val="24"/>
          <w:szCs w:val="24"/>
        </w:rPr>
        <w:t>a</w:t>
      </w:r>
      <w:r w:rsidRPr="00FB0633">
        <w:rPr>
          <w:rFonts w:cs="Arial"/>
          <w:sz w:val="24"/>
          <w:szCs w:val="24"/>
        </w:rPr>
        <w:t>vailability/</w:t>
      </w:r>
      <w:r>
        <w:rPr>
          <w:rFonts w:cs="Arial"/>
          <w:sz w:val="24"/>
          <w:szCs w:val="24"/>
        </w:rPr>
        <w:t>a</w:t>
      </w:r>
      <w:r w:rsidRPr="00FB0633">
        <w:rPr>
          <w:rFonts w:cs="Arial"/>
          <w:sz w:val="24"/>
          <w:szCs w:val="24"/>
        </w:rPr>
        <w:t>ccessibility</w:t>
      </w:r>
    </w:p>
    <w:p w14:paraId="179217C6" w14:textId="77777777" w:rsidR="006E7115" w:rsidRPr="00FB0633" w:rsidRDefault="006E7115" w:rsidP="00A121EE">
      <w:pPr>
        <w:numPr>
          <w:ilvl w:val="0"/>
          <w:numId w:val="10"/>
        </w:numPr>
        <w:spacing w:beforeAutospacing="1" w:afterAutospacing="1"/>
        <w:jc w:val="both"/>
        <w:rPr>
          <w:rFonts w:cs="Arial"/>
          <w:sz w:val="24"/>
          <w:szCs w:val="24"/>
        </w:rPr>
      </w:pPr>
      <w:r w:rsidRPr="00FB0633">
        <w:rPr>
          <w:rFonts w:cs="Arial"/>
          <w:sz w:val="24"/>
          <w:szCs w:val="24"/>
        </w:rPr>
        <w:t>Improve</w:t>
      </w:r>
      <w:r>
        <w:rPr>
          <w:rFonts w:cs="Arial"/>
          <w:sz w:val="24"/>
          <w:szCs w:val="24"/>
        </w:rPr>
        <w:t>d</w:t>
      </w:r>
      <w:r w:rsidRPr="00FB0633">
        <w:rPr>
          <w:rFonts w:cs="Arial"/>
          <w:sz w:val="24"/>
          <w:szCs w:val="24"/>
        </w:rPr>
        <w:t xml:space="preserve"> </w:t>
      </w:r>
      <w:r>
        <w:rPr>
          <w:rFonts w:cs="Arial"/>
          <w:sz w:val="24"/>
          <w:szCs w:val="24"/>
        </w:rPr>
        <w:t>a</w:t>
      </w:r>
      <w:r w:rsidRPr="00FB0633">
        <w:rPr>
          <w:rFonts w:cs="Arial"/>
          <w:sz w:val="24"/>
          <w:szCs w:val="24"/>
        </w:rPr>
        <w:t>ffordability</w:t>
      </w:r>
    </w:p>
    <w:p w14:paraId="5AA6C199" w14:textId="77777777" w:rsidR="006E7115" w:rsidRPr="00FB0633" w:rsidRDefault="006E7115" w:rsidP="00A121EE">
      <w:pPr>
        <w:numPr>
          <w:ilvl w:val="0"/>
          <w:numId w:val="10"/>
        </w:numPr>
        <w:spacing w:beforeAutospacing="1" w:afterAutospacing="1"/>
        <w:jc w:val="both"/>
        <w:rPr>
          <w:rFonts w:cs="Arial"/>
          <w:sz w:val="24"/>
          <w:szCs w:val="24"/>
        </w:rPr>
      </w:pPr>
      <w:r w:rsidRPr="00FB0633">
        <w:rPr>
          <w:rFonts w:cs="Arial"/>
          <w:sz w:val="24"/>
          <w:szCs w:val="24"/>
        </w:rPr>
        <w:t>Improve</w:t>
      </w:r>
      <w:r>
        <w:rPr>
          <w:rFonts w:cs="Arial"/>
          <w:sz w:val="24"/>
          <w:szCs w:val="24"/>
        </w:rPr>
        <w:t>d</w:t>
      </w:r>
      <w:r w:rsidRPr="00FB0633">
        <w:rPr>
          <w:rFonts w:cs="Arial"/>
          <w:sz w:val="24"/>
          <w:szCs w:val="24"/>
        </w:rPr>
        <w:t xml:space="preserve"> </w:t>
      </w:r>
      <w:r>
        <w:rPr>
          <w:rFonts w:cs="Arial"/>
          <w:sz w:val="24"/>
          <w:szCs w:val="24"/>
        </w:rPr>
        <w:t>s</w:t>
      </w:r>
      <w:r w:rsidRPr="00FB0633">
        <w:rPr>
          <w:rFonts w:cs="Arial"/>
          <w:sz w:val="24"/>
          <w:szCs w:val="24"/>
        </w:rPr>
        <w:t>ustainability</w:t>
      </w:r>
    </w:p>
    <w:p w14:paraId="4A5DED0A" w14:textId="77777777" w:rsidR="006E7115" w:rsidRDefault="006E7115" w:rsidP="006E7115">
      <w:pPr>
        <w:rPr>
          <w:b/>
          <w:sz w:val="24"/>
          <w:szCs w:val="24"/>
        </w:rPr>
      </w:pPr>
      <w:bookmarkStart w:id="3" w:name="_Toc54103514"/>
      <w:bookmarkStart w:id="4" w:name="_Toc54104645"/>
      <w:bookmarkStart w:id="5" w:name="_Toc54334209"/>
      <w:bookmarkStart w:id="6" w:name="_Toc54336397"/>
      <w:bookmarkStart w:id="7" w:name="_Toc54336611"/>
      <w:bookmarkStart w:id="8" w:name="_Toc54337044"/>
      <w:bookmarkStart w:id="9" w:name="_Toc54340953"/>
      <w:bookmarkStart w:id="10" w:name="_Toc54778480"/>
      <w:bookmarkStart w:id="11" w:name="_Toc54946144"/>
      <w:bookmarkStart w:id="12" w:name="_Toc55132982"/>
      <w:bookmarkStart w:id="13" w:name="_Toc55819809"/>
      <w:bookmarkStart w:id="14" w:name="_Toc55819943"/>
      <w:bookmarkStart w:id="15" w:name="_Toc55820053"/>
      <w:bookmarkStart w:id="16" w:name="_Toc55820160"/>
      <w:bookmarkEnd w:id="3"/>
      <w:bookmarkEnd w:id="4"/>
      <w:bookmarkEnd w:id="5"/>
      <w:bookmarkEnd w:id="6"/>
      <w:bookmarkEnd w:id="7"/>
      <w:bookmarkEnd w:id="8"/>
      <w:bookmarkEnd w:id="9"/>
      <w:bookmarkEnd w:id="10"/>
      <w:bookmarkEnd w:id="11"/>
      <w:bookmarkEnd w:id="12"/>
      <w:bookmarkEnd w:id="13"/>
      <w:bookmarkEnd w:id="14"/>
      <w:bookmarkEnd w:id="15"/>
      <w:bookmarkEnd w:id="16"/>
      <w:r>
        <w:rPr>
          <w:b/>
          <w:sz w:val="24"/>
          <w:szCs w:val="24"/>
        </w:rPr>
        <w:t>3.</w:t>
      </w:r>
      <w:r>
        <w:rPr>
          <w:b/>
          <w:sz w:val="24"/>
          <w:szCs w:val="24"/>
        </w:rPr>
        <w:tab/>
        <w:t>Evaluation of past performance</w:t>
      </w:r>
    </w:p>
    <w:p w14:paraId="105B6609" w14:textId="77777777" w:rsidR="006E7115" w:rsidRDefault="006E7115" w:rsidP="006E7115">
      <w:pPr>
        <w:rPr>
          <w:sz w:val="24"/>
          <w:szCs w:val="24"/>
        </w:rPr>
      </w:pPr>
      <w:r w:rsidRPr="00EB430B">
        <w:rPr>
          <w:sz w:val="24"/>
          <w:szCs w:val="24"/>
        </w:rPr>
        <w:t>The State of Kansas made progress on its priority needs and objectives in FY 201</w:t>
      </w:r>
      <w:r>
        <w:rPr>
          <w:sz w:val="24"/>
          <w:szCs w:val="24"/>
        </w:rPr>
        <w:t>7</w:t>
      </w:r>
      <w:r w:rsidRPr="00EB430B">
        <w:rPr>
          <w:sz w:val="24"/>
          <w:szCs w:val="24"/>
        </w:rPr>
        <w:t xml:space="preserve">, the last complete period </w:t>
      </w:r>
      <w:r>
        <w:rPr>
          <w:sz w:val="24"/>
          <w:szCs w:val="24"/>
        </w:rPr>
        <w:t>for which</w:t>
      </w:r>
      <w:r w:rsidRPr="00EB430B">
        <w:rPr>
          <w:sz w:val="24"/>
          <w:szCs w:val="24"/>
        </w:rPr>
        <w:t xml:space="preserve"> a Consolidated Annual Performance</w:t>
      </w:r>
      <w:r>
        <w:rPr>
          <w:sz w:val="24"/>
          <w:szCs w:val="24"/>
        </w:rPr>
        <w:t xml:space="preserve"> and Evaluation</w:t>
      </w:r>
      <w:r w:rsidRPr="00EB430B">
        <w:rPr>
          <w:sz w:val="24"/>
          <w:szCs w:val="24"/>
        </w:rPr>
        <w:t xml:space="preserve"> Report (CAPER) was conducted. The best indicators of results are described below for the Community Development Division of the Department of Commerce</w:t>
      </w:r>
      <w:r>
        <w:rPr>
          <w:sz w:val="24"/>
          <w:szCs w:val="24"/>
        </w:rPr>
        <w:t xml:space="preserve"> (Commerce)</w:t>
      </w:r>
      <w:r w:rsidRPr="00EB430B">
        <w:rPr>
          <w:sz w:val="24"/>
          <w:szCs w:val="24"/>
        </w:rPr>
        <w:t xml:space="preserve">, Kansas Department of Health and Environment </w:t>
      </w:r>
      <w:r>
        <w:rPr>
          <w:sz w:val="24"/>
          <w:szCs w:val="24"/>
        </w:rPr>
        <w:t xml:space="preserve">(KDHE) </w:t>
      </w:r>
      <w:r w:rsidRPr="00EB430B">
        <w:rPr>
          <w:sz w:val="24"/>
          <w:szCs w:val="24"/>
        </w:rPr>
        <w:t>and Kansas Housing Resources Corporation</w:t>
      </w:r>
      <w:r>
        <w:rPr>
          <w:sz w:val="24"/>
          <w:szCs w:val="24"/>
        </w:rPr>
        <w:t xml:space="preserve"> (KHRC)</w:t>
      </w:r>
      <w:r w:rsidRPr="00EB430B">
        <w:rPr>
          <w:sz w:val="24"/>
          <w:szCs w:val="24"/>
        </w:rPr>
        <w:t>.</w:t>
      </w:r>
    </w:p>
    <w:p w14:paraId="1D663319" w14:textId="77777777" w:rsidR="006E7115" w:rsidRPr="00672590" w:rsidRDefault="006E7115" w:rsidP="006E7115">
      <w:pPr>
        <w:rPr>
          <w:b/>
          <w:sz w:val="23"/>
          <w:szCs w:val="23"/>
        </w:rPr>
      </w:pPr>
      <w:r w:rsidRPr="00672590">
        <w:rPr>
          <w:b/>
          <w:sz w:val="24"/>
          <w:szCs w:val="24"/>
        </w:rPr>
        <w:t>Community Development Block Grant (</w:t>
      </w:r>
      <w:r w:rsidRPr="00672590">
        <w:rPr>
          <w:b/>
          <w:sz w:val="23"/>
          <w:szCs w:val="23"/>
        </w:rPr>
        <w:t>CDBG) Program:</w:t>
      </w:r>
    </w:p>
    <w:p w14:paraId="74C31906" w14:textId="77777777" w:rsidR="006E7115" w:rsidRPr="00672590" w:rsidRDefault="006E7115" w:rsidP="006E7115">
      <w:pPr>
        <w:rPr>
          <w:sz w:val="24"/>
          <w:szCs w:val="24"/>
        </w:rPr>
      </w:pPr>
      <w:r w:rsidRPr="00672590">
        <w:rPr>
          <w:sz w:val="24"/>
          <w:szCs w:val="24"/>
        </w:rPr>
        <w:t xml:space="preserve">The State </w:t>
      </w:r>
      <w:r>
        <w:rPr>
          <w:sz w:val="24"/>
          <w:szCs w:val="24"/>
        </w:rPr>
        <w:t xml:space="preserve">was </w:t>
      </w:r>
      <w:r w:rsidRPr="00672590">
        <w:rPr>
          <w:sz w:val="24"/>
          <w:szCs w:val="24"/>
        </w:rPr>
        <w:t>awarded $1</w:t>
      </w:r>
      <w:r>
        <w:rPr>
          <w:sz w:val="24"/>
          <w:szCs w:val="24"/>
        </w:rPr>
        <w:t>3</w:t>
      </w:r>
      <w:r w:rsidRPr="00672590">
        <w:rPr>
          <w:sz w:val="24"/>
          <w:szCs w:val="24"/>
        </w:rPr>
        <w:t>,</w:t>
      </w:r>
      <w:r>
        <w:rPr>
          <w:sz w:val="24"/>
          <w:szCs w:val="24"/>
        </w:rPr>
        <w:t>650,232</w:t>
      </w:r>
      <w:r w:rsidRPr="00672590">
        <w:rPr>
          <w:sz w:val="24"/>
          <w:szCs w:val="24"/>
        </w:rPr>
        <w:t xml:space="preserve"> of CDBG funds for projects in </w:t>
      </w:r>
      <w:r>
        <w:rPr>
          <w:sz w:val="24"/>
          <w:szCs w:val="24"/>
        </w:rPr>
        <w:t>FY</w:t>
      </w:r>
      <w:r w:rsidRPr="00672590">
        <w:rPr>
          <w:sz w:val="24"/>
          <w:szCs w:val="24"/>
        </w:rPr>
        <w:t xml:space="preserve"> 201</w:t>
      </w:r>
      <w:r>
        <w:rPr>
          <w:sz w:val="24"/>
          <w:szCs w:val="24"/>
        </w:rPr>
        <w:t>7 and also expected to generate $600,000 in program income to be used on CDBG projects</w:t>
      </w:r>
      <w:r w:rsidRPr="00672590">
        <w:rPr>
          <w:sz w:val="24"/>
          <w:szCs w:val="24"/>
        </w:rPr>
        <w:t xml:space="preserve">. These projects leveraged approximately $25.4 million in other public and private funds. The State funded projects in </w:t>
      </w:r>
      <w:r>
        <w:rPr>
          <w:sz w:val="24"/>
          <w:szCs w:val="24"/>
        </w:rPr>
        <w:t>six</w:t>
      </w:r>
      <w:r w:rsidRPr="00672590">
        <w:rPr>
          <w:sz w:val="24"/>
          <w:szCs w:val="24"/>
        </w:rPr>
        <w:t xml:space="preserve"> funding cat</w:t>
      </w:r>
      <w:r>
        <w:rPr>
          <w:sz w:val="24"/>
          <w:szCs w:val="24"/>
        </w:rPr>
        <w:t>egories including housing rehab, economic development, community facilities, water/ wastewater facilities, downtown commercial revitalization, and urgent need. In total, 17,690 persons benefited from the program in 2017, including 112 households that had their houses rehabilitated.</w:t>
      </w:r>
    </w:p>
    <w:p w14:paraId="7BA3FE4D" w14:textId="77777777" w:rsidR="006E7115" w:rsidRPr="00672590" w:rsidRDefault="006E7115" w:rsidP="006E7115">
      <w:pPr>
        <w:rPr>
          <w:b/>
          <w:sz w:val="23"/>
          <w:szCs w:val="23"/>
        </w:rPr>
      </w:pPr>
      <w:r w:rsidRPr="00672590">
        <w:rPr>
          <w:b/>
          <w:sz w:val="24"/>
          <w:szCs w:val="24"/>
        </w:rPr>
        <w:t>HOME Investment Partnerships (HOME) Program</w:t>
      </w:r>
      <w:r w:rsidRPr="00672590">
        <w:rPr>
          <w:b/>
          <w:sz w:val="23"/>
          <w:szCs w:val="23"/>
        </w:rPr>
        <w:t>:</w:t>
      </w:r>
    </w:p>
    <w:p w14:paraId="5D5FCB61" w14:textId="77777777" w:rsidR="006E7115" w:rsidRPr="00D1573C" w:rsidRDefault="006E7115" w:rsidP="006E7115">
      <w:pPr>
        <w:rPr>
          <w:sz w:val="24"/>
          <w:szCs w:val="24"/>
        </w:rPr>
      </w:pPr>
      <w:r>
        <w:rPr>
          <w:sz w:val="24"/>
          <w:szCs w:val="24"/>
        </w:rPr>
        <w:t xml:space="preserve">The State was awarded $4.4 million in HOME funds and expected to receive $250,000 in program income to be utilized for HOME projects in FY 2017. </w:t>
      </w:r>
      <w:r>
        <w:rPr>
          <w:rFonts w:asciiTheme="minorHAnsi" w:hAnsiTheme="minorHAnsi" w:cstheme="minorHAnsi"/>
          <w:color w:val="000000"/>
          <w:sz w:val="24"/>
          <w:shd w:val="clear" w:color="auto" w:fill="FFFFFF"/>
        </w:rPr>
        <w:t>These funds</w:t>
      </w:r>
      <w:r w:rsidRPr="00C50727">
        <w:rPr>
          <w:rFonts w:asciiTheme="minorHAnsi" w:hAnsiTheme="minorHAnsi" w:cstheme="minorHAnsi"/>
          <w:color w:val="000000"/>
          <w:sz w:val="24"/>
          <w:shd w:val="clear" w:color="auto" w:fill="FFFFFF"/>
        </w:rPr>
        <w:t xml:space="preserve"> served 70 households </w:t>
      </w:r>
      <w:r>
        <w:rPr>
          <w:rFonts w:asciiTheme="minorHAnsi" w:hAnsiTheme="minorHAnsi" w:cstheme="minorHAnsi"/>
          <w:color w:val="000000"/>
          <w:sz w:val="24"/>
          <w:shd w:val="clear" w:color="auto" w:fill="FFFFFF"/>
        </w:rPr>
        <w:t>through</w:t>
      </w:r>
      <w:r w:rsidRPr="00C50727">
        <w:rPr>
          <w:rFonts w:asciiTheme="minorHAnsi" w:hAnsiTheme="minorHAnsi" w:cstheme="minorHAnsi"/>
          <w:color w:val="000000"/>
          <w:sz w:val="24"/>
          <w:shd w:val="clear" w:color="auto" w:fill="FFFFFF"/>
        </w:rPr>
        <w:t xml:space="preserve"> the First Time Homebuyer Program, TBRA served 760 households, and the Rental Program developed 31 new constructed and 4 rehabilitated units.</w:t>
      </w:r>
    </w:p>
    <w:p w14:paraId="3F0A285F" w14:textId="77777777" w:rsidR="006E7115" w:rsidRPr="00672590" w:rsidRDefault="006E7115" w:rsidP="006E7115">
      <w:pPr>
        <w:rPr>
          <w:b/>
          <w:sz w:val="23"/>
          <w:szCs w:val="23"/>
        </w:rPr>
      </w:pPr>
      <w:r w:rsidRPr="00672590">
        <w:rPr>
          <w:b/>
          <w:sz w:val="24"/>
          <w:szCs w:val="24"/>
        </w:rPr>
        <w:t>Housing Opportunities for Persons with AIDS (HOPWA) Program:</w:t>
      </w:r>
    </w:p>
    <w:p w14:paraId="03BBA014" w14:textId="6C96AC28" w:rsidR="006E7115" w:rsidRPr="000039A5" w:rsidRDefault="006E7115" w:rsidP="006E7115">
      <w:pPr>
        <w:rPr>
          <w:rFonts w:asciiTheme="minorHAnsi" w:hAnsiTheme="minorHAnsi" w:cstheme="minorHAnsi"/>
          <w:sz w:val="24"/>
          <w:szCs w:val="24"/>
        </w:rPr>
      </w:pPr>
      <w:r w:rsidRPr="000039A5">
        <w:rPr>
          <w:rFonts w:asciiTheme="minorHAnsi" w:hAnsiTheme="minorHAnsi" w:cstheme="minorHAnsi"/>
          <w:sz w:val="24"/>
          <w:szCs w:val="24"/>
        </w:rPr>
        <w:t xml:space="preserve">The State was awarded $452,803 in HOPWA funds for FY2017. The HOPWA Program </w:t>
      </w:r>
      <w:r w:rsidRPr="000039A5">
        <w:rPr>
          <w:rFonts w:asciiTheme="minorHAnsi" w:hAnsiTheme="minorHAnsi" w:cstheme="minorHAnsi"/>
          <w:color w:val="000000"/>
          <w:sz w:val="24"/>
          <w:szCs w:val="24"/>
          <w:shd w:val="clear" w:color="auto" w:fill="FFFFFF"/>
        </w:rPr>
        <w:t xml:space="preserve">provided housing assistance to 190 clients. The program helped 57 of these </w:t>
      </w:r>
      <w:r w:rsidR="002A771D" w:rsidRPr="000039A5">
        <w:rPr>
          <w:rFonts w:asciiTheme="minorHAnsi" w:hAnsiTheme="minorHAnsi" w:cstheme="minorHAnsi"/>
          <w:color w:val="000000"/>
          <w:sz w:val="24"/>
          <w:szCs w:val="24"/>
          <w:shd w:val="clear" w:color="auto" w:fill="FFFFFF"/>
        </w:rPr>
        <w:t>client’s</w:t>
      </w:r>
      <w:r w:rsidRPr="000039A5">
        <w:rPr>
          <w:rFonts w:asciiTheme="minorHAnsi" w:hAnsiTheme="minorHAnsi" w:cstheme="minorHAnsi"/>
          <w:color w:val="000000"/>
          <w:sz w:val="24"/>
          <w:szCs w:val="24"/>
          <w:shd w:val="clear" w:color="auto" w:fill="FFFFFF"/>
        </w:rPr>
        <w:t xml:space="preserve"> transition from homelessness into secure housing. Overall, the program reached 270 different individuals, including the family members of the clients who Kansas Care Through Housing (KCTH) served. The HOPWA Program provided supportive services to 586 individuals, which included 414 clients and their family members. The supportive services are crucial to clients outside of just housing assistance, as many areas around the state lack the necessary resources to provide these services.</w:t>
      </w:r>
    </w:p>
    <w:p w14:paraId="4FF8D164" w14:textId="77777777" w:rsidR="006E7115" w:rsidRPr="00F259B7" w:rsidRDefault="006E7115" w:rsidP="006E7115">
      <w:pPr>
        <w:spacing w:line="240" w:lineRule="auto"/>
        <w:rPr>
          <w:b/>
          <w:sz w:val="24"/>
          <w:szCs w:val="24"/>
        </w:rPr>
      </w:pPr>
      <w:r w:rsidRPr="00672590">
        <w:rPr>
          <w:b/>
          <w:sz w:val="24"/>
          <w:szCs w:val="24"/>
        </w:rPr>
        <w:t>Emergency S</w:t>
      </w:r>
      <w:r>
        <w:rPr>
          <w:b/>
          <w:sz w:val="24"/>
          <w:szCs w:val="24"/>
        </w:rPr>
        <w:t>olutions</w:t>
      </w:r>
      <w:r w:rsidRPr="00672590">
        <w:rPr>
          <w:b/>
          <w:sz w:val="24"/>
          <w:szCs w:val="24"/>
        </w:rPr>
        <w:t xml:space="preserve"> Grant (ESG) Program:</w:t>
      </w:r>
    </w:p>
    <w:p w14:paraId="1785D707" w14:textId="77777777" w:rsidR="006E7115" w:rsidRPr="000039A5" w:rsidRDefault="006E7115" w:rsidP="006E7115">
      <w:pPr>
        <w:rPr>
          <w:rFonts w:asciiTheme="minorHAnsi" w:hAnsiTheme="minorHAnsi" w:cstheme="minorHAnsi"/>
          <w:sz w:val="24"/>
          <w:szCs w:val="24"/>
        </w:rPr>
      </w:pPr>
      <w:r w:rsidRPr="000039A5">
        <w:rPr>
          <w:rFonts w:asciiTheme="minorHAnsi" w:hAnsiTheme="minorHAnsi" w:cstheme="minorHAnsi"/>
          <w:sz w:val="24"/>
          <w:szCs w:val="24"/>
        </w:rPr>
        <w:t xml:space="preserve">In FY 2017, the State received a total of $1,564,753 in ESG funds. KHRC used ESG funds for street outreach, emergency shelters, homelessness prevention, rapid re-housing, HMIS, and administrative activities. These activities were targeted to households that were literally homeless or at imminent risk of homelessness with incomes 0-30% of Area Median Family Income (AMFI) and to individuals and families in the following at-risk homeless categories: chronically homeless, HIV/AIDS, elderly, veterans, mental health, youth, domestic violence victims and substance abuse. Funds assisted a total of 3,337 individuals. </w:t>
      </w:r>
      <w:r w:rsidRPr="000039A5">
        <w:rPr>
          <w:rFonts w:asciiTheme="minorHAnsi" w:hAnsiTheme="minorHAnsi" w:cstheme="minorHAnsi"/>
          <w:color w:val="000000"/>
          <w:sz w:val="24"/>
          <w:szCs w:val="24"/>
          <w:shd w:val="clear" w:color="auto" w:fill="FFFFFF"/>
        </w:rPr>
        <w:t>Homelessness prevention served 173, rapid re-housing served 629, shelter services assisted 2,492, and 43 in street outreach.</w:t>
      </w:r>
    </w:p>
    <w:p w14:paraId="0496D807" w14:textId="77777777" w:rsidR="006E7115" w:rsidRPr="00F259B7" w:rsidRDefault="006E7115" w:rsidP="006E7115">
      <w:pPr>
        <w:spacing w:line="240" w:lineRule="auto"/>
        <w:rPr>
          <w:b/>
          <w:sz w:val="24"/>
          <w:szCs w:val="24"/>
        </w:rPr>
      </w:pPr>
      <w:r>
        <w:rPr>
          <w:b/>
          <w:sz w:val="24"/>
          <w:szCs w:val="24"/>
        </w:rPr>
        <w:t>Housing Trust Fund (HTF)</w:t>
      </w:r>
      <w:r w:rsidRPr="00672590">
        <w:rPr>
          <w:b/>
          <w:sz w:val="24"/>
          <w:szCs w:val="24"/>
        </w:rPr>
        <w:t xml:space="preserve"> Program:</w:t>
      </w:r>
    </w:p>
    <w:p w14:paraId="29EA25AA" w14:textId="77777777" w:rsidR="006E7115" w:rsidRPr="000039A5" w:rsidRDefault="006E7115" w:rsidP="006E7115">
      <w:pPr>
        <w:rPr>
          <w:sz w:val="24"/>
          <w:szCs w:val="24"/>
        </w:rPr>
      </w:pPr>
      <w:r>
        <w:rPr>
          <w:sz w:val="24"/>
          <w:szCs w:val="24"/>
        </w:rPr>
        <w:t>The State was awarded $3,000,000 in HTF funds i</w:t>
      </w:r>
      <w:r w:rsidRPr="0056597B">
        <w:rPr>
          <w:sz w:val="24"/>
          <w:szCs w:val="24"/>
        </w:rPr>
        <w:t>n FY 201</w:t>
      </w:r>
      <w:r>
        <w:rPr>
          <w:sz w:val="24"/>
          <w:szCs w:val="24"/>
        </w:rPr>
        <w:t>7</w:t>
      </w:r>
      <w:r w:rsidRPr="0056597B">
        <w:rPr>
          <w:sz w:val="24"/>
          <w:szCs w:val="24"/>
        </w:rPr>
        <w:t xml:space="preserve">. </w:t>
      </w:r>
      <w:r>
        <w:rPr>
          <w:sz w:val="24"/>
          <w:szCs w:val="24"/>
        </w:rPr>
        <w:t xml:space="preserve">The HTF funds are utilized to construct new rental units and to rehabilitate existing rental units. There are units in production, however none completed by the generation of the 2017 CAPER. </w:t>
      </w:r>
    </w:p>
    <w:p w14:paraId="16B3A92D" w14:textId="77777777" w:rsidR="006E7115" w:rsidRDefault="006E7115" w:rsidP="006E7115">
      <w:pPr>
        <w:rPr>
          <w:b/>
          <w:sz w:val="24"/>
          <w:szCs w:val="24"/>
        </w:rPr>
      </w:pPr>
      <w:r>
        <w:rPr>
          <w:b/>
          <w:sz w:val="24"/>
          <w:szCs w:val="24"/>
        </w:rPr>
        <w:t>4.</w:t>
      </w:r>
      <w:r>
        <w:rPr>
          <w:b/>
          <w:sz w:val="24"/>
          <w:szCs w:val="24"/>
        </w:rPr>
        <w:tab/>
        <w:t>Summary of citizen participation process and consultation process</w:t>
      </w:r>
    </w:p>
    <w:p w14:paraId="056DE297" w14:textId="69E455B6" w:rsidR="006E7115" w:rsidRPr="00211313" w:rsidRDefault="006E7115" w:rsidP="006E7115">
      <w:pPr>
        <w:autoSpaceDE w:val="0"/>
        <w:autoSpaceDN w:val="0"/>
        <w:adjustRightInd w:val="0"/>
        <w:spacing w:after="0"/>
        <w:rPr>
          <w:sz w:val="24"/>
          <w:szCs w:val="24"/>
        </w:rPr>
      </w:pPr>
      <w:r w:rsidRPr="007D6E89">
        <w:rPr>
          <w:sz w:val="24"/>
          <w:szCs w:val="24"/>
        </w:rPr>
        <w:t>The State of Kansas conducted two public hearings on housing and community development issues to allow citizen</w:t>
      </w:r>
      <w:r>
        <w:rPr>
          <w:sz w:val="24"/>
          <w:szCs w:val="24"/>
        </w:rPr>
        <w:t>s to provide input into the 2019</w:t>
      </w:r>
      <w:r w:rsidRPr="007D6E89">
        <w:rPr>
          <w:sz w:val="24"/>
          <w:szCs w:val="24"/>
        </w:rPr>
        <w:t>-</w:t>
      </w:r>
      <w:r>
        <w:rPr>
          <w:sz w:val="24"/>
          <w:szCs w:val="24"/>
        </w:rPr>
        <w:t xml:space="preserve">2023 Consolidated Plan.  </w:t>
      </w:r>
      <w:r w:rsidRPr="007D6E89">
        <w:rPr>
          <w:sz w:val="24"/>
          <w:szCs w:val="24"/>
        </w:rPr>
        <w:t>The Consolidated Plan is the policy framework for federally-funded community development and housing programs.  The public hearings focused on housing and community develop</w:t>
      </w:r>
      <w:r>
        <w:rPr>
          <w:sz w:val="24"/>
          <w:szCs w:val="24"/>
        </w:rPr>
        <w:t>ment needs throughout the State</w:t>
      </w:r>
      <w:r w:rsidRPr="007D6E89">
        <w:rPr>
          <w:sz w:val="24"/>
          <w:szCs w:val="24"/>
        </w:rPr>
        <w:t xml:space="preserve"> and strategies to address </w:t>
      </w:r>
      <w:r>
        <w:rPr>
          <w:sz w:val="24"/>
          <w:szCs w:val="24"/>
        </w:rPr>
        <w:t xml:space="preserve">those </w:t>
      </w:r>
      <w:r w:rsidRPr="007D6E89">
        <w:rPr>
          <w:sz w:val="24"/>
          <w:szCs w:val="24"/>
        </w:rPr>
        <w:t xml:space="preserve">needs.  The presentation </w:t>
      </w:r>
      <w:r>
        <w:rPr>
          <w:sz w:val="24"/>
          <w:szCs w:val="24"/>
        </w:rPr>
        <w:t>is</w:t>
      </w:r>
      <w:r w:rsidRPr="007D6E89">
        <w:rPr>
          <w:sz w:val="24"/>
          <w:szCs w:val="24"/>
        </w:rPr>
        <w:t xml:space="preserve"> available via download on the Kansas Housing Resources Corporation (KHRC) website at </w:t>
      </w:r>
      <w:hyperlink r:id="rId8" w:history="1">
        <w:r w:rsidR="00211313" w:rsidRPr="00211313">
          <w:rPr>
            <w:rStyle w:val="Hyperlink"/>
            <w:sz w:val="24"/>
            <w:szCs w:val="24"/>
          </w:rPr>
          <w:t>www.kshousingcorp.org</w:t>
        </w:r>
      </w:hyperlink>
      <w:r w:rsidR="00211313" w:rsidRPr="00211313">
        <w:rPr>
          <w:sz w:val="24"/>
          <w:szCs w:val="24"/>
        </w:rPr>
        <w:t xml:space="preserve">. </w:t>
      </w:r>
    </w:p>
    <w:p w14:paraId="639A7A05" w14:textId="77777777" w:rsidR="006E7115" w:rsidRPr="00211313" w:rsidRDefault="006E7115" w:rsidP="006E7115">
      <w:pPr>
        <w:autoSpaceDE w:val="0"/>
        <w:autoSpaceDN w:val="0"/>
        <w:adjustRightInd w:val="0"/>
        <w:spacing w:after="0" w:line="240" w:lineRule="auto"/>
        <w:jc w:val="both"/>
        <w:rPr>
          <w:rFonts w:ascii="Times New Roman" w:eastAsiaTheme="minorHAnsi" w:hAnsi="Times New Roman"/>
          <w:sz w:val="24"/>
          <w:szCs w:val="24"/>
        </w:rPr>
      </w:pPr>
    </w:p>
    <w:p w14:paraId="6EC6693F" w14:textId="2EEC74B8" w:rsidR="008E2894" w:rsidRDefault="008E2894" w:rsidP="008E2894">
      <w:pPr>
        <w:autoSpaceDE w:val="0"/>
        <w:autoSpaceDN w:val="0"/>
        <w:adjustRightInd w:val="0"/>
        <w:spacing w:after="0"/>
        <w:rPr>
          <w:rFonts w:asciiTheme="minorHAnsi" w:eastAsiaTheme="minorHAnsi" w:hAnsiTheme="minorHAnsi"/>
          <w:sz w:val="24"/>
          <w:szCs w:val="24"/>
        </w:rPr>
      </w:pPr>
      <w:r w:rsidRPr="001E4FA0">
        <w:rPr>
          <w:rFonts w:asciiTheme="minorHAnsi" w:eastAsiaTheme="minorHAnsi" w:hAnsiTheme="minorHAnsi"/>
          <w:sz w:val="24"/>
          <w:szCs w:val="24"/>
        </w:rPr>
        <w:t xml:space="preserve">The </w:t>
      </w:r>
      <w:r>
        <w:rPr>
          <w:rFonts w:asciiTheme="minorHAnsi" w:eastAsiaTheme="minorHAnsi" w:hAnsiTheme="minorHAnsi"/>
          <w:sz w:val="24"/>
          <w:szCs w:val="24"/>
        </w:rPr>
        <w:t>needs</w:t>
      </w:r>
      <w:r w:rsidRPr="001E4FA0">
        <w:rPr>
          <w:rFonts w:asciiTheme="minorHAnsi" w:eastAsiaTheme="minorHAnsi" w:hAnsiTheme="minorHAnsi"/>
          <w:sz w:val="24"/>
          <w:szCs w:val="24"/>
        </w:rPr>
        <w:t xml:space="preserve"> hearing</w:t>
      </w:r>
      <w:r>
        <w:rPr>
          <w:rFonts w:asciiTheme="minorHAnsi" w:eastAsiaTheme="minorHAnsi" w:hAnsiTheme="minorHAnsi"/>
          <w:sz w:val="24"/>
          <w:szCs w:val="24"/>
        </w:rPr>
        <w:t xml:space="preserve"> was</w:t>
      </w:r>
      <w:r w:rsidRPr="001E4FA0">
        <w:rPr>
          <w:rFonts w:asciiTheme="minorHAnsi" w:eastAsiaTheme="minorHAnsi" w:hAnsiTheme="minorHAnsi"/>
          <w:sz w:val="24"/>
          <w:szCs w:val="24"/>
        </w:rPr>
        <w:t xml:space="preserve"> announced through</w:t>
      </w:r>
      <w:r>
        <w:rPr>
          <w:rFonts w:asciiTheme="minorHAnsi" w:eastAsiaTheme="minorHAnsi" w:hAnsiTheme="minorHAnsi"/>
          <w:sz w:val="24"/>
          <w:szCs w:val="24"/>
        </w:rPr>
        <w:t xml:space="preserve"> an e-mail blast on August 1, 2018</w:t>
      </w:r>
      <w:r w:rsidRPr="001E4FA0">
        <w:rPr>
          <w:rFonts w:asciiTheme="minorHAnsi" w:eastAsiaTheme="minorHAnsi" w:hAnsiTheme="minorHAnsi"/>
          <w:sz w:val="24"/>
          <w:szCs w:val="24"/>
        </w:rPr>
        <w:t xml:space="preserve"> </w:t>
      </w:r>
      <w:r>
        <w:rPr>
          <w:rFonts w:asciiTheme="minorHAnsi" w:eastAsiaTheme="minorHAnsi" w:hAnsiTheme="minorHAnsi"/>
          <w:sz w:val="24"/>
          <w:szCs w:val="24"/>
        </w:rPr>
        <w:t xml:space="preserve">and a </w:t>
      </w:r>
      <w:r w:rsidRPr="001E4FA0">
        <w:rPr>
          <w:rFonts w:asciiTheme="minorHAnsi" w:eastAsiaTheme="minorHAnsi" w:hAnsiTheme="minorHAnsi"/>
          <w:sz w:val="24"/>
          <w:szCs w:val="24"/>
        </w:rPr>
        <w:t xml:space="preserve">public notice in the Kansas Register on </w:t>
      </w:r>
      <w:r>
        <w:rPr>
          <w:rFonts w:asciiTheme="minorHAnsi" w:eastAsiaTheme="minorHAnsi" w:hAnsiTheme="minorHAnsi"/>
          <w:sz w:val="24"/>
          <w:szCs w:val="24"/>
        </w:rPr>
        <w:t xml:space="preserve">August 2, 2018.  The public hearing was held in Topeka on August 16, 2018.  </w:t>
      </w:r>
    </w:p>
    <w:p w14:paraId="4CC07EC9" w14:textId="77777777" w:rsidR="008E2894" w:rsidRDefault="008E2894" w:rsidP="008E2894">
      <w:pPr>
        <w:autoSpaceDE w:val="0"/>
        <w:autoSpaceDN w:val="0"/>
        <w:adjustRightInd w:val="0"/>
        <w:spacing w:after="0"/>
        <w:rPr>
          <w:rFonts w:asciiTheme="minorHAnsi" w:eastAsiaTheme="minorHAnsi" w:hAnsiTheme="minorHAnsi"/>
          <w:sz w:val="24"/>
          <w:szCs w:val="24"/>
        </w:rPr>
      </w:pPr>
    </w:p>
    <w:p w14:paraId="3847F060" w14:textId="21F6B85C" w:rsidR="006E7115" w:rsidRDefault="008E2894" w:rsidP="006E7115">
      <w:pPr>
        <w:autoSpaceDE w:val="0"/>
        <w:autoSpaceDN w:val="0"/>
        <w:adjustRightInd w:val="0"/>
        <w:spacing w:after="0"/>
        <w:rPr>
          <w:sz w:val="24"/>
          <w:szCs w:val="24"/>
        </w:rPr>
      </w:pPr>
      <w:r>
        <w:rPr>
          <w:rFonts w:asciiTheme="minorHAnsi" w:eastAsiaTheme="minorHAnsi" w:hAnsiTheme="minorHAnsi"/>
          <w:sz w:val="24"/>
          <w:szCs w:val="24"/>
        </w:rPr>
        <w:t>The public hearing was announced by e-mail blast on September 21, 2018, and by public notice in the Kansas Register on September 27, 2018</w:t>
      </w:r>
      <w:r w:rsidRPr="001E4FA0">
        <w:rPr>
          <w:rFonts w:asciiTheme="minorHAnsi" w:eastAsiaTheme="minorHAnsi" w:hAnsiTheme="minorHAnsi"/>
          <w:sz w:val="24"/>
          <w:szCs w:val="24"/>
        </w:rPr>
        <w:t>.</w:t>
      </w:r>
      <w:r>
        <w:rPr>
          <w:rFonts w:asciiTheme="minorHAnsi" w:eastAsiaTheme="minorHAnsi" w:hAnsiTheme="minorHAnsi"/>
          <w:sz w:val="24"/>
          <w:szCs w:val="24"/>
        </w:rPr>
        <w:t xml:space="preserve">  </w:t>
      </w:r>
      <w:r w:rsidRPr="001E4FA0">
        <w:rPr>
          <w:rFonts w:asciiTheme="minorHAnsi" w:eastAsiaTheme="minorHAnsi" w:hAnsiTheme="minorHAnsi"/>
          <w:sz w:val="24"/>
          <w:szCs w:val="24"/>
        </w:rPr>
        <w:t xml:space="preserve"> The public hearings occurred in </w:t>
      </w:r>
      <w:r>
        <w:rPr>
          <w:rFonts w:asciiTheme="minorHAnsi" w:eastAsiaTheme="minorHAnsi" w:hAnsiTheme="minorHAnsi"/>
          <w:sz w:val="24"/>
          <w:szCs w:val="24"/>
        </w:rPr>
        <w:t xml:space="preserve">Topeka on October 3, 2018.  </w:t>
      </w:r>
      <w:r w:rsidRPr="00117179">
        <w:rPr>
          <w:sz w:val="24"/>
          <w:szCs w:val="24"/>
        </w:rPr>
        <w:t xml:space="preserve">The public hearing notices were </w:t>
      </w:r>
      <w:r>
        <w:rPr>
          <w:sz w:val="24"/>
          <w:szCs w:val="24"/>
        </w:rPr>
        <w:t xml:space="preserve">also </w:t>
      </w:r>
      <w:r w:rsidRPr="00117179">
        <w:rPr>
          <w:sz w:val="24"/>
          <w:szCs w:val="24"/>
        </w:rPr>
        <w:t>placed on the KHRC website.</w:t>
      </w:r>
      <w:r>
        <w:rPr>
          <w:rFonts w:asciiTheme="minorHAnsi" w:eastAsiaTheme="minorHAnsi" w:hAnsiTheme="minorHAnsi"/>
          <w:sz w:val="24"/>
          <w:szCs w:val="24"/>
        </w:rPr>
        <w:t xml:space="preserve"> </w:t>
      </w:r>
      <w:r w:rsidRPr="001E4FA0">
        <w:rPr>
          <w:rFonts w:asciiTheme="minorHAnsi" w:eastAsiaTheme="minorHAnsi" w:hAnsiTheme="minorHAnsi"/>
          <w:sz w:val="24"/>
          <w:szCs w:val="24"/>
        </w:rPr>
        <w:t>The public hearings were designed to encourage participation by local, regional, statewide institutions, Continuum of Care, and other public and private organizations.  The public hearing notices included the amount of federal dollars the State anticipated receiving, in addition to encouraging participation by individuals with disabilities or limited English proficiency.</w:t>
      </w:r>
      <w:r>
        <w:rPr>
          <w:rFonts w:asciiTheme="minorHAnsi" w:eastAsiaTheme="minorHAnsi" w:hAnsiTheme="minorHAnsi"/>
          <w:sz w:val="24"/>
          <w:szCs w:val="24"/>
        </w:rPr>
        <w:t xml:space="preserve">  </w:t>
      </w:r>
    </w:p>
    <w:p w14:paraId="3ADD758E" w14:textId="77777777" w:rsidR="006E7115" w:rsidRDefault="006E7115" w:rsidP="006E7115">
      <w:pPr>
        <w:autoSpaceDE w:val="0"/>
        <w:autoSpaceDN w:val="0"/>
        <w:adjustRightInd w:val="0"/>
        <w:spacing w:after="0"/>
        <w:rPr>
          <w:sz w:val="24"/>
          <w:szCs w:val="24"/>
        </w:rPr>
      </w:pPr>
    </w:p>
    <w:p w14:paraId="5CF3AAE4" w14:textId="77777777" w:rsidR="006E7115" w:rsidRDefault="006E7115" w:rsidP="006E7115">
      <w:pPr>
        <w:autoSpaceDE w:val="0"/>
        <w:autoSpaceDN w:val="0"/>
        <w:adjustRightInd w:val="0"/>
        <w:spacing w:after="0"/>
        <w:rPr>
          <w:sz w:val="24"/>
          <w:szCs w:val="24"/>
        </w:rPr>
      </w:pPr>
      <w:r>
        <w:rPr>
          <w:sz w:val="24"/>
          <w:szCs w:val="24"/>
        </w:rPr>
        <w:t>A series of ten web-based stakeholder meetings were held over a two-week period beginning April 16, 2018 going through April 27, 2018. The topics covered were: Housing, CDBG Recipients, Homelessness, Economic Development, and Fair Housing. Each topic was covered twice to allow options in dates of attendance for those stakeholders wishing to attend. Notes from each web session can be found at the following website:</w:t>
      </w:r>
      <w:r w:rsidRPr="000A20CA">
        <w:t xml:space="preserve"> </w:t>
      </w:r>
      <w:hyperlink r:id="rId9" w:history="1">
        <w:r w:rsidRPr="00F553F5">
          <w:rPr>
            <w:rStyle w:val="Hyperlink"/>
            <w:sz w:val="24"/>
            <w:szCs w:val="24"/>
          </w:rPr>
          <w:t>https://kansasfairhousing.com/stakeholder-interviews/</w:t>
        </w:r>
      </w:hyperlink>
    </w:p>
    <w:p w14:paraId="0AEFD2A9" w14:textId="77777777" w:rsidR="006E7115" w:rsidRDefault="006E7115" w:rsidP="006E7115">
      <w:pPr>
        <w:autoSpaceDE w:val="0"/>
        <w:autoSpaceDN w:val="0"/>
        <w:adjustRightInd w:val="0"/>
        <w:spacing w:after="0" w:line="240" w:lineRule="auto"/>
        <w:jc w:val="both"/>
        <w:rPr>
          <w:rFonts w:ascii="Times New Roman" w:eastAsiaTheme="minorHAnsi" w:hAnsi="Times New Roman"/>
          <w:sz w:val="24"/>
          <w:szCs w:val="24"/>
        </w:rPr>
      </w:pPr>
    </w:p>
    <w:p w14:paraId="6E5AF6A4" w14:textId="77777777" w:rsidR="006E7115" w:rsidRDefault="006E7115" w:rsidP="006E7115">
      <w:pPr>
        <w:rPr>
          <w:b/>
          <w:sz w:val="24"/>
          <w:szCs w:val="24"/>
        </w:rPr>
      </w:pPr>
      <w:r>
        <w:rPr>
          <w:b/>
          <w:sz w:val="24"/>
          <w:szCs w:val="24"/>
        </w:rPr>
        <w:t>5.</w:t>
      </w:r>
      <w:r>
        <w:rPr>
          <w:b/>
          <w:sz w:val="24"/>
          <w:szCs w:val="24"/>
        </w:rPr>
        <w:tab/>
        <w:t>Summary of public comments</w:t>
      </w:r>
    </w:p>
    <w:p w14:paraId="32B4D562" w14:textId="0029417F" w:rsidR="006E7115" w:rsidRDefault="006E7115" w:rsidP="006E7115">
      <w:pPr>
        <w:autoSpaceDE w:val="0"/>
        <w:autoSpaceDN w:val="0"/>
        <w:adjustRightInd w:val="0"/>
        <w:spacing w:after="0"/>
        <w:rPr>
          <w:sz w:val="24"/>
          <w:szCs w:val="24"/>
        </w:rPr>
      </w:pPr>
    </w:p>
    <w:p w14:paraId="5E6AE857" w14:textId="77777777" w:rsidR="006E7115" w:rsidRPr="00133189" w:rsidRDefault="006E7115" w:rsidP="006E7115">
      <w:pPr>
        <w:autoSpaceDE w:val="0"/>
        <w:autoSpaceDN w:val="0"/>
        <w:adjustRightInd w:val="0"/>
        <w:spacing w:after="0"/>
        <w:jc w:val="both"/>
        <w:rPr>
          <w:sz w:val="24"/>
          <w:szCs w:val="24"/>
        </w:rPr>
      </w:pPr>
    </w:p>
    <w:p w14:paraId="46604658" w14:textId="77777777" w:rsidR="006E7115" w:rsidRDefault="006E7115" w:rsidP="006E7115">
      <w:pPr>
        <w:rPr>
          <w:b/>
          <w:sz w:val="24"/>
          <w:szCs w:val="24"/>
        </w:rPr>
      </w:pPr>
      <w:r>
        <w:rPr>
          <w:b/>
          <w:sz w:val="24"/>
          <w:szCs w:val="24"/>
        </w:rPr>
        <w:t>6.</w:t>
      </w:r>
      <w:r>
        <w:rPr>
          <w:b/>
          <w:sz w:val="24"/>
          <w:szCs w:val="24"/>
        </w:rPr>
        <w:tab/>
        <w:t>Summary of comments or views not accepted and the reasons for not accepting them</w:t>
      </w:r>
    </w:p>
    <w:p w14:paraId="767777A8" w14:textId="77777777" w:rsidR="006E7115" w:rsidRPr="00133189" w:rsidRDefault="006E7115" w:rsidP="006E7115">
      <w:pPr>
        <w:rPr>
          <w:sz w:val="24"/>
          <w:szCs w:val="24"/>
        </w:rPr>
      </w:pPr>
      <w:r w:rsidRPr="00133189">
        <w:rPr>
          <w:sz w:val="24"/>
          <w:szCs w:val="24"/>
        </w:rPr>
        <w:t>See above response.  Comments are attached in AD-25 Administration.  </w:t>
      </w:r>
    </w:p>
    <w:p w14:paraId="60365221" w14:textId="77777777" w:rsidR="006E7115" w:rsidRDefault="006E7115" w:rsidP="006E7115">
      <w:pPr>
        <w:rPr>
          <w:b/>
          <w:sz w:val="24"/>
          <w:szCs w:val="24"/>
        </w:rPr>
      </w:pPr>
      <w:r>
        <w:rPr>
          <w:b/>
          <w:sz w:val="24"/>
          <w:szCs w:val="24"/>
        </w:rPr>
        <w:t>7.</w:t>
      </w:r>
      <w:r>
        <w:rPr>
          <w:b/>
          <w:sz w:val="24"/>
          <w:szCs w:val="24"/>
        </w:rPr>
        <w:tab/>
        <w:t>Summary</w:t>
      </w:r>
    </w:p>
    <w:p w14:paraId="1EF99D9F" w14:textId="77777777" w:rsidR="006E7115" w:rsidRPr="00875D1E" w:rsidRDefault="006E7115" w:rsidP="006E7115">
      <w:pPr>
        <w:rPr>
          <w:b/>
          <w:sz w:val="24"/>
          <w:szCs w:val="24"/>
        </w:rPr>
      </w:pPr>
      <w:r w:rsidRPr="00875D1E">
        <w:rPr>
          <w:sz w:val="24"/>
          <w:szCs w:val="24"/>
        </w:rPr>
        <w:t>The Kansas Department of Commerce, Kansas Housing Resources Corporation, and Kansas Department of Health and Environment will be the le</w:t>
      </w:r>
      <w:r>
        <w:rPr>
          <w:sz w:val="24"/>
          <w:szCs w:val="24"/>
        </w:rPr>
        <w:t>ad/partner agencies for the 2019-2023 Consolidated Plan and the 2019 Action Plan</w:t>
      </w:r>
      <w:r w:rsidRPr="00875D1E">
        <w:rPr>
          <w:sz w:val="24"/>
          <w:szCs w:val="24"/>
        </w:rPr>
        <w:t>.</w:t>
      </w:r>
    </w:p>
    <w:p w14:paraId="6920AA3C" w14:textId="77777777" w:rsidR="00672590" w:rsidRDefault="00672590">
      <w:pPr>
        <w:rPr>
          <w:b/>
          <w:sz w:val="24"/>
          <w:szCs w:val="24"/>
        </w:rPr>
      </w:pPr>
    </w:p>
    <w:p w14:paraId="5D39B0DE" w14:textId="77777777" w:rsidR="00671AB5" w:rsidRDefault="00671AB5" w:rsidP="00671AB5">
      <w:pPr>
        <w:pStyle w:val="Heading1"/>
        <w:pageBreakBefore/>
        <w:jc w:val="center"/>
        <w:rPr>
          <w:rFonts w:ascii="Calibri" w:hAnsi="Calibri"/>
          <w:color w:val="auto"/>
          <w:sz w:val="32"/>
          <w:szCs w:val="32"/>
        </w:rPr>
      </w:pPr>
      <w:bookmarkStart w:id="17" w:name="_Toc524603004"/>
      <w:r>
        <w:rPr>
          <w:rFonts w:ascii="Calibri" w:hAnsi="Calibri"/>
          <w:color w:val="auto"/>
          <w:sz w:val="32"/>
          <w:szCs w:val="32"/>
        </w:rPr>
        <w:t>The Process</w:t>
      </w:r>
      <w:bookmarkEnd w:id="17"/>
    </w:p>
    <w:p w14:paraId="094321BF" w14:textId="77777777" w:rsidR="00671AB5" w:rsidRDefault="00671AB5" w:rsidP="00671AB5">
      <w:pPr>
        <w:pStyle w:val="Heading2"/>
        <w:shd w:val="clear" w:color="auto" w:fill="95B3D7" w:themeFill="accent1" w:themeFillTint="99"/>
        <w:rPr>
          <w:rFonts w:ascii="Calibri" w:hAnsi="Calibri"/>
          <w:i w:val="0"/>
        </w:rPr>
      </w:pPr>
      <w:bookmarkStart w:id="18" w:name="_Toc524603005"/>
      <w:r>
        <w:rPr>
          <w:rFonts w:ascii="Calibri" w:hAnsi="Calibri"/>
          <w:i w:val="0"/>
        </w:rPr>
        <w:t>PR-05 Lead &amp; Responsible Agencies 24 CFR 91.300(b)</w:t>
      </w:r>
      <w:bookmarkEnd w:id="18"/>
    </w:p>
    <w:p w14:paraId="6F7261D8" w14:textId="77777777" w:rsidR="00671AB5" w:rsidRDefault="00671AB5" w:rsidP="00671AB5">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14:paraId="122083EC" w14:textId="77777777" w:rsidR="00671AB5" w:rsidRPr="00977C3C" w:rsidRDefault="00671AB5" w:rsidP="00671AB5">
      <w:pPr>
        <w:pStyle w:val="Body"/>
        <w:rPr>
          <w:sz w:val="24"/>
          <w:szCs w:val="24"/>
        </w:rPr>
      </w:pPr>
      <w:r>
        <w:rPr>
          <w:sz w:val="24"/>
          <w:szCs w:val="24"/>
        </w:rPr>
        <w:t>The following are the agencies</w:t>
      </w:r>
      <w:r w:rsidRPr="00977C3C">
        <w:rPr>
          <w:sz w:val="24"/>
          <w:szCs w:val="24"/>
        </w:rPr>
        <w:t xml:space="preserve"> responsible for preparing the Consolidated Plan </w:t>
      </w:r>
      <w:r>
        <w:rPr>
          <w:sz w:val="24"/>
          <w:szCs w:val="24"/>
        </w:rPr>
        <w:t xml:space="preserve">by </w:t>
      </w:r>
      <w:r w:rsidRPr="00977C3C">
        <w:rPr>
          <w:sz w:val="24"/>
          <w:szCs w:val="24"/>
        </w:rPr>
        <w:t>grant program and funding source.</w:t>
      </w:r>
    </w:p>
    <w:p w14:paraId="0471B04E" w14:textId="77777777" w:rsidR="00671AB5" w:rsidRDefault="00671AB5" w:rsidP="00671AB5">
      <w:pPr>
        <w:pStyle w:val="TableTitle"/>
        <w:ind w:left="1080" w:hanging="1080"/>
      </w:pPr>
      <w:r>
        <w:t>Responsible Agencies</w:t>
      </w:r>
    </w:p>
    <w:tbl>
      <w:tblPr>
        <w:tblStyle w:val="GridTable4-Accent1"/>
        <w:tblW w:w="5000" w:type="pct"/>
        <w:tblLook w:val="04A0" w:firstRow="1" w:lastRow="0" w:firstColumn="1" w:lastColumn="0" w:noHBand="0" w:noVBand="1"/>
      </w:tblPr>
      <w:tblGrid>
        <w:gridCol w:w="2789"/>
        <w:gridCol w:w="2684"/>
        <w:gridCol w:w="3877"/>
      </w:tblGrid>
      <w:tr w:rsidR="00671AB5" w:rsidRPr="001F4CA5" w14:paraId="796738A2" w14:textId="77777777" w:rsidTr="00671AB5">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825" w:type="dxa"/>
          </w:tcPr>
          <w:p w14:paraId="18856353" w14:textId="77777777" w:rsidR="00671AB5" w:rsidRPr="001131D7" w:rsidRDefault="00671AB5" w:rsidP="002555A9">
            <w:pPr>
              <w:pStyle w:val="TableHeader"/>
              <w:rPr>
                <w:color w:val="auto"/>
                <w:sz w:val="22"/>
              </w:rPr>
            </w:pPr>
            <w:r w:rsidRPr="001131D7">
              <w:rPr>
                <w:color w:val="auto"/>
                <w:sz w:val="22"/>
              </w:rPr>
              <w:t>Agency Role</w:t>
            </w:r>
          </w:p>
        </w:tc>
        <w:tc>
          <w:tcPr>
            <w:tcW w:w="2710" w:type="dxa"/>
          </w:tcPr>
          <w:p w14:paraId="50402977" w14:textId="77777777" w:rsidR="00671AB5" w:rsidRPr="001131D7" w:rsidRDefault="00671AB5" w:rsidP="002555A9">
            <w:pPr>
              <w:pStyle w:val="TableHeader"/>
              <w:cnfStyle w:val="100000000000" w:firstRow="1" w:lastRow="0" w:firstColumn="0" w:lastColumn="0" w:oddVBand="0" w:evenVBand="0" w:oddHBand="0" w:evenHBand="0" w:firstRowFirstColumn="0" w:firstRowLastColumn="0" w:lastRowFirstColumn="0" w:lastRowLastColumn="0"/>
              <w:rPr>
                <w:color w:val="auto"/>
                <w:sz w:val="22"/>
              </w:rPr>
            </w:pPr>
            <w:r w:rsidRPr="001131D7">
              <w:rPr>
                <w:color w:val="auto"/>
                <w:sz w:val="22"/>
              </w:rPr>
              <w:t>Name</w:t>
            </w:r>
          </w:p>
        </w:tc>
        <w:tc>
          <w:tcPr>
            <w:tcW w:w="3916" w:type="dxa"/>
          </w:tcPr>
          <w:p w14:paraId="48838A8E" w14:textId="77777777" w:rsidR="00671AB5" w:rsidRPr="001131D7" w:rsidRDefault="00671AB5" w:rsidP="002555A9">
            <w:pPr>
              <w:pStyle w:val="TableHeader"/>
              <w:cnfStyle w:val="100000000000" w:firstRow="1" w:lastRow="0" w:firstColumn="0" w:lastColumn="0" w:oddVBand="0" w:evenVBand="0" w:oddHBand="0" w:evenHBand="0" w:firstRowFirstColumn="0" w:firstRowLastColumn="0" w:lastRowFirstColumn="0" w:lastRowLastColumn="0"/>
              <w:rPr>
                <w:color w:val="auto"/>
                <w:sz w:val="22"/>
              </w:rPr>
            </w:pPr>
            <w:r w:rsidRPr="001131D7">
              <w:rPr>
                <w:color w:val="auto"/>
                <w:sz w:val="22"/>
              </w:rPr>
              <w:t>Department/Agency</w:t>
            </w:r>
          </w:p>
        </w:tc>
      </w:tr>
      <w:tr w:rsidR="00671AB5" w14:paraId="47F6E455" w14:textId="77777777" w:rsidTr="00671AB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825" w:type="dxa"/>
          </w:tcPr>
          <w:p w14:paraId="07F490E5" w14:textId="77777777" w:rsidR="00671AB5" w:rsidRPr="001131D7" w:rsidRDefault="00671AB5" w:rsidP="002555A9">
            <w:pPr>
              <w:pStyle w:val="TableBody"/>
              <w:rPr>
                <w:sz w:val="22"/>
              </w:rPr>
            </w:pPr>
            <w:r w:rsidRPr="001131D7">
              <w:rPr>
                <w:sz w:val="22"/>
              </w:rPr>
              <w:t>HOME, ESG, and HTF Programs</w:t>
            </w:r>
          </w:p>
        </w:tc>
        <w:tc>
          <w:tcPr>
            <w:tcW w:w="2710" w:type="dxa"/>
          </w:tcPr>
          <w:p w14:paraId="4C67665A"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Kansas Housing Resources Corporation</w:t>
            </w:r>
          </w:p>
        </w:tc>
        <w:tc>
          <w:tcPr>
            <w:tcW w:w="3916" w:type="dxa"/>
          </w:tcPr>
          <w:p w14:paraId="35CE5746"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Kansas Housing Resources Corporation (KHRC)</w:t>
            </w:r>
          </w:p>
        </w:tc>
      </w:tr>
      <w:tr w:rsidR="00671AB5" w14:paraId="4EAD6165" w14:textId="77777777" w:rsidTr="00671AB5">
        <w:trPr>
          <w:trHeight w:val="580"/>
        </w:trPr>
        <w:tc>
          <w:tcPr>
            <w:cnfStyle w:val="001000000000" w:firstRow="0" w:lastRow="0" w:firstColumn="1" w:lastColumn="0" w:oddVBand="0" w:evenVBand="0" w:oddHBand="0" w:evenHBand="0" w:firstRowFirstColumn="0" w:firstRowLastColumn="0" w:lastRowFirstColumn="0" w:lastRowLastColumn="0"/>
            <w:tcW w:w="2825" w:type="dxa"/>
          </w:tcPr>
          <w:p w14:paraId="65A26ACA" w14:textId="77777777" w:rsidR="00671AB5" w:rsidRPr="001131D7" w:rsidRDefault="00671AB5" w:rsidP="002555A9">
            <w:pPr>
              <w:pStyle w:val="TableBody"/>
              <w:rPr>
                <w:sz w:val="22"/>
              </w:rPr>
            </w:pPr>
            <w:r w:rsidRPr="001131D7">
              <w:rPr>
                <w:sz w:val="22"/>
              </w:rPr>
              <w:t>CDBG Program</w:t>
            </w:r>
          </w:p>
        </w:tc>
        <w:tc>
          <w:tcPr>
            <w:tcW w:w="2710" w:type="dxa"/>
          </w:tcPr>
          <w:p w14:paraId="22E7C663"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Department of Business and Community Development</w:t>
            </w:r>
          </w:p>
        </w:tc>
        <w:tc>
          <w:tcPr>
            <w:tcW w:w="3916" w:type="dxa"/>
          </w:tcPr>
          <w:p w14:paraId="30B2993C"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Kansas Department of Commerce (Commerce)</w:t>
            </w:r>
          </w:p>
        </w:tc>
      </w:tr>
      <w:tr w:rsidR="00671AB5" w14:paraId="6E44434A" w14:textId="77777777" w:rsidTr="00671AB5">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2825" w:type="dxa"/>
          </w:tcPr>
          <w:p w14:paraId="6C7E4E48" w14:textId="77777777" w:rsidR="00671AB5" w:rsidRPr="001131D7" w:rsidRDefault="00671AB5" w:rsidP="002555A9">
            <w:pPr>
              <w:pStyle w:val="TableBody"/>
              <w:rPr>
                <w:sz w:val="22"/>
              </w:rPr>
            </w:pPr>
            <w:r w:rsidRPr="001131D7">
              <w:rPr>
                <w:sz w:val="22"/>
              </w:rPr>
              <w:t>HOPWA Program</w:t>
            </w:r>
          </w:p>
        </w:tc>
        <w:tc>
          <w:tcPr>
            <w:tcW w:w="2710" w:type="dxa"/>
          </w:tcPr>
          <w:p w14:paraId="448E2441"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The University of Kansas, School of Medicine-Wichita, Medical Practice Association (UKSM-W MPA)-program sponsor</w:t>
            </w:r>
          </w:p>
        </w:tc>
        <w:tc>
          <w:tcPr>
            <w:tcW w:w="3916" w:type="dxa"/>
          </w:tcPr>
          <w:p w14:paraId="1C11B472"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Kansas Department of Health and Environment (KDHE)</w:t>
            </w:r>
          </w:p>
        </w:tc>
      </w:tr>
    </w:tbl>
    <w:p w14:paraId="4BD671D5" w14:textId="77777777" w:rsidR="00671AB5" w:rsidRDefault="00671AB5" w:rsidP="00671AB5">
      <w:pPr>
        <w:spacing w:after="0" w:line="240" w:lineRule="auto"/>
        <w:rPr>
          <w:b/>
          <w:sz w:val="24"/>
          <w:szCs w:val="24"/>
        </w:rPr>
      </w:pPr>
    </w:p>
    <w:p w14:paraId="7CD9CD45" w14:textId="77777777" w:rsidR="00671AB5" w:rsidRDefault="00671AB5" w:rsidP="00671AB5">
      <w:pPr>
        <w:spacing w:after="0" w:line="240" w:lineRule="auto"/>
        <w:rPr>
          <w:b/>
          <w:vanish/>
          <w:sz w:val="24"/>
          <w:szCs w:val="24"/>
        </w:rPr>
      </w:pPr>
    </w:p>
    <w:p w14:paraId="2EAEA60F" w14:textId="77777777" w:rsidR="00671AB5" w:rsidRPr="008D5C56" w:rsidRDefault="00671AB5" w:rsidP="00671AB5">
      <w:pPr>
        <w:pStyle w:val="Body"/>
      </w:pPr>
      <w:r w:rsidRPr="00954D38">
        <w:rPr>
          <w:sz w:val="24"/>
          <w:szCs w:val="24"/>
        </w:rPr>
        <w:t xml:space="preserve">The </w:t>
      </w:r>
      <w:r>
        <w:rPr>
          <w:sz w:val="24"/>
          <w:szCs w:val="24"/>
        </w:rPr>
        <w:t xml:space="preserve">Consolidated Plan was developed in partnership between </w:t>
      </w:r>
      <w:r w:rsidRPr="00954D38">
        <w:rPr>
          <w:sz w:val="24"/>
          <w:szCs w:val="24"/>
        </w:rPr>
        <w:t>the Kansas Department of Commerce (Commerce</w:t>
      </w:r>
      <w:r>
        <w:rPr>
          <w:sz w:val="24"/>
          <w:szCs w:val="24"/>
        </w:rPr>
        <w:t xml:space="preserve">), Kansas Housing Resources </w:t>
      </w:r>
      <w:r w:rsidRPr="00954D38">
        <w:rPr>
          <w:sz w:val="24"/>
          <w:szCs w:val="24"/>
        </w:rPr>
        <w:t>Corporation (KHRC), and the Kansas Department of Health and Environment (KDHE)</w:t>
      </w:r>
      <w:r>
        <w:rPr>
          <w:sz w:val="24"/>
          <w:szCs w:val="24"/>
        </w:rPr>
        <w:t>.</w:t>
      </w:r>
    </w:p>
    <w:p w14:paraId="7D25694F" w14:textId="77777777" w:rsidR="00671AB5" w:rsidRDefault="00671AB5" w:rsidP="00671AB5">
      <w:pPr>
        <w:pStyle w:val="ParagraphHeader"/>
      </w:pPr>
      <w:r>
        <w:t>Consolidated Plan Public Contact Information</w:t>
      </w:r>
    </w:p>
    <w:p w14:paraId="1F45F011" w14:textId="77777777" w:rsidR="00671AB5" w:rsidRPr="00D3545F" w:rsidRDefault="00671AB5" w:rsidP="00671AB5">
      <w:pPr>
        <w:pStyle w:val="Body"/>
        <w:spacing w:after="0" w:line="240" w:lineRule="auto"/>
        <w:rPr>
          <w:sz w:val="24"/>
          <w:szCs w:val="24"/>
        </w:rPr>
      </w:pPr>
      <w:r w:rsidRPr="00D3545F">
        <w:rPr>
          <w:sz w:val="24"/>
          <w:szCs w:val="24"/>
        </w:rPr>
        <w:t>Christine Reimler</w:t>
      </w:r>
    </w:p>
    <w:p w14:paraId="59177319" w14:textId="77777777" w:rsidR="00671AB5" w:rsidRPr="00D3545F" w:rsidRDefault="00671AB5" w:rsidP="00671AB5">
      <w:pPr>
        <w:pStyle w:val="Body"/>
        <w:spacing w:after="0" w:line="240" w:lineRule="auto"/>
        <w:rPr>
          <w:sz w:val="24"/>
          <w:szCs w:val="24"/>
        </w:rPr>
      </w:pPr>
      <w:r w:rsidRPr="00D3545F">
        <w:rPr>
          <w:sz w:val="24"/>
          <w:szCs w:val="24"/>
        </w:rPr>
        <w:t>Director, HOME Program</w:t>
      </w:r>
    </w:p>
    <w:p w14:paraId="73A76563" w14:textId="77777777" w:rsidR="00671AB5" w:rsidRPr="00D3545F" w:rsidRDefault="00671AB5" w:rsidP="00671AB5">
      <w:pPr>
        <w:pStyle w:val="Body"/>
        <w:spacing w:after="0" w:line="240" w:lineRule="auto"/>
        <w:rPr>
          <w:sz w:val="24"/>
          <w:szCs w:val="24"/>
        </w:rPr>
      </w:pPr>
      <w:r w:rsidRPr="00D3545F">
        <w:rPr>
          <w:sz w:val="24"/>
          <w:szCs w:val="24"/>
        </w:rPr>
        <w:t>611 S. Kansas Avenue, Suite 300</w:t>
      </w:r>
    </w:p>
    <w:p w14:paraId="77E988F6" w14:textId="77777777" w:rsidR="00671AB5" w:rsidRPr="00D3545F" w:rsidRDefault="00671AB5" w:rsidP="00671AB5">
      <w:pPr>
        <w:pStyle w:val="Body"/>
        <w:spacing w:after="0" w:line="240" w:lineRule="auto"/>
        <w:rPr>
          <w:sz w:val="24"/>
          <w:szCs w:val="24"/>
        </w:rPr>
      </w:pPr>
      <w:r w:rsidRPr="00D3545F">
        <w:rPr>
          <w:sz w:val="24"/>
          <w:szCs w:val="24"/>
        </w:rPr>
        <w:t>Topeka, KS  66603</w:t>
      </w:r>
    </w:p>
    <w:p w14:paraId="55384B43" w14:textId="77777777" w:rsidR="00671AB5" w:rsidRPr="00D3545F" w:rsidRDefault="00671AB5" w:rsidP="00671AB5">
      <w:pPr>
        <w:pStyle w:val="Body"/>
        <w:spacing w:after="0" w:line="240" w:lineRule="auto"/>
        <w:rPr>
          <w:sz w:val="24"/>
          <w:szCs w:val="24"/>
        </w:rPr>
      </w:pPr>
      <w:r w:rsidRPr="00D3545F">
        <w:rPr>
          <w:sz w:val="24"/>
          <w:szCs w:val="24"/>
        </w:rPr>
        <w:t>p. </w:t>
      </w:r>
      <w:hyperlink r:id="rId10" w:tgtFrame="_blank" w:history="1">
        <w:r w:rsidRPr="00D3545F">
          <w:rPr>
            <w:sz w:val="24"/>
            <w:szCs w:val="24"/>
          </w:rPr>
          <w:t>785-217-2023</w:t>
        </w:r>
      </w:hyperlink>
      <w:r w:rsidRPr="00D3545F">
        <w:rPr>
          <w:sz w:val="24"/>
          <w:szCs w:val="24"/>
        </w:rPr>
        <w:t> | f. </w:t>
      </w:r>
      <w:hyperlink r:id="rId11" w:tgtFrame="_blank" w:history="1">
        <w:r w:rsidRPr="00D3545F">
          <w:rPr>
            <w:sz w:val="24"/>
            <w:szCs w:val="24"/>
          </w:rPr>
          <w:t>785-232-8073</w:t>
        </w:r>
      </w:hyperlink>
    </w:p>
    <w:p w14:paraId="504B761E" w14:textId="79FF450C" w:rsidR="004D0B8A" w:rsidRDefault="00671AB5" w:rsidP="00671AB5">
      <w:pPr>
        <w:pStyle w:val="Body"/>
        <w:spacing w:after="0" w:line="240" w:lineRule="auto"/>
        <w:rPr>
          <w:sz w:val="24"/>
          <w:szCs w:val="24"/>
        </w:rPr>
      </w:pPr>
      <w:r>
        <w:rPr>
          <w:sz w:val="24"/>
          <w:szCs w:val="24"/>
        </w:rPr>
        <w:t xml:space="preserve">Email: </w:t>
      </w:r>
      <w:hyperlink r:id="rId12" w:tgtFrame="_blank" w:history="1">
        <w:r w:rsidRPr="004D0B8A">
          <w:rPr>
            <w:color w:val="365F91" w:themeColor="accent1" w:themeShade="BF"/>
            <w:sz w:val="24"/>
            <w:szCs w:val="24"/>
          </w:rPr>
          <w:t>CReimler@kshousingcorp.org</w:t>
        </w:r>
      </w:hyperlink>
    </w:p>
    <w:p w14:paraId="5108C9A1" w14:textId="77777777" w:rsidR="004D0B8A" w:rsidRDefault="004D0B8A" w:rsidP="00671AB5">
      <w:pPr>
        <w:pStyle w:val="Body"/>
        <w:spacing w:after="0" w:line="240" w:lineRule="auto"/>
        <w:rPr>
          <w:sz w:val="24"/>
          <w:szCs w:val="24"/>
        </w:rPr>
      </w:pPr>
    </w:p>
    <w:p w14:paraId="6BAC39F4" w14:textId="16623301" w:rsidR="00671AB5" w:rsidRPr="00D3545F" w:rsidRDefault="00671AB5" w:rsidP="00671AB5">
      <w:pPr>
        <w:pStyle w:val="Body"/>
        <w:spacing w:after="0" w:line="240" w:lineRule="auto"/>
        <w:rPr>
          <w:sz w:val="24"/>
          <w:szCs w:val="24"/>
        </w:rPr>
      </w:pPr>
      <w:r w:rsidRPr="00D3545F">
        <w:rPr>
          <w:sz w:val="24"/>
          <w:szCs w:val="24"/>
        </w:rPr>
        <w:t xml:space="preserve">   </w:t>
      </w:r>
    </w:p>
    <w:p w14:paraId="49384611" w14:textId="77777777" w:rsidR="00671AB5" w:rsidRDefault="00671AB5" w:rsidP="00671AB5">
      <w:pPr>
        <w:pStyle w:val="Heading2"/>
        <w:keepNext w:val="0"/>
        <w:pageBreakBefore/>
        <w:widowControl w:val="0"/>
        <w:rPr>
          <w:rFonts w:ascii="Calibri" w:hAnsi="Calibri"/>
          <w:i w:val="0"/>
        </w:rPr>
        <w:sectPr w:rsidR="00671AB5" w:rsidSect="004165F5">
          <w:footerReference w:type="default" r:id="rId13"/>
          <w:pgSz w:w="12240" w:h="15840"/>
          <w:pgMar w:top="1440" w:right="1440" w:bottom="1440" w:left="1440" w:header="720" w:footer="720" w:gutter="0"/>
          <w:cols w:space="720"/>
          <w:titlePg/>
          <w:docGrid w:linePitch="360"/>
        </w:sectPr>
      </w:pPr>
    </w:p>
    <w:p w14:paraId="0EE4E0E8" w14:textId="77777777" w:rsidR="00671AB5" w:rsidRDefault="00671AB5" w:rsidP="00671AB5">
      <w:pPr>
        <w:pStyle w:val="Heading2"/>
        <w:shd w:val="clear" w:color="auto" w:fill="95B3D7" w:themeFill="accent1" w:themeFillTint="99"/>
        <w:rPr>
          <w:rFonts w:ascii="Calibri" w:hAnsi="Calibri"/>
          <w:i w:val="0"/>
        </w:rPr>
      </w:pPr>
      <w:bookmarkStart w:id="19" w:name="_Toc524603006"/>
      <w:r>
        <w:rPr>
          <w:rFonts w:ascii="Calibri" w:hAnsi="Calibri"/>
          <w:i w:val="0"/>
        </w:rPr>
        <w:t>PR-10 Consultation- 91.110, 91.300(b); 91.315(l)</w:t>
      </w:r>
      <w:bookmarkEnd w:id="19"/>
    </w:p>
    <w:p w14:paraId="7D94D8E1" w14:textId="77777777" w:rsidR="00671AB5" w:rsidRDefault="00671AB5" w:rsidP="00671AB5">
      <w:pPr>
        <w:pStyle w:val="ParagraphHeader"/>
      </w:pPr>
      <w:r>
        <w:t>Summary of the State’s activities to enhance coordination between public and assisted housing providers and private and governmental health, mental health and service agencies (91.215(l))</w:t>
      </w:r>
    </w:p>
    <w:p w14:paraId="52511D35" w14:textId="77777777" w:rsidR="00671AB5" w:rsidRPr="00672590" w:rsidRDefault="00671AB5" w:rsidP="00671AB5">
      <w:pPr>
        <w:pStyle w:val="Body"/>
        <w:rPr>
          <w:sz w:val="24"/>
          <w:szCs w:val="24"/>
        </w:rPr>
      </w:pPr>
      <w:r w:rsidRPr="00672590">
        <w:rPr>
          <w:sz w:val="24"/>
          <w:szCs w:val="24"/>
        </w:rPr>
        <w:t xml:space="preserve">Kansas Housing Resources Corporation (KHRC) consulted with local governments and State agencies on the preparation of the </w:t>
      </w:r>
      <w:r>
        <w:rPr>
          <w:sz w:val="24"/>
          <w:szCs w:val="24"/>
        </w:rPr>
        <w:t xml:space="preserve">2019-2023 </w:t>
      </w:r>
      <w:r w:rsidRPr="00672590">
        <w:rPr>
          <w:sz w:val="24"/>
          <w:szCs w:val="24"/>
        </w:rPr>
        <w:t>Consolidated Plan and</w:t>
      </w:r>
      <w:r>
        <w:rPr>
          <w:sz w:val="24"/>
          <w:szCs w:val="24"/>
        </w:rPr>
        <w:t xml:space="preserve"> the</w:t>
      </w:r>
      <w:r w:rsidRPr="00672590">
        <w:rPr>
          <w:sz w:val="24"/>
          <w:szCs w:val="24"/>
        </w:rPr>
        <w:t xml:space="preserve"> 201</w:t>
      </w:r>
      <w:r>
        <w:rPr>
          <w:sz w:val="24"/>
          <w:szCs w:val="24"/>
        </w:rPr>
        <w:t>9</w:t>
      </w:r>
      <w:r w:rsidRPr="00672590">
        <w:rPr>
          <w:sz w:val="24"/>
          <w:szCs w:val="24"/>
        </w:rPr>
        <w:t xml:space="preserve"> Action Plan. KHRC contacted the local Consolidated Plan coordinators of entitlement areas to offer assistance on local Consolidated Plan documents and </w:t>
      </w:r>
      <w:r>
        <w:rPr>
          <w:sz w:val="24"/>
          <w:szCs w:val="24"/>
        </w:rPr>
        <w:t xml:space="preserve">to </w:t>
      </w:r>
      <w:r w:rsidRPr="00672590">
        <w:rPr>
          <w:sz w:val="24"/>
          <w:szCs w:val="24"/>
        </w:rPr>
        <w:t>invite recommendations on State community development and housing initiatives.</w:t>
      </w:r>
    </w:p>
    <w:p w14:paraId="0CDA62A2" w14:textId="77777777" w:rsidR="00671AB5" w:rsidRPr="00672590" w:rsidRDefault="00671AB5" w:rsidP="00671AB5">
      <w:pPr>
        <w:pStyle w:val="Body"/>
        <w:rPr>
          <w:sz w:val="24"/>
          <w:szCs w:val="24"/>
        </w:rPr>
      </w:pPr>
      <w:r w:rsidRPr="00672590">
        <w:rPr>
          <w:sz w:val="24"/>
          <w:szCs w:val="24"/>
        </w:rPr>
        <w:t xml:space="preserve">Kansas Housing Resources Corporation, Kansas Department of Commerce, and the local USDA Rural Development conduct quarterly interagency meetings to plan and review collaborative efforts related to housing. KHRC has also been placed on e-mail/mailing lists for upcoming events held by Kansas African American Affairs Commission and Kansas Hispanic &amp; Latino Affairs Commission. </w:t>
      </w:r>
    </w:p>
    <w:p w14:paraId="3106954D" w14:textId="77777777" w:rsidR="00671AB5" w:rsidRPr="00672590" w:rsidRDefault="00671AB5" w:rsidP="00671AB5">
      <w:pPr>
        <w:pStyle w:val="Body"/>
        <w:rPr>
          <w:sz w:val="24"/>
          <w:szCs w:val="24"/>
        </w:rPr>
      </w:pPr>
      <w:r w:rsidRPr="00672590">
        <w:rPr>
          <w:sz w:val="24"/>
          <w:szCs w:val="24"/>
        </w:rPr>
        <w:t xml:space="preserve">KHRC </w:t>
      </w:r>
      <w:r>
        <w:rPr>
          <w:sz w:val="24"/>
          <w:szCs w:val="24"/>
        </w:rPr>
        <w:t xml:space="preserve">also </w:t>
      </w:r>
      <w:r w:rsidRPr="00672590">
        <w:rPr>
          <w:sz w:val="24"/>
          <w:szCs w:val="24"/>
        </w:rPr>
        <w:t>collaborate</w:t>
      </w:r>
      <w:r>
        <w:rPr>
          <w:sz w:val="24"/>
          <w:szCs w:val="24"/>
        </w:rPr>
        <w:t>s</w:t>
      </w:r>
      <w:r w:rsidRPr="00672590">
        <w:rPr>
          <w:sz w:val="24"/>
          <w:szCs w:val="24"/>
        </w:rPr>
        <w:t xml:space="preserve"> with the Kansas Department for Aging and Disability Services (disability services) and </w:t>
      </w:r>
      <w:r>
        <w:rPr>
          <w:sz w:val="24"/>
          <w:szCs w:val="24"/>
        </w:rPr>
        <w:t>Kansas Department of Health &amp; Environment (</w:t>
      </w:r>
      <w:r w:rsidRPr="00672590">
        <w:rPr>
          <w:sz w:val="24"/>
          <w:szCs w:val="24"/>
        </w:rPr>
        <w:t>KDHE</w:t>
      </w:r>
      <w:r>
        <w:rPr>
          <w:sz w:val="24"/>
          <w:szCs w:val="24"/>
        </w:rPr>
        <w:t>/</w:t>
      </w:r>
      <w:r w:rsidRPr="00672590">
        <w:rPr>
          <w:sz w:val="24"/>
          <w:szCs w:val="24"/>
        </w:rPr>
        <w:t>Medicaid) to facilitate the partnerships necessary to effectively utilize the new funding opportunities creat</w:t>
      </w:r>
      <w:r>
        <w:rPr>
          <w:sz w:val="24"/>
          <w:szCs w:val="24"/>
        </w:rPr>
        <w:t>ed under the</w:t>
      </w:r>
      <w:r w:rsidRPr="00672590">
        <w:rPr>
          <w:sz w:val="24"/>
          <w:szCs w:val="24"/>
        </w:rPr>
        <w:t xml:space="preserve"> Frank Melville Supportive Housing Act of 2010. HUD’s Section 811 program, </w:t>
      </w:r>
      <w:r>
        <w:rPr>
          <w:sz w:val="24"/>
          <w:szCs w:val="24"/>
        </w:rPr>
        <w:t xml:space="preserve">included in the Frank Melville Supportive Housing Act, provides </w:t>
      </w:r>
      <w:r w:rsidRPr="00672590">
        <w:rPr>
          <w:sz w:val="24"/>
          <w:szCs w:val="24"/>
        </w:rPr>
        <w:t xml:space="preserve">supportive housing opportunities for persons with disabilities. The changes </w:t>
      </w:r>
      <w:r>
        <w:rPr>
          <w:sz w:val="24"/>
          <w:szCs w:val="24"/>
        </w:rPr>
        <w:t>a</w:t>
      </w:r>
      <w:r w:rsidRPr="00672590">
        <w:rPr>
          <w:sz w:val="24"/>
          <w:szCs w:val="24"/>
        </w:rPr>
        <w:t>ffected in the 2010</w:t>
      </w:r>
      <w:r>
        <w:rPr>
          <w:sz w:val="24"/>
          <w:szCs w:val="24"/>
        </w:rPr>
        <w:t xml:space="preserve"> reforms</w:t>
      </w:r>
      <w:r w:rsidRPr="00672590">
        <w:rPr>
          <w:sz w:val="24"/>
          <w:szCs w:val="24"/>
        </w:rPr>
        <w:t xml:space="preserve"> </w:t>
      </w:r>
      <w:r>
        <w:rPr>
          <w:sz w:val="24"/>
          <w:szCs w:val="24"/>
        </w:rPr>
        <w:t xml:space="preserve">to the Section 811 program </w:t>
      </w:r>
      <w:r w:rsidRPr="00672590">
        <w:rPr>
          <w:sz w:val="24"/>
          <w:szCs w:val="24"/>
        </w:rPr>
        <w:t xml:space="preserve">put added emphasis on community integration, leveraging of other project development resources (such as HOME and </w:t>
      </w:r>
      <w:r>
        <w:rPr>
          <w:sz w:val="24"/>
          <w:szCs w:val="24"/>
        </w:rPr>
        <w:t xml:space="preserve">Low Income </w:t>
      </w:r>
      <w:r w:rsidRPr="00672590">
        <w:rPr>
          <w:sz w:val="24"/>
          <w:szCs w:val="24"/>
        </w:rPr>
        <w:t>Housing Tax Credits) and collaboration with State social service and Medicaid agencies to provide necessary services to support disabled individuals in independent living.</w:t>
      </w:r>
    </w:p>
    <w:p w14:paraId="649A8A81" w14:textId="77777777" w:rsidR="00671AB5" w:rsidRDefault="00671AB5" w:rsidP="00671AB5">
      <w:pPr>
        <w:pStyle w:val="ParagraphHeader"/>
      </w:pPr>
      <w:r>
        <w:t>Describe coordination with the Continuum of Care and efforts to address the needs of homeless persons (particularly chronically homeless individuals and families, families with children, veterans, and unaccompanied youth) and persons at risk of homelessness</w:t>
      </w:r>
    </w:p>
    <w:p w14:paraId="17C06769" w14:textId="78C6AF54" w:rsidR="00671AB5" w:rsidRPr="00672590" w:rsidRDefault="002174E9" w:rsidP="00671AB5">
      <w:pPr>
        <w:pStyle w:val="Body"/>
        <w:rPr>
          <w:sz w:val="24"/>
          <w:szCs w:val="24"/>
        </w:rPr>
      </w:pPr>
      <w:r>
        <w:rPr>
          <w:sz w:val="24"/>
          <w:szCs w:val="24"/>
        </w:rPr>
        <w:t>The State of Kansas supports a C</w:t>
      </w:r>
      <w:r w:rsidR="00671AB5" w:rsidRPr="00672590">
        <w:rPr>
          <w:sz w:val="24"/>
          <w:szCs w:val="24"/>
        </w:rPr>
        <w:t xml:space="preserve">ontinuum of </w:t>
      </w:r>
      <w:r>
        <w:rPr>
          <w:sz w:val="24"/>
          <w:szCs w:val="24"/>
        </w:rPr>
        <w:t>C</w:t>
      </w:r>
      <w:r w:rsidR="00671AB5" w:rsidRPr="00672590">
        <w:rPr>
          <w:sz w:val="24"/>
          <w:szCs w:val="24"/>
        </w:rPr>
        <w:t>are</w:t>
      </w:r>
      <w:r>
        <w:rPr>
          <w:sz w:val="24"/>
          <w:szCs w:val="24"/>
        </w:rPr>
        <w:t xml:space="preserve"> (CoC)</w:t>
      </w:r>
      <w:r w:rsidR="00671AB5" w:rsidRPr="00672590">
        <w:rPr>
          <w:sz w:val="24"/>
          <w:szCs w:val="24"/>
        </w:rPr>
        <w:t xml:space="preserve"> approach among State ESG recipients. KHRC collaborates on a recurring basis with the Balance of State CoC and the Johnson County C</w:t>
      </w:r>
      <w:r w:rsidR="00671AB5">
        <w:rPr>
          <w:sz w:val="24"/>
          <w:szCs w:val="24"/>
        </w:rPr>
        <w:t>o</w:t>
      </w:r>
      <w:r w:rsidR="00671AB5" w:rsidRPr="00672590">
        <w:rPr>
          <w:sz w:val="24"/>
          <w:szCs w:val="24"/>
        </w:rPr>
        <w:t>C. All funds from the State’s ESG funding are made a</w:t>
      </w:r>
      <w:r w:rsidR="00671AB5">
        <w:rPr>
          <w:sz w:val="24"/>
          <w:szCs w:val="24"/>
        </w:rPr>
        <w:t>vailable to the non-</w:t>
      </w:r>
      <w:r w:rsidR="00671AB5" w:rsidRPr="00672590">
        <w:rPr>
          <w:sz w:val="24"/>
          <w:szCs w:val="24"/>
        </w:rPr>
        <w:t xml:space="preserve">ESG entitlement continuums. Continuum of Care components include affordable, accessible, and integrated permanent housing and homeless services that enable individuals and families to reach the maximum degree of self-sufficiency possible. In reviewing ESG applications, the State relies on local units of government to determine what their communities’ unique homeless needs may be, and how the ESG program can assist with those needs. This approach allows local jurisdictions to determine their own priorities and needs in addressing homelessness in their communities. </w:t>
      </w:r>
    </w:p>
    <w:p w14:paraId="4B4BD3E0" w14:textId="77777777" w:rsidR="00671AB5" w:rsidRDefault="00671AB5" w:rsidP="00671AB5">
      <w:pPr>
        <w:pStyle w:val="ParagraphHeader"/>
      </w:pPr>
      <w:r>
        <w:t>Describe consultation with the Continuum(s) of Care that serves the jurisdiction's area in determining how to allocate ESG funds, develop performance standards and evaluate outcomes, and develop funding, policies and procedures for the administration of HMIS</w:t>
      </w:r>
    </w:p>
    <w:p w14:paraId="370C2313" w14:textId="77777777" w:rsidR="00671AB5" w:rsidRPr="001E4FA0" w:rsidRDefault="00671AB5" w:rsidP="00671AB5">
      <w:pPr>
        <w:pStyle w:val="Body"/>
        <w:rPr>
          <w:sz w:val="24"/>
          <w:szCs w:val="24"/>
        </w:rPr>
      </w:pPr>
      <w:r w:rsidRPr="001E4FA0">
        <w:rPr>
          <w:sz w:val="24"/>
          <w:szCs w:val="24"/>
        </w:rPr>
        <w:t>See above description of the coordination and consultation efforts.</w:t>
      </w:r>
    </w:p>
    <w:p w14:paraId="67AA5C8D" w14:textId="77777777" w:rsidR="00671AB5" w:rsidRPr="001E4FA0" w:rsidRDefault="00671AB5" w:rsidP="00671AB5">
      <w:pPr>
        <w:pStyle w:val="Body"/>
        <w:rPr>
          <w:sz w:val="24"/>
          <w:szCs w:val="24"/>
        </w:rPr>
      </w:pPr>
      <w:r w:rsidRPr="001E4FA0">
        <w:rPr>
          <w:sz w:val="24"/>
          <w:szCs w:val="24"/>
        </w:rPr>
        <w:t>KHRC staff who manage the ESG program work closely with the continuum of care staff to administer the program statewide.</w:t>
      </w:r>
    </w:p>
    <w:p w14:paraId="0DAD8676" w14:textId="77777777" w:rsidR="00671AB5" w:rsidRDefault="00671AB5" w:rsidP="00671AB5">
      <w:pPr>
        <w:rPr>
          <w:b/>
          <w:sz w:val="24"/>
          <w:szCs w:val="24"/>
        </w:rPr>
      </w:pPr>
      <w:r>
        <w:rPr>
          <w:b/>
          <w:sz w:val="24"/>
          <w:szCs w:val="24"/>
        </w:rPr>
        <w:t>Describe Agencies, groups, organizations and others who participated in the process and describe the jurisdictions consultations with housing, social service agencies and other entities</w:t>
      </w:r>
    </w:p>
    <w:p w14:paraId="550C0C4C" w14:textId="77777777" w:rsidR="00671AB5" w:rsidRDefault="00671AB5" w:rsidP="00671AB5">
      <w:pPr>
        <w:pStyle w:val="TableTitle"/>
        <w:ind w:left="1080" w:hanging="1080"/>
      </w:pPr>
      <w:r>
        <w:t>Agencies, groups, organizations and others who participated</w:t>
      </w:r>
    </w:p>
    <w:tbl>
      <w:tblPr>
        <w:tblStyle w:val="GridTable4-Accent1"/>
        <w:tblW w:w="9600" w:type="dxa"/>
        <w:tblLayout w:type="fixed"/>
        <w:tblLook w:val="04A0" w:firstRow="1" w:lastRow="0" w:firstColumn="1" w:lastColumn="0" w:noHBand="0" w:noVBand="1"/>
      </w:tblPr>
      <w:tblGrid>
        <w:gridCol w:w="1884"/>
        <w:gridCol w:w="1543"/>
        <w:gridCol w:w="2193"/>
        <w:gridCol w:w="3980"/>
      </w:tblGrid>
      <w:tr w:rsidR="001131D7" w14:paraId="7BAA32C6" w14:textId="77777777" w:rsidTr="00357D12">
        <w:trPr>
          <w:cnfStyle w:val="100000000000" w:firstRow="1" w:lastRow="0" w:firstColumn="0" w:lastColumn="0" w:oddVBand="0" w:evenVBand="0" w:oddHBand="0"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1884" w:type="dxa"/>
          </w:tcPr>
          <w:p w14:paraId="4A4098A0" w14:textId="77777777" w:rsidR="00671AB5" w:rsidRPr="00001E06" w:rsidRDefault="00671AB5" w:rsidP="002555A9">
            <w:pPr>
              <w:pStyle w:val="TableHeader"/>
              <w:rPr>
                <w:sz w:val="22"/>
              </w:rPr>
            </w:pPr>
            <w:r w:rsidRPr="00001E06">
              <w:rPr>
                <w:sz w:val="22"/>
              </w:rPr>
              <w:t>Agency/Group/</w:t>
            </w:r>
          </w:p>
          <w:p w14:paraId="2B2C03E0" w14:textId="77777777" w:rsidR="00671AB5" w:rsidRPr="00001E06" w:rsidRDefault="00671AB5" w:rsidP="002555A9">
            <w:pPr>
              <w:pStyle w:val="TableHeader"/>
              <w:rPr>
                <w:b/>
                <w:sz w:val="22"/>
              </w:rPr>
            </w:pPr>
            <w:r w:rsidRPr="00001E06">
              <w:rPr>
                <w:sz w:val="22"/>
              </w:rPr>
              <w:t>Organization</w:t>
            </w:r>
          </w:p>
        </w:tc>
        <w:tc>
          <w:tcPr>
            <w:tcW w:w="1543" w:type="dxa"/>
          </w:tcPr>
          <w:p w14:paraId="7AD3A09D" w14:textId="77777777" w:rsidR="00671AB5" w:rsidRPr="00001E06" w:rsidRDefault="00671AB5" w:rsidP="002555A9">
            <w:pPr>
              <w:pStyle w:val="TableHeader"/>
              <w:jc w:val="center"/>
              <w:cnfStyle w:val="100000000000" w:firstRow="1" w:lastRow="0" w:firstColumn="0" w:lastColumn="0" w:oddVBand="0" w:evenVBand="0" w:oddHBand="0" w:evenHBand="0" w:firstRowFirstColumn="0" w:firstRowLastColumn="0" w:lastRowFirstColumn="0" w:lastRowLastColumn="0"/>
              <w:rPr>
                <w:b/>
                <w:sz w:val="22"/>
              </w:rPr>
            </w:pPr>
            <w:r w:rsidRPr="00001E06">
              <w:rPr>
                <w:sz w:val="22"/>
              </w:rPr>
              <w:t>Organization Type</w:t>
            </w:r>
          </w:p>
        </w:tc>
        <w:tc>
          <w:tcPr>
            <w:tcW w:w="2193" w:type="dxa"/>
          </w:tcPr>
          <w:p w14:paraId="23C59987" w14:textId="77777777" w:rsidR="00671AB5" w:rsidRPr="00001E06" w:rsidRDefault="00671AB5" w:rsidP="002555A9">
            <w:pPr>
              <w:pStyle w:val="TableHeader"/>
              <w:jc w:val="center"/>
              <w:cnfStyle w:val="100000000000" w:firstRow="1" w:lastRow="0" w:firstColumn="0" w:lastColumn="0" w:oddVBand="0" w:evenVBand="0" w:oddHBand="0" w:evenHBand="0" w:firstRowFirstColumn="0" w:firstRowLastColumn="0" w:lastRowFirstColumn="0" w:lastRowLastColumn="0"/>
              <w:rPr>
                <w:b/>
                <w:sz w:val="22"/>
              </w:rPr>
            </w:pPr>
            <w:r w:rsidRPr="00001E06">
              <w:rPr>
                <w:sz w:val="22"/>
              </w:rPr>
              <w:t>What section of the Plan was addressed by Consultation?</w:t>
            </w:r>
          </w:p>
        </w:tc>
        <w:tc>
          <w:tcPr>
            <w:tcW w:w="3980" w:type="dxa"/>
          </w:tcPr>
          <w:p w14:paraId="6E9F987F" w14:textId="77777777" w:rsidR="00671AB5" w:rsidRPr="00E37767" w:rsidRDefault="00671AB5" w:rsidP="002555A9">
            <w:pPr>
              <w:pStyle w:val="TableHeader"/>
              <w:jc w:val="center"/>
              <w:cnfStyle w:val="100000000000" w:firstRow="1" w:lastRow="0" w:firstColumn="0" w:lastColumn="0" w:oddVBand="0" w:evenVBand="0" w:oddHBand="0" w:evenHBand="0" w:firstRowFirstColumn="0" w:firstRowLastColumn="0" w:lastRowFirstColumn="0" w:lastRowLastColumn="0"/>
              <w:rPr>
                <w:b/>
                <w:sz w:val="22"/>
              </w:rPr>
            </w:pPr>
            <w:r w:rsidRPr="00001E06">
              <w:rPr>
                <w:sz w:val="22"/>
              </w:rPr>
              <w:t>How was the Agency/Group/Organization consulted and what are the anticipated outcomes of the consultation or areas for improved coordination?</w:t>
            </w:r>
          </w:p>
        </w:tc>
      </w:tr>
      <w:tr w:rsidR="00671AB5" w14:paraId="139C1A6D" w14:textId="77777777" w:rsidTr="001131D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84" w:type="dxa"/>
          </w:tcPr>
          <w:p w14:paraId="4B6AD2D6" w14:textId="77777777" w:rsidR="00671AB5" w:rsidRPr="001131D7" w:rsidRDefault="00671AB5" w:rsidP="002555A9">
            <w:pPr>
              <w:pStyle w:val="TableBody"/>
              <w:rPr>
                <w:b w:val="0"/>
                <w:sz w:val="22"/>
              </w:rPr>
            </w:pPr>
            <w:r w:rsidRPr="001131D7">
              <w:rPr>
                <w:b w:val="0"/>
                <w:sz w:val="22"/>
              </w:rPr>
              <w:t>KS Dept. of Commerce (Commerce)</w:t>
            </w:r>
          </w:p>
        </w:tc>
        <w:tc>
          <w:tcPr>
            <w:tcW w:w="1543" w:type="dxa"/>
          </w:tcPr>
          <w:p w14:paraId="5C272DCA"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Government</w:t>
            </w:r>
          </w:p>
        </w:tc>
        <w:tc>
          <w:tcPr>
            <w:tcW w:w="2193" w:type="dxa"/>
          </w:tcPr>
          <w:p w14:paraId="66147440"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CDBG (Market Analysis, Strategic Plan)</w:t>
            </w:r>
          </w:p>
        </w:tc>
        <w:tc>
          <w:tcPr>
            <w:tcW w:w="3980" w:type="dxa"/>
          </w:tcPr>
          <w:p w14:paraId="39BC9B3C"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b/>
                <w:sz w:val="22"/>
              </w:rPr>
            </w:pPr>
            <w:r w:rsidRPr="001131D7">
              <w:rPr>
                <w:sz w:val="22"/>
              </w:rPr>
              <w:t>Consulted through E-mail and Phone Calls</w:t>
            </w:r>
          </w:p>
        </w:tc>
      </w:tr>
      <w:tr w:rsidR="00671AB5" w14:paraId="3DF8D428" w14:textId="77777777" w:rsidTr="001131D7">
        <w:trPr>
          <w:trHeight w:val="720"/>
        </w:trPr>
        <w:tc>
          <w:tcPr>
            <w:cnfStyle w:val="001000000000" w:firstRow="0" w:lastRow="0" w:firstColumn="1" w:lastColumn="0" w:oddVBand="0" w:evenVBand="0" w:oddHBand="0" w:evenHBand="0" w:firstRowFirstColumn="0" w:firstRowLastColumn="0" w:lastRowFirstColumn="0" w:lastRowLastColumn="0"/>
            <w:tcW w:w="1884" w:type="dxa"/>
          </w:tcPr>
          <w:p w14:paraId="66AE81F7" w14:textId="77777777" w:rsidR="00671AB5" w:rsidRPr="001131D7" w:rsidRDefault="00671AB5" w:rsidP="002555A9">
            <w:pPr>
              <w:pStyle w:val="TableBody"/>
              <w:rPr>
                <w:b w:val="0"/>
                <w:sz w:val="22"/>
              </w:rPr>
            </w:pPr>
            <w:r w:rsidRPr="001131D7">
              <w:rPr>
                <w:b w:val="0"/>
                <w:sz w:val="22"/>
              </w:rPr>
              <w:t>KS Dept. of Health &amp; Environment (KDHE)</w:t>
            </w:r>
          </w:p>
        </w:tc>
        <w:tc>
          <w:tcPr>
            <w:tcW w:w="1543" w:type="dxa"/>
          </w:tcPr>
          <w:p w14:paraId="4FBCCDAD"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Government</w:t>
            </w:r>
          </w:p>
        </w:tc>
        <w:tc>
          <w:tcPr>
            <w:tcW w:w="2193" w:type="dxa"/>
          </w:tcPr>
          <w:p w14:paraId="192B43BC"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HOPWA, ESG (Needs Assessment, Strategic Plan)</w:t>
            </w:r>
          </w:p>
        </w:tc>
        <w:tc>
          <w:tcPr>
            <w:tcW w:w="3980" w:type="dxa"/>
          </w:tcPr>
          <w:p w14:paraId="2BD24DA1"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b/>
                <w:sz w:val="22"/>
              </w:rPr>
            </w:pPr>
            <w:r w:rsidRPr="001131D7">
              <w:rPr>
                <w:sz w:val="22"/>
              </w:rPr>
              <w:t>Consulted through E-mail and Phone Calls</w:t>
            </w:r>
          </w:p>
        </w:tc>
      </w:tr>
      <w:tr w:rsidR="00671AB5" w14:paraId="207230B1" w14:textId="77777777" w:rsidTr="00113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84" w:type="dxa"/>
          </w:tcPr>
          <w:p w14:paraId="0DEFE4FE" w14:textId="77777777" w:rsidR="00671AB5" w:rsidRPr="001131D7" w:rsidRDefault="00671AB5" w:rsidP="002555A9">
            <w:pPr>
              <w:pStyle w:val="TableBody"/>
              <w:rPr>
                <w:b w:val="0"/>
                <w:sz w:val="22"/>
              </w:rPr>
            </w:pPr>
            <w:r w:rsidRPr="001131D7">
              <w:rPr>
                <w:b w:val="0"/>
                <w:sz w:val="22"/>
              </w:rPr>
              <w:t>Kansas School of Medicine</w:t>
            </w:r>
          </w:p>
        </w:tc>
        <w:tc>
          <w:tcPr>
            <w:tcW w:w="1543" w:type="dxa"/>
          </w:tcPr>
          <w:p w14:paraId="47308B50"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University</w:t>
            </w:r>
          </w:p>
        </w:tc>
        <w:tc>
          <w:tcPr>
            <w:tcW w:w="2193" w:type="dxa"/>
          </w:tcPr>
          <w:p w14:paraId="2C5D47E4"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HOPWA (Needs Assessment, Strategic Plan)</w:t>
            </w:r>
          </w:p>
        </w:tc>
        <w:tc>
          <w:tcPr>
            <w:tcW w:w="3980" w:type="dxa"/>
          </w:tcPr>
          <w:p w14:paraId="119BC8C7"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b/>
                <w:sz w:val="22"/>
              </w:rPr>
            </w:pPr>
            <w:r w:rsidRPr="001131D7">
              <w:rPr>
                <w:sz w:val="22"/>
              </w:rPr>
              <w:t>Consulted through E-mail and Phone Calls</w:t>
            </w:r>
          </w:p>
        </w:tc>
      </w:tr>
      <w:tr w:rsidR="00671AB5" w14:paraId="692731BC" w14:textId="77777777" w:rsidTr="001131D7">
        <w:trPr>
          <w:trHeight w:val="735"/>
        </w:trPr>
        <w:tc>
          <w:tcPr>
            <w:cnfStyle w:val="001000000000" w:firstRow="0" w:lastRow="0" w:firstColumn="1" w:lastColumn="0" w:oddVBand="0" w:evenVBand="0" w:oddHBand="0" w:evenHBand="0" w:firstRowFirstColumn="0" w:firstRowLastColumn="0" w:lastRowFirstColumn="0" w:lastRowLastColumn="0"/>
            <w:tcW w:w="1884" w:type="dxa"/>
          </w:tcPr>
          <w:p w14:paraId="57C2CB32" w14:textId="77777777" w:rsidR="00671AB5" w:rsidRPr="001131D7" w:rsidRDefault="00671AB5" w:rsidP="002555A9">
            <w:pPr>
              <w:pStyle w:val="TableBody"/>
              <w:rPr>
                <w:b w:val="0"/>
                <w:sz w:val="22"/>
              </w:rPr>
            </w:pPr>
            <w:r w:rsidRPr="001131D7">
              <w:rPr>
                <w:b w:val="0"/>
                <w:sz w:val="22"/>
              </w:rPr>
              <w:t>Kansas Interagency Council on Homelessness (KICH)</w:t>
            </w:r>
          </w:p>
        </w:tc>
        <w:tc>
          <w:tcPr>
            <w:tcW w:w="1543" w:type="dxa"/>
          </w:tcPr>
          <w:p w14:paraId="66FA0F49"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Government</w:t>
            </w:r>
          </w:p>
        </w:tc>
        <w:tc>
          <w:tcPr>
            <w:tcW w:w="2193" w:type="dxa"/>
          </w:tcPr>
          <w:p w14:paraId="2229405C"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Homelessness (Needs Assessment, Strategic Plan)</w:t>
            </w:r>
          </w:p>
        </w:tc>
        <w:tc>
          <w:tcPr>
            <w:tcW w:w="3980" w:type="dxa"/>
          </w:tcPr>
          <w:p w14:paraId="2396BEEC"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sz w:val="22"/>
              </w:rPr>
            </w:pPr>
            <w:r w:rsidRPr="001131D7">
              <w:rPr>
                <w:sz w:val="22"/>
              </w:rPr>
              <w:t>Consulted through E-mail</w:t>
            </w:r>
          </w:p>
        </w:tc>
      </w:tr>
      <w:tr w:rsidR="00671AB5" w14:paraId="05B49EE1" w14:textId="77777777" w:rsidTr="001131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84" w:type="dxa"/>
          </w:tcPr>
          <w:p w14:paraId="1FABD683" w14:textId="77777777" w:rsidR="00671AB5" w:rsidRPr="001131D7" w:rsidRDefault="00671AB5" w:rsidP="002555A9">
            <w:pPr>
              <w:pStyle w:val="TableBody"/>
              <w:rPr>
                <w:b w:val="0"/>
                <w:sz w:val="22"/>
              </w:rPr>
            </w:pPr>
            <w:r w:rsidRPr="001131D7">
              <w:rPr>
                <w:b w:val="0"/>
                <w:sz w:val="22"/>
              </w:rPr>
              <w:t>Kansas Labor Information Center (Department of Labor)</w:t>
            </w:r>
          </w:p>
        </w:tc>
        <w:tc>
          <w:tcPr>
            <w:tcW w:w="1543" w:type="dxa"/>
          </w:tcPr>
          <w:p w14:paraId="1E511192"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Government</w:t>
            </w:r>
          </w:p>
        </w:tc>
        <w:tc>
          <w:tcPr>
            <w:tcW w:w="2193" w:type="dxa"/>
          </w:tcPr>
          <w:p w14:paraId="271BC770"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sz w:val="22"/>
              </w:rPr>
            </w:pPr>
            <w:r w:rsidRPr="001131D7">
              <w:rPr>
                <w:sz w:val="22"/>
              </w:rPr>
              <w:t>Market Analysis (MA-45, Non-Housing Community Development Assets)</w:t>
            </w:r>
          </w:p>
        </w:tc>
        <w:tc>
          <w:tcPr>
            <w:tcW w:w="3980" w:type="dxa"/>
          </w:tcPr>
          <w:p w14:paraId="6FBECC68" w14:textId="77777777" w:rsidR="00671AB5" w:rsidRPr="001131D7" w:rsidRDefault="00671AB5" w:rsidP="002555A9">
            <w:pPr>
              <w:pStyle w:val="TableBody"/>
              <w:cnfStyle w:val="000000100000" w:firstRow="0" w:lastRow="0" w:firstColumn="0" w:lastColumn="0" w:oddVBand="0" w:evenVBand="0" w:oddHBand="1" w:evenHBand="0" w:firstRowFirstColumn="0" w:firstRowLastColumn="0" w:lastRowFirstColumn="0" w:lastRowLastColumn="0"/>
              <w:rPr>
                <w:b/>
                <w:sz w:val="22"/>
              </w:rPr>
            </w:pPr>
            <w:r w:rsidRPr="001131D7">
              <w:rPr>
                <w:sz w:val="22"/>
              </w:rPr>
              <w:t>Consulted through E-mail</w:t>
            </w:r>
          </w:p>
        </w:tc>
      </w:tr>
      <w:tr w:rsidR="00671AB5" w14:paraId="0C51F9F2" w14:textId="77777777" w:rsidTr="001131D7">
        <w:trPr>
          <w:trHeight w:val="720"/>
        </w:trPr>
        <w:tc>
          <w:tcPr>
            <w:cnfStyle w:val="001000000000" w:firstRow="0" w:lastRow="0" w:firstColumn="1" w:lastColumn="0" w:oddVBand="0" w:evenVBand="0" w:oddHBand="0" w:evenHBand="0" w:firstRowFirstColumn="0" w:firstRowLastColumn="0" w:lastRowFirstColumn="0" w:lastRowLastColumn="0"/>
            <w:tcW w:w="1884" w:type="dxa"/>
          </w:tcPr>
          <w:p w14:paraId="7D3FE332" w14:textId="77777777" w:rsidR="00671AB5" w:rsidRPr="001131D7" w:rsidRDefault="00671AB5" w:rsidP="002555A9">
            <w:pPr>
              <w:pStyle w:val="TableBody"/>
              <w:rPr>
                <w:b w:val="0"/>
                <w:sz w:val="22"/>
              </w:rPr>
            </w:pPr>
            <w:r w:rsidRPr="001131D7">
              <w:rPr>
                <w:b w:val="0"/>
                <w:sz w:val="22"/>
              </w:rPr>
              <w:t>Kansas Housing Resources Corporation (KHRC)</w:t>
            </w:r>
          </w:p>
        </w:tc>
        <w:tc>
          <w:tcPr>
            <w:tcW w:w="1543" w:type="dxa"/>
          </w:tcPr>
          <w:p w14:paraId="16FBDD9E"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b/>
                <w:sz w:val="22"/>
              </w:rPr>
            </w:pPr>
            <w:r w:rsidRPr="001131D7">
              <w:rPr>
                <w:sz w:val="22"/>
              </w:rPr>
              <w:t>Public Corporation</w:t>
            </w:r>
          </w:p>
        </w:tc>
        <w:tc>
          <w:tcPr>
            <w:tcW w:w="2193" w:type="dxa"/>
          </w:tcPr>
          <w:p w14:paraId="5771B1F7"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b/>
                <w:sz w:val="22"/>
              </w:rPr>
            </w:pPr>
            <w:r w:rsidRPr="001131D7">
              <w:rPr>
                <w:sz w:val="22"/>
              </w:rPr>
              <w:t>All sections of the Consolidated Plan and the Annual Plan</w:t>
            </w:r>
          </w:p>
        </w:tc>
        <w:tc>
          <w:tcPr>
            <w:tcW w:w="3980" w:type="dxa"/>
          </w:tcPr>
          <w:p w14:paraId="3FC53A14" w14:textId="77777777" w:rsidR="00671AB5" w:rsidRPr="001131D7" w:rsidRDefault="00671AB5" w:rsidP="002555A9">
            <w:pPr>
              <w:pStyle w:val="TableBody"/>
              <w:cnfStyle w:val="000000000000" w:firstRow="0" w:lastRow="0" w:firstColumn="0" w:lastColumn="0" w:oddVBand="0" w:evenVBand="0" w:oddHBand="0" w:evenHBand="0" w:firstRowFirstColumn="0" w:firstRowLastColumn="0" w:lastRowFirstColumn="0" w:lastRowLastColumn="0"/>
              <w:rPr>
                <w:b/>
                <w:sz w:val="22"/>
              </w:rPr>
            </w:pPr>
            <w:r w:rsidRPr="001131D7">
              <w:rPr>
                <w:sz w:val="22"/>
              </w:rPr>
              <w:t>Consulted through E-mail and Phone Calls</w:t>
            </w:r>
          </w:p>
        </w:tc>
      </w:tr>
    </w:tbl>
    <w:p w14:paraId="3FEE62E0" w14:textId="77777777" w:rsidR="00671AB5" w:rsidRDefault="00671AB5" w:rsidP="00671AB5">
      <w:pPr>
        <w:rPr>
          <w:b/>
          <w:sz w:val="24"/>
          <w:szCs w:val="24"/>
        </w:rPr>
      </w:pPr>
    </w:p>
    <w:p w14:paraId="3753FA6D" w14:textId="77777777" w:rsidR="00671AB5" w:rsidRDefault="00671AB5" w:rsidP="00671AB5">
      <w:pPr>
        <w:pStyle w:val="ParagraphHeader"/>
      </w:pPr>
      <w:r>
        <w:t>Identify any Agency Types not consulted and provide rationale for not consulting</w:t>
      </w:r>
    </w:p>
    <w:p w14:paraId="2BBAF347" w14:textId="77777777" w:rsidR="00671AB5" w:rsidRPr="006A3D4A" w:rsidRDefault="00671AB5" w:rsidP="00671AB5">
      <w:pPr>
        <w:pStyle w:val="Body"/>
        <w:rPr>
          <w:sz w:val="24"/>
          <w:szCs w:val="24"/>
        </w:rPr>
      </w:pPr>
      <w:r w:rsidRPr="00672590">
        <w:rPr>
          <w:sz w:val="24"/>
          <w:szCs w:val="24"/>
        </w:rPr>
        <w:t>Not Applicable.</w:t>
      </w:r>
    </w:p>
    <w:p w14:paraId="3E13AFCD" w14:textId="77777777" w:rsidR="00671AB5" w:rsidRDefault="00671AB5" w:rsidP="00671AB5">
      <w:pPr>
        <w:spacing w:after="0" w:line="240" w:lineRule="auto"/>
        <w:rPr>
          <w:b/>
          <w:sz w:val="24"/>
          <w:szCs w:val="24"/>
        </w:rPr>
      </w:pPr>
      <w:r>
        <w:br w:type="page"/>
      </w:r>
    </w:p>
    <w:p w14:paraId="144C307B" w14:textId="77777777" w:rsidR="00671AB5" w:rsidRDefault="00671AB5" w:rsidP="00671AB5">
      <w:pPr>
        <w:pStyle w:val="ParagraphHeader"/>
      </w:pPr>
      <w:r>
        <w:t>Other local/regional/state/federal planning efforts considered when preparing the Plan</w:t>
      </w:r>
    </w:p>
    <w:p w14:paraId="49EC8C77" w14:textId="77777777" w:rsidR="00671AB5" w:rsidRPr="009C2F9A" w:rsidRDefault="00671AB5" w:rsidP="00671AB5">
      <w:pPr>
        <w:pStyle w:val="TableTitle"/>
        <w:ind w:left="1080" w:hanging="1080"/>
      </w:pPr>
      <w:r>
        <w:t>Other local/regional/federal planning efforts</w:t>
      </w:r>
    </w:p>
    <w:tbl>
      <w:tblPr>
        <w:tblStyle w:val="GridTable4-Accent1"/>
        <w:tblW w:w="5129" w:type="pct"/>
        <w:tblLook w:val="0420" w:firstRow="1" w:lastRow="0" w:firstColumn="0" w:lastColumn="0" w:noHBand="0" w:noVBand="1"/>
      </w:tblPr>
      <w:tblGrid>
        <w:gridCol w:w="2578"/>
        <w:gridCol w:w="2084"/>
        <w:gridCol w:w="4929"/>
      </w:tblGrid>
      <w:tr w:rsidR="00671AB5" w:rsidRPr="00AC1D67" w14:paraId="63263120" w14:textId="77777777" w:rsidTr="002555A9">
        <w:trPr>
          <w:cnfStyle w:val="100000000000" w:firstRow="1" w:lastRow="0" w:firstColumn="0" w:lastColumn="0" w:oddVBand="0" w:evenVBand="0" w:oddHBand="0" w:evenHBand="0" w:firstRowFirstColumn="0" w:firstRowLastColumn="0" w:lastRowFirstColumn="0" w:lastRowLastColumn="0"/>
        </w:trPr>
        <w:tc>
          <w:tcPr>
            <w:tcW w:w="2628" w:type="dxa"/>
          </w:tcPr>
          <w:p w14:paraId="12D58A66" w14:textId="77777777" w:rsidR="00671AB5" w:rsidRPr="00B94EF2" w:rsidRDefault="00671AB5" w:rsidP="002555A9">
            <w:pPr>
              <w:pStyle w:val="TableHeader"/>
              <w:rPr>
                <w:b/>
                <w:sz w:val="22"/>
              </w:rPr>
            </w:pPr>
            <w:r w:rsidRPr="00B94EF2">
              <w:rPr>
                <w:sz w:val="22"/>
              </w:rPr>
              <w:t>Name of Plan</w:t>
            </w:r>
            <w:r w:rsidRPr="00B94EF2">
              <w:rPr>
                <w:sz w:val="22"/>
              </w:rPr>
              <w:tab/>
            </w:r>
          </w:p>
        </w:tc>
        <w:tc>
          <w:tcPr>
            <w:tcW w:w="2111" w:type="dxa"/>
          </w:tcPr>
          <w:p w14:paraId="252B2460" w14:textId="77777777" w:rsidR="00671AB5" w:rsidRPr="00B94EF2" w:rsidRDefault="00671AB5" w:rsidP="002555A9">
            <w:pPr>
              <w:pStyle w:val="TableHeader"/>
              <w:rPr>
                <w:b/>
                <w:sz w:val="22"/>
              </w:rPr>
            </w:pPr>
            <w:r w:rsidRPr="00B94EF2">
              <w:rPr>
                <w:sz w:val="22"/>
              </w:rPr>
              <w:t>Lead Organization</w:t>
            </w:r>
          </w:p>
        </w:tc>
        <w:tc>
          <w:tcPr>
            <w:tcW w:w="5084" w:type="dxa"/>
          </w:tcPr>
          <w:p w14:paraId="031F4EFF" w14:textId="77777777" w:rsidR="00671AB5" w:rsidRPr="00B94EF2" w:rsidRDefault="00671AB5" w:rsidP="002555A9">
            <w:pPr>
              <w:pStyle w:val="TableHeader"/>
              <w:rPr>
                <w:b/>
                <w:sz w:val="22"/>
              </w:rPr>
            </w:pPr>
            <w:r w:rsidRPr="00B94EF2">
              <w:rPr>
                <w:sz w:val="22"/>
              </w:rPr>
              <w:t>How do the goals of your Strategic Plan overlap with the goals of each plan?</w:t>
            </w:r>
          </w:p>
        </w:tc>
      </w:tr>
      <w:tr w:rsidR="00671AB5" w14:paraId="51430C02" w14:textId="77777777" w:rsidTr="002555A9">
        <w:trPr>
          <w:cnfStyle w:val="000000100000" w:firstRow="0" w:lastRow="0" w:firstColumn="0" w:lastColumn="0" w:oddVBand="0" w:evenVBand="0" w:oddHBand="1" w:evenHBand="0" w:firstRowFirstColumn="0" w:firstRowLastColumn="0" w:lastRowFirstColumn="0" w:lastRowLastColumn="0"/>
        </w:trPr>
        <w:tc>
          <w:tcPr>
            <w:tcW w:w="2628" w:type="dxa"/>
          </w:tcPr>
          <w:p w14:paraId="4B378413" w14:textId="77777777" w:rsidR="00671AB5" w:rsidRPr="002555A9" w:rsidRDefault="00671AB5" w:rsidP="002555A9">
            <w:pPr>
              <w:pStyle w:val="TableBody"/>
              <w:rPr>
                <w:sz w:val="22"/>
              </w:rPr>
            </w:pPr>
            <w:r w:rsidRPr="002555A9">
              <w:rPr>
                <w:sz w:val="22"/>
              </w:rPr>
              <w:t>State of KS Opening Doors Strategic Plan to Prevent and End Chronic Homelessness</w:t>
            </w:r>
          </w:p>
        </w:tc>
        <w:tc>
          <w:tcPr>
            <w:tcW w:w="2111" w:type="dxa"/>
          </w:tcPr>
          <w:p w14:paraId="2BD2A984" w14:textId="77777777" w:rsidR="00671AB5" w:rsidRPr="002555A9" w:rsidRDefault="00671AB5" w:rsidP="002555A9">
            <w:pPr>
              <w:pStyle w:val="TableBody"/>
              <w:rPr>
                <w:sz w:val="22"/>
              </w:rPr>
            </w:pPr>
            <w:r w:rsidRPr="002555A9">
              <w:rPr>
                <w:sz w:val="22"/>
              </w:rPr>
              <w:t>Kansas Interagency Council on Homelessness (KICH)</w:t>
            </w:r>
          </w:p>
        </w:tc>
        <w:tc>
          <w:tcPr>
            <w:tcW w:w="5084" w:type="dxa"/>
          </w:tcPr>
          <w:p w14:paraId="4BBDF3E9" w14:textId="77777777" w:rsidR="00671AB5" w:rsidRPr="002555A9" w:rsidRDefault="00671AB5" w:rsidP="002555A9">
            <w:pPr>
              <w:pStyle w:val="TableBody"/>
              <w:rPr>
                <w:sz w:val="22"/>
              </w:rPr>
            </w:pPr>
            <w:r w:rsidRPr="002555A9">
              <w:rPr>
                <w:sz w:val="22"/>
              </w:rPr>
              <w:t>Strategic Goal 13 calls for assisting 1,250 homeless persons and providing housing for 3,375 households. The “Opening Doors Report” connects with this goal as it calls for an end to chronic homelessness and a path for ending all homelessness.</w:t>
            </w:r>
          </w:p>
        </w:tc>
      </w:tr>
      <w:tr w:rsidR="00671AB5" w14:paraId="6D957683" w14:textId="77777777" w:rsidTr="002555A9">
        <w:tc>
          <w:tcPr>
            <w:tcW w:w="2628" w:type="dxa"/>
          </w:tcPr>
          <w:p w14:paraId="143084D1" w14:textId="77777777" w:rsidR="00671AB5" w:rsidRPr="002555A9" w:rsidRDefault="00671AB5" w:rsidP="002555A9">
            <w:pPr>
              <w:pStyle w:val="TableBody"/>
              <w:rPr>
                <w:sz w:val="22"/>
              </w:rPr>
            </w:pPr>
            <w:r w:rsidRPr="002555A9">
              <w:rPr>
                <w:sz w:val="22"/>
              </w:rPr>
              <w:t>Economic Development Strategic Plan</w:t>
            </w:r>
          </w:p>
        </w:tc>
        <w:tc>
          <w:tcPr>
            <w:tcW w:w="2111" w:type="dxa"/>
          </w:tcPr>
          <w:p w14:paraId="24640278" w14:textId="77777777" w:rsidR="00671AB5" w:rsidRPr="002555A9" w:rsidRDefault="00671AB5" w:rsidP="002555A9">
            <w:pPr>
              <w:pStyle w:val="TableBody"/>
              <w:rPr>
                <w:sz w:val="22"/>
              </w:rPr>
            </w:pPr>
            <w:r w:rsidRPr="002555A9">
              <w:rPr>
                <w:sz w:val="22"/>
              </w:rPr>
              <w:t>Office of the Governor</w:t>
            </w:r>
          </w:p>
        </w:tc>
        <w:tc>
          <w:tcPr>
            <w:tcW w:w="5084" w:type="dxa"/>
          </w:tcPr>
          <w:p w14:paraId="2BBF8671" w14:textId="77777777" w:rsidR="00671AB5" w:rsidRPr="002555A9" w:rsidRDefault="00671AB5" w:rsidP="002555A9">
            <w:pPr>
              <w:pStyle w:val="TableBody"/>
              <w:rPr>
                <w:sz w:val="22"/>
              </w:rPr>
            </w:pPr>
            <w:r w:rsidRPr="002555A9">
              <w:rPr>
                <w:sz w:val="22"/>
              </w:rPr>
              <w:t>Strategic Goal 5 calls for Economic Development and the creation of 37 jobs and assistance to businesses. One of the “Economic Development Strategic Plan” goals is the provision of workforce and infrastructure resources towards faster economic growth and job creation.</w:t>
            </w:r>
          </w:p>
        </w:tc>
      </w:tr>
    </w:tbl>
    <w:p w14:paraId="19F07B26" w14:textId="77777777" w:rsidR="00671AB5" w:rsidRDefault="00671AB5" w:rsidP="00671AB5">
      <w:pPr>
        <w:pStyle w:val="ParagraphHeader"/>
        <w:keepNext w:val="0"/>
      </w:pPr>
    </w:p>
    <w:p w14:paraId="39B12883" w14:textId="77777777" w:rsidR="00671AB5" w:rsidRDefault="00671AB5" w:rsidP="00671AB5">
      <w:pPr>
        <w:pStyle w:val="ParagraphHeader"/>
        <w:keepNext w:val="0"/>
      </w:pPr>
      <w:r w:rsidRPr="00004C54">
        <w:t>Describe cooperation and coordination with other public entities, including the State and any adjacent units of general local government, in the implementation of the Consolidated Plan (91.215(l))</w:t>
      </w:r>
    </w:p>
    <w:p w14:paraId="5C6BFCE9" w14:textId="77777777" w:rsidR="00671AB5" w:rsidRDefault="00671AB5" w:rsidP="00671AB5">
      <w:pPr>
        <w:pStyle w:val="Body"/>
        <w:widowControl w:val="0"/>
        <w:rPr>
          <w:sz w:val="24"/>
          <w:szCs w:val="24"/>
        </w:rPr>
      </w:pPr>
      <w:r w:rsidRPr="00672590">
        <w:rPr>
          <w:sz w:val="24"/>
          <w:szCs w:val="24"/>
        </w:rPr>
        <w:t>See above description of the coordination and consultation efforts.</w:t>
      </w:r>
      <w:r>
        <w:rPr>
          <w:sz w:val="24"/>
          <w:szCs w:val="24"/>
        </w:rPr>
        <w:t xml:space="preserve">  In addition, there are other entities that are partners in facilitating the development of affordable housing and in implementing portions of the Consolidated Plan.  These include the following:</w:t>
      </w:r>
    </w:p>
    <w:p w14:paraId="35D24FE3" w14:textId="77777777" w:rsidR="00671AB5" w:rsidRPr="00A5616F" w:rsidRDefault="00671AB5" w:rsidP="00671AB5">
      <w:pPr>
        <w:pStyle w:val="Body"/>
        <w:rPr>
          <w:sz w:val="24"/>
          <w:szCs w:val="24"/>
          <w:u w:val="single"/>
        </w:rPr>
      </w:pPr>
      <w:r w:rsidRPr="00A5616F">
        <w:rPr>
          <w:sz w:val="24"/>
          <w:szCs w:val="24"/>
          <w:u w:val="single"/>
        </w:rPr>
        <w:t>Kansas Development Finance Agency (KDFA)</w:t>
      </w:r>
    </w:p>
    <w:p w14:paraId="604F77C0" w14:textId="77777777" w:rsidR="00671AB5" w:rsidRPr="007F08F0" w:rsidRDefault="00671AB5" w:rsidP="00671AB5">
      <w:pPr>
        <w:pStyle w:val="Body"/>
        <w:rPr>
          <w:sz w:val="24"/>
          <w:szCs w:val="24"/>
        </w:rPr>
      </w:pPr>
      <w:r>
        <w:rPr>
          <w:sz w:val="24"/>
          <w:szCs w:val="24"/>
        </w:rPr>
        <w:t xml:space="preserve">In addition, the Kansas Development Finance Agency (KDFA) </w:t>
      </w:r>
      <w:r w:rsidRPr="007F08F0">
        <w:rPr>
          <w:sz w:val="24"/>
          <w:szCs w:val="24"/>
        </w:rPr>
        <w:t>possesses multiple bond financing capabilities for multiple jurisdictions in the state.</w:t>
      </w:r>
    </w:p>
    <w:p w14:paraId="63B1FB1B" w14:textId="77777777" w:rsidR="00671AB5" w:rsidRPr="007F08F0" w:rsidRDefault="00671AB5" w:rsidP="00671AB5">
      <w:pPr>
        <w:pStyle w:val="Body"/>
        <w:rPr>
          <w:sz w:val="24"/>
          <w:szCs w:val="24"/>
        </w:rPr>
      </w:pPr>
      <w:r w:rsidRPr="007F08F0">
        <w:rPr>
          <w:sz w:val="24"/>
          <w:szCs w:val="24"/>
        </w:rPr>
        <w:t>For example, the KDFA issues revenue bonds to finance projects of the Kansas Board of Regents</w:t>
      </w:r>
      <w:r>
        <w:rPr>
          <w:sz w:val="24"/>
          <w:szCs w:val="24"/>
        </w:rPr>
        <w:t xml:space="preserve"> </w:t>
      </w:r>
      <w:r w:rsidRPr="007F08F0">
        <w:rPr>
          <w:sz w:val="24"/>
          <w:szCs w:val="24"/>
        </w:rPr>
        <w:t>and State agencies. The KDFA issues bonds for public and private educational facilities and</w:t>
      </w:r>
      <w:r>
        <w:rPr>
          <w:sz w:val="24"/>
          <w:szCs w:val="24"/>
        </w:rPr>
        <w:t xml:space="preserve"> </w:t>
      </w:r>
      <w:r w:rsidRPr="007F08F0">
        <w:rPr>
          <w:sz w:val="24"/>
          <w:szCs w:val="24"/>
        </w:rPr>
        <w:t>healthcare facilities. The KDFA issues tax-exempt bonds to make below market interest rate</w:t>
      </w:r>
      <w:r>
        <w:rPr>
          <w:sz w:val="24"/>
          <w:szCs w:val="24"/>
        </w:rPr>
        <w:t xml:space="preserve"> </w:t>
      </w:r>
      <w:r w:rsidRPr="007F08F0">
        <w:rPr>
          <w:sz w:val="24"/>
          <w:szCs w:val="24"/>
        </w:rPr>
        <w:t>loans to farmers. The KDFA issues private activity bonds to finance agricultural and industrial</w:t>
      </w:r>
      <w:r>
        <w:rPr>
          <w:sz w:val="24"/>
          <w:szCs w:val="24"/>
        </w:rPr>
        <w:t xml:space="preserve"> </w:t>
      </w:r>
      <w:r w:rsidRPr="007F08F0">
        <w:rPr>
          <w:sz w:val="24"/>
          <w:szCs w:val="24"/>
        </w:rPr>
        <w:t>enterprises, corporate and management offices.</w:t>
      </w:r>
    </w:p>
    <w:p w14:paraId="3DFB2C66" w14:textId="77777777" w:rsidR="00671AB5" w:rsidRPr="007F08F0" w:rsidRDefault="00671AB5" w:rsidP="00671AB5">
      <w:pPr>
        <w:autoSpaceDE w:val="0"/>
        <w:autoSpaceDN w:val="0"/>
        <w:adjustRightInd w:val="0"/>
        <w:spacing w:after="0"/>
        <w:rPr>
          <w:rFonts w:asciiTheme="minorHAnsi" w:hAnsiTheme="minorHAnsi"/>
          <w:sz w:val="24"/>
          <w:szCs w:val="24"/>
          <w:lang w:eastAsia="ko-KR"/>
        </w:rPr>
      </w:pPr>
      <w:r w:rsidRPr="007F08F0">
        <w:rPr>
          <w:sz w:val="24"/>
          <w:szCs w:val="24"/>
        </w:rPr>
        <w:t>In particular, the KDFA is empowered to exercise all powers granted to public housing</w:t>
      </w:r>
      <w:r>
        <w:rPr>
          <w:sz w:val="24"/>
          <w:szCs w:val="24"/>
        </w:rPr>
        <w:t xml:space="preserve"> </w:t>
      </w:r>
      <w:r w:rsidRPr="007F08F0">
        <w:rPr>
          <w:sz w:val="24"/>
          <w:szCs w:val="24"/>
        </w:rPr>
        <w:t xml:space="preserve">authorities by the State. In the past, the KDFA </w:t>
      </w:r>
      <w:r w:rsidRPr="007F08F0">
        <w:rPr>
          <w:rFonts w:asciiTheme="minorHAnsi" w:hAnsiTheme="minorHAnsi"/>
          <w:sz w:val="24"/>
          <w:szCs w:val="24"/>
        </w:rPr>
        <w:t xml:space="preserve">has </w:t>
      </w:r>
      <w:r w:rsidRPr="007F08F0">
        <w:rPr>
          <w:rFonts w:asciiTheme="minorHAnsi" w:hAnsiTheme="minorHAnsi"/>
          <w:sz w:val="24"/>
          <w:szCs w:val="24"/>
          <w:lang w:eastAsia="ko-KR"/>
        </w:rPr>
        <w:t>issued revenue bonds to finance numerous</w:t>
      </w:r>
    </w:p>
    <w:p w14:paraId="67E32CFA" w14:textId="77777777" w:rsidR="00671AB5" w:rsidRDefault="00671AB5" w:rsidP="00671AB5">
      <w:pPr>
        <w:pStyle w:val="Body"/>
        <w:rPr>
          <w:rFonts w:asciiTheme="minorHAnsi" w:hAnsiTheme="minorHAnsi"/>
          <w:sz w:val="24"/>
          <w:szCs w:val="24"/>
          <w:lang w:eastAsia="ko-KR"/>
        </w:rPr>
      </w:pPr>
      <w:r>
        <w:rPr>
          <w:rFonts w:asciiTheme="minorHAnsi" w:hAnsiTheme="minorHAnsi"/>
          <w:sz w:val="24"/>
          <w:szCs w:val="24"/>
          <w:lang w:eastAsia="ko-KR"/>
        </w:rPr>
        <w:t>m</w:t>
      </w:r>
      <w:r w:rsidRPr="007F08F0">
        <w:rPr>
          <w:rFonts w:asciiTheme="minorHAnsi" w:hAnsiTheme="minorHAnsi"/>
          <w:sz w:val="24"/>
          <w:szCs w:val="24"/>
          <w:lang w:eastAsia="ko-KR"/>
        </w:rPr>
        <w:t>ultifamily housing developments in Kansas.</w:t>
      </w:r>
    </w:p>
    <w:p w14:paraId="1141708E" w14:textId="1C0BFFD4" w:rsidR="00671AB5" w:rsidRDefault="00671AB5" w:rsidP="00671AB5">
      <w:pPr>
        <w:autoSpaceDE w:val="0"/>
        <w:autoSpaceDN w:val="0"/>
        <w:adjustRightInd w:val="0"/>
        <w:spacing w:after="0"/>
        <w:rPr>
          <w:sz w:val="24"/>
          <w:szCs w:val="24"/>
        </w:rPr>
      </w:pPr>
      <w:r w:rsidRPr="00A5616F">
        <w:rPr>
          <w:sz w:val="24"/>
          <w:szCs w:val="24"/>
        </w:rPr>
        <w:t>According to KDFA’s Mission Statement, KDFA was “created and dedicated to the economic growth and prosperity of our State, KDFA works with qualifying public and private entities to identify financial resources and appropriate financial structures. For information on capital finance mechanisms available to governmental and qualifying private enterprises, KDFA is a statewide, multipurpose financial resource.”</w:t>
      </w:r>
    </w:p>
    <w:p w14:paraId="13623858" w14:textId="77777777" w:rsidR="00E37767" w:rsidRDefault="00E37767" w:rsidP="00671AB5">
      <w:pPr>
        <w:autoSpaceDE w:val="0"/>
        <w:autoSpaceDN w:val="0"/>
        <w:adjustRightInd w:val="0"/>
        <w:spacing w:after="0"/>
        <w:rPr>
          <w:sz w:val="24"/>
          <w:szCs w:val="24"/>
        </w:rPr>
      </w:pPr>
    </w:p>
    <w:p w14:paraId="1687A31F" w14:textId="77777777" w:rsidR="00671AB5" w:rsidRPr="00A5616F" w:rsidRDefault="00671AB5" w:rsidP="00671AB5">
      <w:pPr>
        <w:autoSpaceDE w:val="0"/>
        <w:autoSpaceDN w:val="0"/>
        <w:adjustRightInd w:val="0"/>
        <w:spacing w:after="0"/>
        <w:rPr>
          <w:sz w:val="24"/>
          <w:szCs w:val="24"/>
          <w:u w:val="single"/>
        </w:rPr>
      </w:pPr>
      <w:r w:rsidRPr="00A5616F">
        <w:rPr>
          <w:sz w:val="24"/>
          <w:szCs w:val="24"/>
          <w:u w:val="single"/>
        </w:rPr>
        <w:t>Community Housing Development Organizations (CHDO</w:t>
      </w:r>
      <w:r>
        <w:rPr>
          <w:sz w:val="24"/>
          <w:szCs w:val="24"/>
          <w:u w:val="single"/>
        </w:rPr>
        <w:t>s</w:t>
      </w:r>
      <w:r w:rsidRPr="00A5616F">
        <w:rPr>
          <w:sz w:val="24"/>
          <w:szCs w:val="24"/>
          <w:u w:val="single"/>
        </w:rPr>
        <w:t>)</w:t>
      </w:r>
    </w:p>
    <w:p w14:paraId="6C89A431" w14:textId="77777777" w:rsidR="00671AB5" w:rsidRPr="00A5616F" w:rsidRDefault="00671AB5" w:rsidP="00671AB5">
      <w:pPr>
        <w:autoSpaceDE w:val="0"/>
        <w:autoSpaceDN w:val="0"/>
        <w:adjustRightInd w:val="0"/>
        <w:spacing w:after="0"/>
        <w:rPr>
          <w:sz w:val="24"/>
          <w:szCs w:val="24"/>
        </w:rPr>
      </w:pPr>
    </w:p>
    <w:p w14:paraId="776CD406" w14:textId="77777777" w:rsidR="00671AB5" w:rsidRPr="008421A8" w:rsidRDefault="00671AB5" w:rsidP="00671AB5">
      <w:pPr>
        <w:autoSpaceDE w:val="0"/>
        <w:autoSpaceDN w:val="0"/>
        <w:adjustRightInd w:val="0"/>
        <w:spacing w:after="0"/>
        <w:rPr>
          <w:sz w:val="24"/>
          <w:szCs w:val="24"/>
        </w:rPr>
      </w:pPr>
      <w:r w:rsidRPr="008421A8">
        <w:rPr>
          <w:sz w:val="24"/>
          <w:szCs w:val="24"/>
        </w:rPr>
        <w:t>The State of Kansas has</w:t>
      </w:r>
      <w:r>
        <w:rPr>
          <w:sz w:val="24"/>
          <w:szCs w:val="24"/>
        </w:rPr>
        <w:t xml:space="preserve"> </w:t>
      </w:r>
      <w:r w:rsidRPr="008421A8">
        <w:rPr>
          <w:sz w:val="24"/>
          <w:szCs w:val="24"/>
        </w:rPr>
        <w:t>qualified 26 CHDOs. Since 1992, the State has allocated at least 15 percent of HOME funds to</w:t>
      </w:r>
      <w:r>
        <w:rPr>
          <w:sz w:val="24"/>
          <w:szCs w:val="24"/>
        </w:rPr>
        <w:t xml:space="preserve"> </w:t>
      </w:r>
      <w:r w:rsidRPr="008421A8">
        <w:rPr>
          <w:sz w:val="24"/>
          <w:szCs w:val="24"/>
        </w:rPr>
        <w:t>CHDO program activities and no more than five percent of HOME funds to CHDO operating expenses.</w:t>
      </w:r>
    </w:p>
    <w:p w14:paraId="250EDD7F" w14:textId="77777777" w:rsidR="00671AB5" w:rsidRPr="008421A8" w:rsidRDefault="00671AB5" w:rsidP="00671AB5">
      <w:pPr>
        <w:autoSpaceDE w:val="0"/>
        <w:autoSpaceDN w:val="0"/>
        <w:adjustRightInd w:val="0"/>
        <w:spacing w:after="0"/>
        <w:rPr>
          <w:sz w:val="24"/>
          <w:szCs w:val="24"/>
        </w:rPr>
      </w:pPr>
    </w:p>
    <w:p w14:paraId="46541998" w14:textId="77777777" w:rsidR="00671AB5" w:rsidRPr="008421A8" w:rsidRDefault="00671AB5" w:rsidP="00671AB5">
      <w:pPr>
        <w:autoSpaceDE w:val="0"/>
        <w:autoSpaceDN w:val="0"/>
        <w:adjustRightInd w:val="0"/>
        <w:spacing w:after="0"/>
        <w:rPr>
          <w:sz w:val="24"/>
          <w:szCs w:val="24"/>
        </w:rPr>
      </w:pPr>
      <w:r w:rsidRPr="008421A8">
        <w:rPr>
          <w:sz w:val="24"/>
          <w:szCs w:val="24"/>
        </w:rPr>
        <w:t>The CHDO set-aside is only a base for rental housing. CHDOs can expand their rental housing</w:t>
      </w:r>
    </w:p>
    <w:p w14:paraId="2366A87F" w14:textId="77777777" w:rsidR="00671AB5" w:rsidRPr="008421A8" w:rsidRDefault="00671AB5" w:rsidP="00671AB5">
      <w:pPr>
        <w:autoSpaceDE w:val="0"/>
        <w:autoSpaceDN w:val="0"/>
        <w:adjustRightInd w:val="0"/>
        <w:spacing w:after="0"/>
        <w:rPr>
          <w:sz w:val="24"/>
          <w:szCs w:val="24"/>
        </w:rPr>
      </w:pPr>
      <w:r w:rsidRPr="008421A8">
        <w:rPr>
          <w:sz w:val="24"/>
          <w:szCs w:val="24"/>
        </w:rPr>
        <w:t>activities with Housing Tax Credits, Private Activity Bonds, and HOME Tenant Based Rental</w:t>
      </w:r>
      <w:r>
        <w:rPr>
          <w:sz w:val="24"/>
          <w:szCs w:val="24"/>
        </w:rPr>
        <w:t xml:space="preserve"> </w:t>
      </w:r>
      <w:r w:rsidRPr="008421A8">
        <w:rPr>
          <w:sz w:val="24"/>
          <w:szCs w:val="24"/>
        </w:rPr>
        <w:t>Assistance.</w:t>
      </w:r>
    </w:p>
    <w:p w14:paraId="345AE688" w14:textId="77777777" w:rsidR="00671AB5" w:rsidRPr="008421A8" w:rsidRDefault="00671AB5" w:rsidP="00671AB5">
      <w:pPr>
        <w:autoSpaceDE w:val="0"/>
        <w:autoSpaceDN w:val="0"/>
        <w:adjustRightInd w:val="0"/>
        <w:spacing w:after="0"/>
        <w:rPr>
          <w:sz w:val="24"/>
          <w:szCs w:val="24"/>
        </w:rPr>
      </w:pPr>
    </w:p>
    <w:p w14:paraId="1E4AB372" w14:textId="77777777" w:rsidR="00671AB5" w:rsidRDefault="00671AB5" w:rsidP="00671AB5">
      <w:pPr>
        <w:autoSpaceDE w:val="0"/>
        <w:autoSpaceDN w:val="0"/>
        <w:adjustRightInd w:val="0"/>
        <w:spacing w:after="0"/>
        <w:rPr>
          <w:sz w:val="24"/>
          <w:szCs w:val="24"/>
        </w:rPr>
      </w:pPr>
      <w:r w:rsidRPr="008421A8">
        <w:rPr>
          <w:sz w:val="24"/>
          <w:szCs w:val="24"/>
        </w:rPr>
        <w:t xml:space="preserve">Further, only the CHDO set-aside is restricted to rental housing. </w:t>
      </w:r>
    </w:p>
    <w:p w14:paraId="32D2CD32" w14:textId="77777777" w:rsidR="00671AB5" w:rsidRDefault="00671AB5" w:rsidP="00671AB5">
      <w:pPr>
        <w:autoSpaceDE w:val="0"/>
        <w:autoSpaceDN w:val="0"/>
        <w:adjustRightInd w:val="0"/>
        <w:spacing w:after="0"/>
        <w:rPr>
          <w:sz w:val="24"/>
          <w:szCs w:val="24"/>
        </w:rPr>
      </w:pPr>
    </w:p>
    <w:p w14:paraId="5C16B428" w14:textId="77777777" w:rsidR="00671AB5" w:rsidRPr="00961E05" w:rsidRDefault="00671AB5" w:rsidP="00671AB5">
      <w:pPr>
        <w:autoSpaceDE w:val="0"/>
        <w:autoSpaceDN w:val="0"/>
        <w:adjustRightInd w:val="0"/>
        <w:spacing w:after="0"/>
        <w:rPr>
          <w:sz w:val="24"/>
          <w:szCs w:val="24"/>
          <w:u w:val="single"/>
        </w:rPr>
      </w:pPr>
      <w:r w:rsidRPr="00961E05">
        <w:rPr>
          <w:sz w:val="24"/>
          <w:szCs w:val="24"/>
          <w:u w:val="single"/>
        </w:rPr>
        <w:t>Process for Local Government</w:t>
      </w:r>
    </w:p>
    <w:p w14:paraId="6E0A36D3" w14:textId="7295CFC3" w:rsidR="00671AB5" w:rsidRPr="00C82D0D" w:rsidRDefault="00671AB5" w:rsidP="00671AB5">
      <w:pPr>
        <w:autoSpaceDE w:val="0"/>
        <w:autoSpaceDN w:val="0"/>
        <w:adjustRightInd w:val="0"/>
        <w:spacing w:after="0"/>
        <w:rPr>
          <w:sz w:val="24"/>
          <w:szCs w:val="24"/>
        </w:rPr>
      </w:pPr>
      <w:r>
        <w:rPr>
          <w:sz w:val="24"/>
          <w:szCs w:val="24"/>
        </w:rPr>
        <w:t>An application process has been developed by the State in order for communities to access resources for financial assistance to address both housing and non-housing community development needs</w:t>
      </w:r>
      <w:r w:rsidRPr="00500F19">
        <w:rPr>
          <w:rFonts w:asciiTheme="minorHAnsi" w:hAnsiTheme="minorHAnsi"/>
          <w:sz w:val="24"/>
          <w:szCs w:val="24"/>
        </w:rPr>
        <w:t xml:space="preserve">.  </w:t>
      </w:r>
      <w:r w:rsidRPr="00500F19">
        <w:rPr>
          <w:rFonts w:asciiTheme="minorHAnsi" w:hAnsiTheme="minorHAnsi"/>
          <w:sz w:val="24"/>
          <w:szCs w:val="24"/>
          <w:lang w:eastAsia="ko-KR"/>
        </w:rPr>
        <w:t>In general,</w:t>
      </w:r>
      <w:r>
        <w:rPr>
          <w:rFonts w:ascii="Times New Roman" w:hAnsi="Times New Roman"/>
          <w:sz w:val="24"/>
          <w:szCs w:val="24"/>
          <w:lang w:eastAsia="ko-KR"/>
        </w:rPr>
        <w:t xml:space="preserve"> </w:t>
      </w:r>
      <w:r w:rsidRPr="00C82D0D">
        <w:rPr>
          <w:sz w:val="24"/>
          <w:szCs w:val="24"/>
        </w:rPr>
        <w:t xml:space="preserve">the Kansas Department of Commerce (Department of Commerce), the Kansas Housing Resources Corporation (KHRC), and the Kansas Department of Health and Environment (KDHE) will approve funding for development projects which satisfy one or more of the </w:t>
      </w:r>
      <w:r w:rsidR="00E37767">
        <w:rPr>
          <w:sz w:val="24"/>
          <w:szCs w:val="24"/>
        </w:rPr>
        <w:t>identified need</w:t>
      </w:r>
      <w:r w:rsidRPr="00C82D0D">
        <w:rPr>
          <w:sz w:val="24"/>
          <w:szCs w:val="24"/>
        </w:rPr>
        <w:t xml:space="preserve"> criteria.  The criteria include the following: community need, community effort, resident need, resident risk, and preventive action.  </w:t>
      </w:r>
    </w:p>
    <w:p w14:paraId="18E623C2" w14:textId="77777777" w:rsidR="00671AB5" w:rsidRDefault="00671AB5" w:rsidP="002555A9">
      <w:pPr>
        <w:pStyle w:val="Heading2"/>
        <w:keepNext w:val="0"/>
        <w:pageBreakBefore/>
        <w:widowControl w:val="0"/>
        <w:shd w:val="clear" w:color="auto" w:fill="95B3D7" w:themeFill="accent1" w:themeFillTint="99"/>
        <w:rPr>
          <w:rFonts w:ascii="Calibri" w:hAnsi="Calibri"/>
          <w:i w:val="0"/>
        </w:rPr>
      </w:pPr>
      <w:bookmarkStart w:id="20" w:name="_Toc524603007"/>
      <w:r>
        <w:rPr>
          <w:rFonts w:ascii="Calibri" w:hAnsi="Calibri"/>
          <w:i w:val="0"/>
        </w:rPr>
        <w:t>PR-15 Citizen Participation - 91.115, 91.300(c)</w:t>
      </w:r>
      <w:bookmarkEnd w:id="20"/>
    </w:p>
    <w:p w14:paraId="4FF67A8E" w14:textId="77777777" w:rsidR="00671AB5" w:rsidRPr="00275B88" w:rsidRDefault="00671AB5" w:rsidP="00A121EE">
      <w:pPr>
        <w:pStyle w:val="ListParagraph"/>
        <w:numPr>
          <w:ilvl w:val="0"/>
          <w:numId w:val="6"/>
        </w:numPr>
        <w:spacing w:after="0" w:line="240" w:lineRule="auto"/>
        <w:rPr>
          <w:b/>
          <w:sz w:val="24"/>
          <w:szCs w:val="24"/>
        </w:rPr>
      </w:pPr>
      <w:r w:rsidRPr="00275B88">
        <w:rPr>
          <w:b/>
          <w:sz w:val="24"/>
          <w:szCs w:val="24"/>
        </w:rPr>
        <w:t>Summary of citizen participation process/Efforts made to broaden citizen participation</w:t>
      </w:r>
    </w:p>
    <w:p w14:paraId="3DC87274" w14:textId="77777777" w:rsidR="00671AB5" w:rsidRPr="00F12E7A" w:rsidRDefault="00671AB5" w:rsidP="00671AB5">
      <w:pPr>
        <w:spacing w:after="0" w:line="240" w:lineRule="auto"/>
        <w:rPr>
          <w:b/>
          <w:sz w:val="24"/>
          <w:szCs w:val="24"/>
        </w:rPr>
      </w:pPr>
      <w:r w:rsidRPr="00F12E7A">
        <w:rPr>
          <w:b/>
          <w:sz w:val="24"/>
          <w:szCs w:val="24"/>
        </w:rPr>
        <w:t>Summarize citizen participation process and how it impacted goal-setting</w:t>
      </w:r>
    </w:p>
    <w:p w14:paraId="4DDB8FF3" w14:textId="77777777" w:rsidR="00671AB5" w:rsidRDefault="00671AB5" w:rsidP="00671AB5">
      <w:pPr>
        <w:pStyle w:val="Body"/>
      </w:pPr>
    </w:p>
    <w:p w14:paraId="7B2E45E0" w14:textId="74DAAB3E" w:rsidR="00671AB5" w:rsidRPr="00825BC6" w:rsidRDefault="00671AB5" w:rsidP="00671AB5">
      <w:pPr>
        <w:autoSpaceDE w:val="0"/>
        <w:autoSpaceDN w:val="0"/>
        <w:adjustRightInd w:val="0"/>
        <w:spacing w:after="0"/>
        <w:rPr>
          <w:rFonts w:asciiTheme="minorHAnsi" w:hAnsiTheme="minorHAnsi" w:cstheme="minorHAnsi"/>
          <w:sz w:val="24"/>
          <w:szCs w:val="24"/>
        </w:rPr>
      </w:pPr>
      <w:r w:rsidRPr="00825BC6">
        <w:rPr>
          <w:rFonts w:asciiTheme="minorHAnsi" w:hAnsiTheme="minorHAnsi" w:cstheme="minorHAnsi"/>
          <w:sz w:val="24"/>
          <w:szCs w:val="24"/>
        </w:rPr>
        <w:t>The State of Kansas conducted two public hearings on housing and community development issues to allow citizens to provide input into the 201</w:t>
      </w:r>
      <w:r w:rsidR="00825BC6" w:rsidRPr="00825BC6">
        <w:rPr>
          <w:rFonts w:asciiTheme="minorHAnsi" w:hAnsiTheme="minorHAnsi" w:cstheme="minorHAnsi"/>
          <w:sz w:val="24"/>
          <w:szCs w:val="24"/>
        </w:rPr>
        <w:t>9-2023</w:t>
      </w:r>
      <w:r w:rsidRPr="00825BC6">
        <w:rPr>
          <w:rFonts w:asciiTheme="minorHAnsi" w:hAnsiTheme="minorHAnsi" w:cstheme="minorHAnsi"/>
          <w:sz w:val="24"/>
          <w:szCs w:val="24"/>
        </w:rPr>
        <w:t xml:space="preserve"> Kansas Consolidated Plan.  The Consolidated Plan is the policy framework for federally-funded community development and housing programs.  The public hearings focused on housing and community development needs throughout the State and strategies to address those needs.  The presentation was available via download on the Kansas Housing Resources Corporation (KHRC) website at </w:t>
      </w:r>
      <w:hyperlink r:id="rId14" w:history="1">
        <w:r w:rsidRPr="00825BC6">
          <w:rPr>
            <w:rFonts w:asciiTheme="minorHAnsi" w:hAnsiTheme="minorHAnsi" w:cstheme="minorHAnsi"/>
            <w:sz w:val="24"/>
            <w:szCs w:val="24"/>
          </w:rPr>
          <w:t>www.kshousingcorp.org</w:t>
        </w:r>
      </w:hyperlink>
      <w:r w:rsidRPr="00825BC6">
        <w:rPr>
          <w:rFonts w:asciiTheme="minorHAnsi" w:hAnsiTheme="minorHAnsi" w:cstheme="minorHAnsi"/>
          <w:sz w:val="24"/>
          <w:szCs w:val="24"/>
        </w:rPr>
        <w:t>.</w:t>
      </w:r>
    </w:p>
    <w:p w14:paraId="393B9218" w14:textId="77777777" w:rsidR="00671AB5" w:rsidRPr="001E4FA0" w:rsidRDefault="00671AB5" w:rsidP="00671AB5">
      <w:pPr>
        <w:autoSpaceDE w:val="0"/>
        <w:autoSpaceDN w:val="0"/>
        <w:adjustRightInd w:val="0"/>
        <w:spacing w:after="0" w:line="240" w:lineRule="auto"/>
        <w:rPr>
          <w:rFonts w:ascii="Times New Roman" w:eastAsiaTheme="minorHAnsi" w:hAnsi="Times New Roman"/>
          <w:sz w:val="24"/>
          <w:szCs w:val="24"/>
        </w:rPr>
      </w:pPr>
    </w:p>
    <w:p w14:paraId="5EE83A2F" w14:textId="77777777" w:rsidR="008E2894" w:rsidRDefault="008E2894" w:rsidP="008E2894">
      <w:pPr>
        <w:autoSpaceDE w:val="0"/>
        <w:autoSpaceDN w:val="0"/>
        <w:adjustRightInd w:val="0"/>
        <w:spacing w:after="0"/>
        <w:rPr>
          <w:rFonts w:asciiTheme="minorHAnsi" w:eastAsiaTheme="minorHAnsi" w:hAnsiTheme="minorHAnsi"/>
          <w:sz w:val="24"/>
          <w:szCs w:val="24"/>
        </w:rPr>
      </w:pPr>
      <w:r w:rsidRPr="001E4FA0">
        <w:rPr>
          <w:rFonts w:asciiTheme="minorHAnsi" w:eastAsiaTheme="minorHAnsi" w:hAnsiTheme="minorHAnsi"/>
          <w:sz w:val="24"/>
          <w:szCs w:val="24"/>
        </w:rPr>
        <w:t xml:space="preserve">The </w:t>
      </w:r>
      <w:r>
        <w:rPr>
          <w:rFonts w:asciiTheme="minorHAnsi" w:eastAsiaTheme="minorHAnsi" w:hAnsiTheme="minorHAnsi"/>
          <w:sz w:val="24"/>
          <w:szCs w:val="24"/>
        </w:rPr>
        <w:t>needs</w:t>
      </w:r>
      <w:r w:rsidRPr="001E4FA0">
        <w:rPr>
          <w:rFonts w:asciiTheme="minorHAnsi" w:eastAsiaTheme="minorHAnsi" w:hAnsiTheme="minorHAnsi"/>
          <w:sz w:val="24"/>
          <w:szCs w:val="24"/>
        </w:rPr>
        <w:t xml:space="preserve"> hearing</w:t>
      </w:r>
      <w:r>
        <w:rPr>
          <w:rFonts w:asciiTheme="minorHAnsi" w:eastAsiaTheme="minorHAnsi" w:hAnsiTheme="minorHAnsi"/>
          <w:sz w:val="24"/>
          <w:szCs w:val="24"/>
        </w:rPr>
        <w:t xml:space="preserve"> was</w:t>
      </w:r>
      <w:r w:rsidRPr="001E4FA0">
        <w:rPr>
          <w:rFonts w:asciiTheme="minorHAnsi" w:eastAsiaTheme="minorHAnsi" w:hAnsiTheme="minorHAnsi"/>
          <w:sz w:val="24"/>
          <w:szCs w:val="24"/>
        </w:rPr>
        <w:t xml:space="preserve"> announced through</w:t>
      </w:r>
      <w:r>
        <w:rPr>
          <w:rFonts w:asciiTheme="minorHAnsi" w:eastAsiaTheme="minorHAnsi" w:hAnsiTheme="minorHAnsi"/>
          <w:sz w:val="24"/>
          <w:szCs w:val="24"/>
        </w:rPr>
        <w:t xml:space="preserve"> an e-mail blast on August 1, 2018</w:t>
      </w:r>
      <w:r w:rsidRPr="001E4FA0">
        <w:rPr>
          <w:rFonts w:asciiTheme="minorHAnsi" w:eastAsiaTheme="minorHAnsi" w:hAnsiTheme="minorHAnsi"/>
          <w:sz w:val="24"/>
          <w:szCs w:val="24"/>
        </w:rPr>
        <w:t xml:space="preserve"> </w:t>
      </w:r>
      <w:r>
        <w:rPr>
          <w:rFonts w:asciiTheme="minorHAnsi" w:eastAsiaTheme="minorHAnsi" w:hAnsiTheme="minorHAnsi"/>
          <w:sz w:val="24"/>
          <w:szCs w:val="24"/>
        </w:rPr>
        <w:t xml:space="preserve">and a </w:t>
      </w:r>
      <w:r w:rsidRPr="001E4FA0">
        <w:rPr>
          <w:rFonts w:asciiTheme="minorHAnsi" w:eastAsiaTheme="minorHAnsi" w:hAnsiTheme="minorHAnsi"/>
          <w:sz w:val="24"/>
          <w:szCs w:val="24"/>
        </w:rPr>
        <w:t xml:space="preserve">public notice in the Kansas Register on </w:t>
      </w:r>
      <w:r>
        <w:rPr>
          <w:rFonts w:asciiTheme="minorHAnsi" w:eastAsiaTheme="minorHAnsi" w:hAnsiTheme="minorHAnsi"/>
          <w:sz w:val="24"/>
          <w:szCs w:val="24"/>
        </w:rPr>
        <w:t xml:space="preserve">August 2, 2018.  The public hearing was held in Topeka on August 16, 2018.  </w:t>
      </w:r>
    </w:p>
    <w:p w14:paraId="0E0D0202" w14:textId="77777777" w:rsidR="008E2894" w:rsidRDefault="008E2894" w:rsidP="008E2894">
      <w:pPr>
        <w:autoSpaceDE w:val="0"/>
        <w:autoSpaceDN w:val="0"/>
        <w:adjustRightInd w:val="0"/>
        <w:spacing w:after="0"/>
        <w:rPr>
          <w:rFonts w:asciiTheme="minorHAnsi" w:eastAsiaTheme="minorHAnsi" w:hAnsiTheme="minorHAnsi"/>
          <w:sz w:val="24"/>
          <w:szCs w:val="24"/>
        </w:rPr>
      </w:pPr>
    </w:p>
    <w:p w14:paraId="3D6075F7" w14:textId="7B465BF4" w:rsidR="00671AB5" w:rsidRPr="008E2894" w:rsidRDefault="008E2894" w:rsidP="00671AB5">
      <w:pPr>
        <w:autoSpaceDE w:val="0"/>
        <w:autoSpaceDN w:val="0"/>
        <w:adjustRightInd w:val="0"/>
        <w:spacing w:after="0"/>
        <w:rPr>
          <w:sz w:val="24"/>
          <w:szCs w:val="24"/>
        </w:rPr>
      </w:pPr>
      <w:r>
        <w:rPr>
          <w:rFonts w:asciiTheme="minorHAnsi" w:eastAsiaTheme="minorHAnsi" w:hAnsiTheme="minorHAnsi"/>
          <w:sz w:val="24"/>
          <w:szCs w:val="24"/>
        </w:rPr>
        <w:t>The public hearing was announced by e-mail blast on September 21, 2018, and by public notice in the Kansas Register on September 27, 2018</w:t>
      </w:r>
      <w:r w:rsidRPr="001E4FA0">
        <w:rPr>
          <w:rFonts w:asciiTheme="minorHAnsi" w:eastAsiaTheme="minorHAnsi" w:hAnsiTheme="minorHAnsi"/>
          <w:sz w:val="24"/>
          <w:szCs w:val="24"/>
        </w:rPr>
        <w:t>.</w:t>
      </w:r>
      <w:r>
        <w:rPr>
          <w:rFonts w:asciiTheme="minorHAnsi" w:eastAsiaTheme="minorHAnsi" w:hAnsiTheme="minorHAnsi"/>
          <w:sz w:val="24"/>
          <w:szCs w:val="24"/>
        </w:rPr>
        <w:t xml:space="preserve">  </w:t>
      </w:r>
      <w:r w:rsidRPr="001E4FA0">
        <w:rPr>
          <w:rFonts w:asciiTheme="minorHAnsi" w:eastAsiaTheme="minorHAnsi" w:hAnsiTheme="minorHAnsi"/>
          <w:sz w:val="24"/>
          <w:szCs w:val="24"/>
        </w:rPr>
        <w:t xml:space="preserve"> The public hearings occurred in </w:t>
      </w:r>
      <w:r>
        <w:rPr>
          <w:rFonts w:asciiTheme="minorHAnsi" w:eastAsiaTheme="minorHAnsi" w:hAnsiTheme="minorHAnsi"/>
          <w:sz w:val="24"/>
          <w:szCs w:val="24"/>
        </w:rPr>
        <w:t xml:space="preserve">Topeka on October 3, 2018.  </w:t>
      </w:r>
      <w:r w:rsidRPr="00117179">
        <w:rPr>
          <w:sz w:val="24"/>
          <w:szCs w:val="24"/>
        </w:rPr>
        <w:t xml:space="preserve">The public hearing notices were </w:t>
      </w:r>
      <w:r>
        <w:rPr>
          <w:sz w:val="24"/>
          <w:szCs w:val="24"/>
        </w:rPr>
        <w:t xml:space="preserve">also </w:t>
      </w:r>
      <w:r w:rsidRPr="00117179">
        <w:rPr>
          <w:sz w:val="24"/>
          <w:szCs w:val="24"/>
        </w:rPr>
        <w:t>placed on the KHRC website.</w:t>
      </w:r>
      <w:r>
        <w:rPr>
          <w:rFonts w:asciiTheme="minorHAnsi" w:eastAsiaTheme="minorHAnsi" w:hAnsiTheme="minorHAnsi"/>
          <w:sz w:val="24"/>
          <w:szCs w:val="24"/>
        </w:rPr>
        <w:t xml:space="preserve"> </w:t>
      </w:r>
      <w:r w:rsidRPr="001E4FA0">
        <w:rPr>
          <w:rFonts w:asciiTheme="minorHAnsi" w:eastAsiaTheme="minorHAnsi" w:hAnsiTheme="minorHAnsi"/>
          <w:sz w:val="24"/>
          <w:szCs w:val="24"/>
        </w:rPr>
        <w:t>The public hearings were designed to encourage participation by local, regional, statewide institutions, Continuum of Care, and other public and private organizations.  The public hearing notices included the amount of federal dollars the State anticipated receiving, in addition to encouraging participation by individuals with disabilities or limited English proficiency.</w:t>
      </w:r>
      <w:r>
        <w:rPr>
          <w:rFonts w:asciiTheme="minorHAnsi" w:eastAsiaTheme="minorHAnsi" w:hAnsiTheme="minorHAnsi"/>
          <w:sz w:val="24"/>
          <w:szCs w:val="24"/>
        </w:rPr>
        <w:t xml:space="preserve">  </w:t>
      </w:r>
      <w:r w:rsidR="00671AB5" w:rsidRPr="001E4FA0">
        <w:rPr>
          <w:rFonts w:asciiTheme="minorHAnsi" w:eastAsiaTheme="minorHAnsi" w:hAnsiTheme="minorHAnsi"/>
          <w:sz w:val="24"/>
          <w:szCs w:val="24"/>
        </w:rPr>
        <w:t>The tables below provide additional information on public meetings</w:t>
      </w:r>
      <w:r w:rsidR="00671AB5">
        <w:rPr>
          <w:rFonts w:asciiTheme="minorHAnsi" w:eastAsiaTheme="minorHAnsi" w:hAnsiTheme="minorHAnsi"/>
          <w:sz w:val="24"/>
          <w:szCs w:val="24"/>
        </w:rPr>
        <w:t xml:space="preserve"> on the plan and citizen participation.</w:t>
      </w:r>
    </w:p>
    <w:p w14:paraId="389A5701" w14:textId="77777777" w:rsidR="00671AB5" w:rsidRDefault="00671AB5" w:rsidP="00671AB5">
      <w:pPr>
        <w:pStyle w:val="Body"/>
      </w:pPr>
    </w:p>
    <w:p w14:paraId="140885C7" w14:textId="77777777" w:rsidR="00671AB5" w:rsidRDefault="00671AB5" w:rsidP="00671AB5">
      <w:pPr>
        <w:pStyle w:val="TableTitle"/>
        <w:ind w:left="1080" w:hanging="1080"/>
      </w:pPr>
      <w:r>
        <w:t>Dates of Public Hearings</w:t>
      </w:r>
    </w:p>
    <w:tbl>
      <w:tblPr>
        <w:tblStyle w:val="GridTable4-Accent1"/>
        <w:tblW w:w="9063" w:type="dxa"/>
        <w:tblLook w:val="0420" w:firstRow="1" w:lastRow="0" w:firstColumn="0" w:lastColumn="0" w:noHBand="0" w:noVBand="1"/>
      </w:tblPr>
      <w:tblGrid>
        <w:gridCol w:w="1737"/>
        <w:gridCol w:w="1440"/>
        <w:gridCol w:w="5886"/>
      </w:tblGrid>
      <w:tr w:rsidR="00671AB5" w:rsidRPr="001F4CA5" w14:paraId="6A9C549E" w14:textId="77777777" w:rsidTr="002E1883">
        <w:trPr>
          <w:cnfStyle w:val="100000000000" w:firstRow="1" w:lastRow="0" w:firstColumn="0" w:lastColumn="0" w:oddVBand="0" w:evenVBand="0" w:oddHBand="0" w:evenHBand="0" w:firstRowFirstColumn="0" w:firstRowLastColumn="0" w:lastRowFirstColumn="0" w:lastRowLastColumn="0"/>
          <w:trHeight w:val="252"/>
        </w:trPr>
        <w:tc>
          <w:tcPr>
            <w:tcW w:w="1737" w:type="dxa"/>
            <w:tcBorders>
              <w:right w:val="single" w:sz="4" w:space="0" w:color="95B3D7" w:themeColor="accent1" w:themeTint="99"/>
            </w:tcBorders>
          </w:tcPr>
          <w:p w14:paraId="2600D08D" w14:textId="77777777" w:rsidR="00671AB5" w:rsidRPr="00BC0933" w:rsidRDefault="00671AB5" w:rsidP="002555A9">
            <w:pPr>
              <w:pStyle w:val="TableHeader"/>
              <w:rPr>
                <w:b/>
              </w:rPr>
            </w:pPr>
            <w:r w:rsidRPr="00BC0933">
              <w:t>Date</w:t>
            </w:r>
          </w:p>
        </w:tc>
        <w:tc>
          <w:tcPr>
            <w:tcW w:w="1440" w:type="dxa"/>
            <w:tcBorders>
              <w:left w:val="single" w:sz="4" w:space="0" w:color="95B3D7" w:themeColor="accent1" w:themeTint="99"/>
              <w:right w:val="single" w:sz="4" w:space="0" w:color="95B3D7" w:themeColor="accent1" w:themeTint="99"/>
            </w:tcBorders>
          </w:tcPr>
          <w:p w14:paraId="084D7FFA" w14:textId="77777777" w:rsidR="00671AB5" w:rsidRPr="00BC0933" w:rsidRDefault="00671AB5" w:rsidP="002555A9">
            <w:pPr>
              <w:pStyle w:val="TableHeader"/>
              <w:rPr>
                <w:b/>
              </w:rPr>
            </w:pPr>
            <w:r w:rsidRPr="00BC0933">
              <w:t>Time</w:t>
            </w:r>
          </w:p>
        </w:tc>
        <w:tc>
          <w:tcPr>
            <w:tcW w:w="5886" w:type="dxa"/>
            <w:tcBorders>
              <w:left w:val="single" w:sz="4" w:space="0" w:color="95B3D7" w:themeColor="accent1" w:themeTint="99"/>
            </w:tcBorders>
          </w:tcPr>
          <w:p w14:paraId="203349A0" w14:textId="77777777" w:rsidR="00671AB5" w:rsidRPr="00BC0933" w:rsidRDefault="00671AB5" w:rsidP="002555A9">
            <w:pPr>
              <w:pStyle w:val="TableHeader"/>
              <w:rPr>
                <w:b/>
              </w:rPr>
            </w:pPr>
            <w:r w:rsidRPr="00BC0933">
              <w:t>Location</w:t>
            </w:r>
          </w:p>
        </w:tc>
      </w:tr>
      <w:tr w:rsidR="00671AB5" w14:paraId="46FFDF68" w14:textId="77777777" w:rsidTr="002555A9">
        <w:trPr>
          <w:cnfStyle w:val="000000100000" w:firstRow="0" w:lastRow="0" w:firstColumn="0" w:lastColumn="0" w:oddVBand="0" w:evenVBand="0" w:oddHBand="1" w:evenHBand="0" w:firstRowFirstColumn="0" w:firstRowLastColumn="0" w:lastRowFirstColumn="0" w:lastRowLastColumn="0"/>
          <w:trHeight w:val="727"/>
        </w:trPr>
        <w:tc>
          <w:tcPr>
            <w:tcW w:w="1737" w:type="dxa"/>
          </w:tcPr>
          <w:p w14:paraId="0A6714E8" w14:textId="610F3A5E" w:rsidR="00671AB5" w:rsidRPr="00F9425E" w:rsidRDefault="001F3858" w:rsidP="002555A9">
            <w:pPr>
              <w:pStyle w:val="TableBody"/>
            </w:pPr>
            <w:r w:rsidRPr="00F9425E">
              <w:t>August 16</w:t>
            </w:r>
            <w:r w:rsidR="00671AB5" w:rsidRPr="00F9425E">
              <w:t>, 201</w:t>
            </w:r>
            <w:r w:rsidRPr="00F9425E">
              <w:t>8</w:t>
            </w:r>
          </w:p>
        </w:tc>
        <w:tc>
          <w:tcPr>
            <w:tcW w:w="1440" w:type="dxa"/>
          </w:tcPr>
          <w:p w14:paraId="2F99C426" w14:textId="3B0584CC" w:rsidR="00671AB5" w:rsidRPr="00F9425E" w:rsidRDefault="001F3858" w:rsidP="002555A9">
            <w:pPr>
              <w:pStyle w:val="TableBody"/>
              <w:jc w:val="center"/>
            </w:pPr>
            <w:r w:rsidRPr="00F9425E">
              <w:t>10</w:t>
            </w:r>
            <w:r w:rsidR="00671AB5" w:rsidRPr="00F9425E">
              <w:t>:</w:t>
            </w:r>
            <w:r w:rsidRPr="00F9425E">
              <w:t>3</w:t>
            </w:r>
            <w:r w:rsidR="00671AB5" w:rsidRPr="00F9425E">
              <w:t xml:space="preserve">0 </w:t>
            </w:r>
            <w:r w:rsidRPr="00F9425E">
              <w:t>A</w:t>
            </w:r>
            <w:r w:rsidR="00671AB5" w:rsidRPr="00F9425E">
              <w:t>M</w:t>
            </w:r>
          </w:p>
        </w:tc>
        <w:tc>
          <w:tcPr>
            <w:tcW w:w="5886" w:type="dxa"/>
          </w:tcPr>
          <w:p w14:paraId="53DCE966" w14:textId="77777777" w:rsidR="001F3858" w:rsidRDefault="001F3858" w:rsidP="001F3858">
            <w:pPr>
              <w:pStyle w:val="TableBody"/>
            </w:pPr>
            <w:r>
              <w:t>Kansas Housing Resources Corp</w:t>
            </w:r>
          </w:p>
          <w:p w14:paraId="3906C4AA" w14:textId="72942718" w:rsidR="00671AB5" w:rsidRDefault="001F3858" w:rsidP="002555A9">
            <w:pPr>
              <w:pStyle w:val="TableBody"/>
            </w:pPr>
            <w:r>
              <w:t>KHRC Main Conference Room</w:t>
            </w:r>
          </w:p>
          <w:p w14:paraId="53B385F3" w14:textId="373F5C75" w:rsidR="00671AB5" w:rsidRDefault="001F3858" w:rsidP="002555A9">
            <w:pPr>
              <w:pStyle w:val="TableBody"/>
            </w:pPr>
            <w:r>
              <w:t>611 S Kansas Ave, Suite 300</w:t>
            </w:r>
          </w:p>
          <w:p w14:paraId="29268D1A" w14:textId="3CCDE4D4" w:rsidR="00671AB5" w:rsidRDefault="001F3858" w:rsidP="002555A9">
            <w:pPr>
              <w:pStyle w:val="TableBody"/>
            </w:pPr>
            <w:r>
              <w:t>Topeka</w:t>
            </w:r>
            <w:r w:rsidR="00671AB5">
              <w:t>, KS</w:t>
            </w:r>
          </w:p>
        </w:tc>
      </w:tr>
      <w:tr w:rsidR="00671AB5" w14:paraId="1F9443F8" w14:textId="77777777" w:rsidTr="002555A9">
        <w:trPr>
          <w:trHeight w:val="727"/>
        </w:trPr>
        <w:tc>
          <w:tcPr>
            <w:tcW w:w="1737" w:type="dxa"/>
          </w:tcPr>
          <w:p w14:paraId="612A8520" w14:textId="3BF3B45E" w:rsidR="00671AB5" w:rsidRPr="00F9425E" w:rsidRDefault="001F3858" w:rsidP="002555A9">
            <w:pPr>
              <w:pStyle w:val="TableBody"/>
            </w:pPr>
            <w:r w:rsidRPr="00F9425E">
              <w:t>October</w:t>
            </w:r>
            <w:r w:rsidR="00671AB5" w:rsidRPr="00F9425E">
              <w:t xml:space="preserve"> </w:t>
            </w:r>
            <w:r w:rsidRPr="00F9425E">
              <w:t>3</w:t>
            </w:r>
            <w:r w:rsidR="00671AB5" w:rsidRPr="00F9425E">
              <w:t>, 201</w:t>
            </w:r>
            <w:r w:rsidRPr="00F9425E">
              <w:t>8</w:t>
            </w:r>
          </w:p>
        </w:tc>
        <w:tc>
          <w:tcPr>
            <w:tcW w:w="1440" w:type="dxa"/>
          </w:tcPr>
          <w:p w14:paraId="37420F7E" w14:textId="77777777" w:rsidR="00671AB5" w:rsidRPr="00F9425E" w:rsidRDefault="00671AB5" w:rsidP="002555A9">
            <w:pPr>
              <w:pStyle w:val="TableBody"/>
              <w:jc w:val="center"/>
            </w:pPr>
            <w:r w:rsidRPr="00F9425E">
              <w:t>10:30 AM</w:t>
            </w:r>
          </w:p>
        </w:tc>
        <w:tc>
          <w:tcPr>
            <w:tcW w:w="5886" w:type="dxa"/>
          </w:tcPr>
          <w:p w14:paraId="631E7E38" w14:textId="77777777" w:rsidR="001F3858" w:rsidRDefault="001F3858" w:rsidP="001F3858">
            <w:pPr>
              <w:pStyle w:val="TableBody"/>
            </w:pPr>
            <w:r>
              <w:t>Kansas Housing Resources Corp</w:t>
            </w:r>
          </w:p>
          <w:p w14:paraId="23DD1771" w14:textId="77777777" w:rsidR="001F3858" w:rsidRDefault="001F3858" w:rsidP="001F3858">
            <w:pPr>
              <w:pStyle w:val="TableBody"/>
            </w:pPr>
            <w:r>
              <w:t>KHRC Main Conference Room</w:t>
            </w:r>
          </w:p>
          <w:p w14:paraId="73D90F82" w14:textId="77777777" w:rsidR="001F3858" w:rsidRDefault="001F3858" w:rsidP="001F3858">
            <w:pPr>
              <w:pStyle w:val="TableBody"/>
            </w:pPr>
            <w:r>
              <w:t>611 S Kansas Ave, Suite 300</w:t>
            </w:r>
          </w:p>
          <w:p w14:paraId="78A9A7B8" w14:textId="6934D6AD" w:rsidR="00671AB5" w:rsidRDefault="001F3858" w:rsidP="001F3858">
            <w:pPr>
              <w:pStyle w:val="TableBody"/>
            </w:pPr>
            <w:r>
              <w:t>Topeka, KS</w:t>
            </w:r>
          </w:p>
        </w:tc>
      </w:tr>
    </w:tbl>
    <w:p w14:paraId="29582206" w14:textId="4835FF23" w:rsidR="00671AB5" w:rsidRDefault="00825BC6" w:rsidP="00671AB5">
      <w:pPr>
        <w:pStyle w:val="Source"/>
        <w:rPr>
          <w:i w:val="0"/>
          <w:sz w:val="24"/>
        </w:rPr>
      </w:pPr>
      <w:r w:rsidRPr="00825BC6">
        <w:rPr>
          <w:i w:val="0"/>
          <w:sz w:val="24"/>
        </w:rPr>
        <w:t xml:space="preserve">The state </w:t>
      </w:r>
      <w:r>
        <w:rPr>
          <w:i w:val="0"/>
          <w:sz w:val="24"/>
        </w:rPr>
        <w:t xml:space="preserve">also conducted ten (10) </w:t>
      </w:r>
      <w:r w:rsidR="005D22C5">
        <w:rPr>
          <w:i w:val="0"/>
          <w:sz w:val="24"/>
        </w:rPr>
        <w:t xml:space="preserve">90-minute </w:t>
      </w:r>
      <w:r>
        <w:rPr>
          <w:i w:val="0"/>
          <w:sz w:val="24"/>
        </w:rPr>
        <w:t>remote web sessions based on the following topics:</w:t>
      </w:r>
    </w:p>
    <w:p w14:paraId="250E40D5" w14:textId="06152286" w:rsidR="00825BC6" w:rsidRPr="00E6231E" w:rsidRDefault="00825BC6" w:rsidP="00A121EE">
      <w:pPr>
        <w:pStyle w:val="Body"/>
        <w:numPr>
          <w:ilvl w:val="0"/>
          <w:numId w:val="20"/>
        </w:numPr>
        <w:spacing w:line="240" w:lineRule="auto"/>
        <w:contextualSpacing/>
        <w:rPr>
          <w:sz w:val="24"/>
        </w:rPr>
      </w:pPr>
      <w:r w:rsidRPr="00E6231E">
        <w:rPr>
          <w:sz w:val="24"/>
        </w:rPr>
        <w:t>Housing</w:t>
      </w:r>
    </w:p>
    <w:p w14:paraId="73DA2F44" w14:textId="5C8EE0F0" w:rsidR="00825BC6" w:rsidRPr="00E6231E" w:rsidRDefault="00825BC6" w:rsidP="00A121EE">
      <w:pPr>
        <w:pStyle w:val="Body"/>
        <w:numPr>
          <w:ilvl w:val="0"/>
          <w:numId w:val="20"/>
        </w:numPr>
        <w:spacing w:line="240" w:lineRule="auto"/>
        <w:contextualSpacing/>
        <w:rPr>
          <w:sz w:val="24"/>
        </w:rPr>
      </w:pPr>
      <w:r w:rsidRPr="00E6231E">
        <w:rPr>
          <w:sz w:val="24"/>
        </w:rPr>
        <w:t>CDBG Recipients</w:t>
      </w:r>
    </w:p>
    <w:p w14:paraId="70584840" w14:textId="304F62CA" w:rsidR="00825BC6" w:rsidRPr="00E6231E" w:rsidRDefault="00825BC6" w:rsidP="00A121EE">
      <w:pPr>
        <w:pStyle w:val="Body"/>
        <w:numPr>
          <w:ilvl w:val="0"/>
          <w:numId w:val="20"/>
        </w:numPr>
        <w:spacing w:line="240" w:lineRule="auto"/>
        <w:contextualSpacing/>
        <w:rPr>
          <w:sz w:val="24"/>
        </w:rPr>
      </w:pPr>
      <w:r w:rsidRPr="00E6231E">
        <w:rPr>
          <w:sz w:val="24"/>
        </w:rPr>
        <w:t>Homelessness</w:t>
      </w:r>
    </w:p>
    <w:p w14:paraId="708DA48A" w14:textId="6AA8703A" w:rsidR="00825BC6" w:rsidRPr="00E6231E" w:rsidRDefault="00825BC6" w:rsidP="00A121EE">
      <w:pPr>
        <w:pStyle w:val="Body"/>
        <w:numPr>
          <w:ilvl w:val="0"/>
          <w:numId w:val="20"/>
        </w:numPr>
        <w:spacing w:line="240" w:lineRule="auto"/>
        <w:contextualSpacing/>
        <w:rPr>
          <w:sz w:val="24"/>
        </w:rPr>
      </w:pPr>
      <w:r w:rsidRPr="00E6231E">
        <w:rPr>
          <w:sz w:val="24"/>
        </w:rPr>
        <w:t>Economic Development</w:t>
      </w:r>
    </w:p>
    <w:p w14:paraId="5AE6439A" w14:textId="09E76E69" w:rsidR="00825BC6" w:rsidRPr="00E6231E" w:rsidRDefault="00825BC6" w:rsidP="00A121EE">
      <w:pPr>
        <w:pStyle w:val="Body"/>
        <w:numPr>
          <w:ilvl w:val="0"/>
          <w:numId w:val="20"/>
        </w:numPr>
        <w:spacing w:line="240" w:lineRule="auto"/>
        <w:contextualSpacing/>
        <w:rPr>
          <w:sz w:val="24"/>
        </w:rPr>
      </w:pPr>
      <w:r w:rsidRPr="00E6231E">
        <w:rPr>
          <w:sz w:val="24"/>
        </w:rPr>
        <w:t>Fair Housing</w:t>
      </w:r>
    </w:p>
    <w:p w14:paraId="0E836C71" w14:textId="62E3EAAA" w:rsidR="00825BC6" w:rsidRPr="00E6231E" w:rsidRDefault="00825BC6" w:rsidP="00825BC6">
      <w:pPr>
        <w:pStyle w:val="Body"/>
        <w:spacing w:line="240" w:lineRule="auto"/>
        <w:contextualSpacing/>
        <w:rPr>
          <w:sz w:val="24"/>
        </w:rPr>
      </w:pPr>
    </w:p>
    <w:p w14:paraId="5CAE5DC3" w14:textId="2F450167" w:rsidR="00825BC6" w:rsidRPr="00E6231E" w:rsidRDefault="00825BC6" w:rsidP="00825BC6">
      <w:pPr>
        <w:pStyle w:val="Body"/>
        <w:spacing w:line="240" w:lineRule="auto"/>
        <w:contextualSpacing/>
        <w:rPr>
          <w:sz w:val="24"/>
        </w:rPr>
      </w:pPr>
      <w:r w:rsidRPr="00E6231E">
        <w:rPr>
          <w:sz w:val="24"/>
        </w:rPr>
        <w:t>Each session topic was held two times to offer two options for those individuals wishing to attend. Each session was recorded, and a summary of all topics discussed was recorded. Those recording</w:t>
      </w:r>
      <w:r w:rsidR="00E6231E" w:rsidRPr="00E6231E">
        <w:rPr>
          <w:sz w:val="24"/>
        </w:rPr>
        <w:t>s</w:t>
      </w:r>
      <w:r w:rsidRPr="00E6231E">
        <w:rPr>
          <w:sz w:val="24"/>
        </w:rPr>
        <w:t xml:space="preserve"> and the summary of each web session is available at: </w:t>
      </w:r>
      <w:hyperlink r:id="rId15" w:history="1">
        <w:r w:rsidRPr="00E6231E">
          <w:rPr>
            <w:rStyle w:val="Hyperlink"/>
            <w:sz w:val="24"/>
          </w:rPr>
          <w:t>https://kansasfairhousing.com/</w:t>
        </w:r>
      </w:hyperlink>
    </w:p>
    <w:p w14:paraId="351E0C28" w14:textId="77777777" w:rsidR="00671AB5" w:rsidRDefault="00671AB5" w:rsidP="00671AB5">
      <w:pPr>
        <w:pStyle w:val="TableTitle"/>
        <w:ind w:left="1080" w:hanging="1080"/>
      </w:pPr>
      <w:r>
        <w:t>Citizen Participation Outreach</w:t>
      </w:r>
    </w:p>
    <w:tbl>
      <w:tblPr>
        <w:tblStyle w:val="ListTable4-Accent1"/>
        <w:tblW w:w="4851" w:type="pct"/>
        <w:tblLook w:val="0420" w:firstRow="1" w:lastRow="0" w:firstColumn="0" w:lastColumn="0" w:noHBand="0" w:noVBand="1"/>
      </w:tblPr>
      <w:tblGrid>
        <w:gridCol w:w="1451"/>
        <w:gridCol w:w="1197"/>
        <w:gridCol w:w="350"/>
        <w:gridCol w:w="1801"/>
        <w:gridCol w:w="3036"/>
        <w:gridCol w:w="1236"/>
      </w:tblGrid>
      <w:tr w:rsidR="002E1883" w14:paraId="5F81C628" w14:textId="77777777" w:rsidTr="009867E7">
        <w:trPr>
          <w:cnfStyle w:val="100000000000" w:firstRow="1" w:lastRow="0" w:firstColumn="0" w:lastColumn="0" w:oddVBand="0" w:evenVBand="0" w:oddHBand="0" w:evenHBand="0" w:firstRowFirstColumn="0" w:firstRowLastColumn="0" w:lastRowFirstColumn="0" w:lastRowLastColumn="0"/>
          <w:trHeight w:val="977"/>
        </w:trPr>
        <w:tc>
          <w:tcPr>
            <w:tcW w:w="1451" w:type="dxa"/>
          </w:tcPr>
          <w:p w14:paraId="5CC53B69" w14:textId="77777777" w:rsidR="00671AB5" w:rsidRPr="00BC0933" w:rsidRDefault="00671AB5" w:rsidP="002555A9">
            <w:pPr>
              <w:pStyle w:val="TableHeader"/>
              <w:jc w:val="center"/>
              <w:rPr>
                <w:b/>
                <w:sz w:val="22"/>
              </w:rPr>
            </w:pPr>
            <w:r w:rsidRPr="00BC0933">
              <w:rPr>
                <w:sz w:val="22"/>
              </w:rPr>
              <w:t>Mode of Outreach</w:t>
            </w:r>
          </w:p>
        </w:tc>
        <w:tc>
          <w:tcPr>
            <w:tcW w:w="1197" w:type="dxa"/>
          </w:tcPr>
          <w:p w14:paraId="15852608" w14:textId="77777777" w:rsidR="00671AB5" w:rsidRPr="00BC0933" w:rsidRDefault="00671AB5" w:rsidP="002555A9">
            <w:pPr>
              <w:pStyle w:val="TableHeader"/>
              <w:jc w:val="center"/>
              <w:rPr>
                <w:b/>
                <w:sz w:val="22"/>
              </w:rPr>
            </w:pPr>
            <w:r w:rsidRPr="00BC0933">
              <w:rPr>
                <w:sz w:val="22"/>
              </w:rPr>
              <w:t>Target of Outreach</w:t>
            </w:r>
          </w:p>
        </w:tc>
        <w:tc>
          <w:tcPr>
            <w:tcW w:w="2151" w:type="dxa"/>
            <w:gridSpan w:val="2"/>
          </w:tcPr>
          <w:p w14:paraId="3010B030" w14:textId="77777777" w:rsidR="00671AB5" w:rsidRPr="00BC0933" w:rsidRDefault="00671AB5" w:rsidP="002555A9">
            <w:pPr>
              <w:pStyle w:val="TableHeader"/>
              <w:jc w:val="center"/>
              <w:rPr>
                <w:b/>
                <w:sz w:val="22"/>
              </w:rPr>
            </w:pPr>
            <w:r w:rsidRPr="00BC0933">
              <w:rPr>
                <w:sz w:val="22"/>
              </w:rPr>
              <w:t>Summary of response/attendance</w:t>
            </w:r>
          </w:p>
        </w:tc>
        <w:tc>
          <w:tcPr>
            <w:tcW w:w="3036" w:type="dxa"/>
          </w:tcPr>
          <w:p w14:paraId="0B43EC85" w14:textId="77777777" w:rsidR="00671AB5" w:rsidRPr="00BC0933" w:rsidRDefault="00671AB5" w:rsidP="002555A9">
            <w:pPr>
              <w:pStyle w:val="TableHeader"/>
              <w:jc w:val="center"/>
              <w:rPr>
                <w:b/>
                <w:sz w:val="22"/>
              </w:rPr>
            </w:pPr>
            <w:r w:rsidRPr="00BC0933">
              <w:rPr>
                <w:sz w:val="22"/>
              </w:rPr>
              <w:t>Summary of comments received</w:t>
            </w:r>
          </w:p>
        </w:tc>
        <w:tc>
          <w:tcPr>
            <w:tcW w:w="1236" w:type="dxa"/>
          </w:tcPr>
          <w:p w14:paraId="47D55DF1" w14:textId="55080217" w:rsidR="00671AB5" w:rsidRPr="00BC0933" w:rsidRDefault="00671AB5" w:rsidP="002555A9">
            <w:pPr>
              <w:pStyle w:val="TableHeader"/>
              <w:jc w:val="center"/>
              <w:rPr>
                <w:b/>
                <w:sz w:val="22"/>
              </w:rPr>
            </w:pPr>
            <w:r w:rsidRPr="00BC0933">
              <w:rPr>
                <w:sz w:val="22"/>
              </w:rPr>
              <w:t xml:space="preserve">Summary of comments not accepted </w:t>
            </w:r>
          </w:p>
        </w:tc>
      </w:tr>
      <w:tr w:rsidR="00E6231E" w14:paraId="34CAF25A" w14:textId="77777777" w:rsidTr="009867E7">
        <w:trPr>
          <w:cnfStyle w:val="000000100000" w:firstRow="0" w:lastRow="0" w:firstColumn="0" w:lastColumn="0" w:oddVBand="0" w:evenVBand="0" w:oddHBand="1" w:evenHBand="0" w:firstRowFirstColumn="0" w:firstRowLastColumn="0" w:lastRowFirstColumn="0" w:lastRowLastColumn="0"/>
          <w:trHeight w:val="854"/>
        </w:trPr>
        <w:tc>
          <w:tcPr>
            <w:tcW w:w="1451" w:type="dxa"/>
          </w:tcPr>
          <w:p w14:paraId="0627E5E2" w14:textId="2CCC067F" w:rsidR="00E6231E" w:rsidRPr="002E1883" w:rsidRDefault="00E6231E" w:rsidP="002555A9">
            <w:pPr>
              <w:pStyle w:val="TableBody"/>
              <w:rPr>
                <w:sz w:val="22"/>
              </w:rPr>
            </w:pPr>
            <w:r>
              <w:rPr>
                <w:sz w:val="22"/>
              </w:rPr>
              <w:t>10 Web sessions</w:t>
            </w:r>
          </w:p>
        </w:tc>
        <w:tc>
          <w:tcPr>
            <w:tcW w:w="1547" w:type="dxa"/>
            <w:gridSpan w:val="2"/>
          </w:tcPr>
          <w:p w14:paraId="43AAC01B" w14:textId="0C3298FF" w:rsidR="00E6231E" w:rsidRPr="002E1883" w:rsidRDefault="00E6231E" w:rsidP="002555A9">
            <w:pPr>
              <w:pStyle w:val="TableBody"/>
              <w:rPr>
                <w:sz w:val="22"/>
              </w:rPr>
            </w:pPr>
            <w:r>
              <w:rPr>
                <w:sz w:val="22"/>
              </w:rPr>
              <w:t>Statewide</w:t>
            </w:r>
          </w:p>
        </w:tc>
        <w:tc>
          <w:tcPr>
            <w:tcW w:w="1801" w:type="dxa"/>
          </w:tcPr>
          <w:p w14:paraId="08989DB5" w14:textId="34C4C6DE" w:rsidR="00E6231E" w:rsidRPr="002E1883" w:rsidRDefault="00E6231E" w:rsidP="002555A9">
            <w:pPr>
              <w:pStyle w:val="TableBody"/>
              <w:rPr>
                <w:sz w:val="22"/>
              </w:rPr>
            </w:pPr>
            <w:r>
              <w:rPr>
                <w:sz w:val="22"/>
              </w:rPr>
              <w:t>50+ persons</w:t>
            </w:r>
          </w:p>
        </w:tc>
        <w:tc>
          <w:tcPr>
            <w:tcW w:w="3036" w:type="dxa"/>
          </w:tcPr>
          <w:p w14:paraId="7876747C" w14:textId="77777777" w:rsidR="00E6231E" w:rsidRDefault="00E6231E" w:rsidP="002555A9">
            <w:pPr>
              <w:pStyle w:val="TableBody"/>
              <w:rPr>
                <w:sz w:val="22"/>
              </w:rPr>
            </w:pPr>
            <w:r>
              <w:rPr>
                <w:sz w:val="22"/>
              </w:rPr>
              <w:t>All summaries can be found at:</w:t>
            </w:r>
          </w:p>
          <w:p w14:paraId="22159FC7" w14:textId="7A922E52" w:rsidR="00E6231E" w:rsidRDefault="00F85DD5" w:rsidP="002555A9">
            <w:pPr>
              <w:pStyle w:val="TableBody"/>
              <w:rPr>
                <w:sz w:val="22"/>
              </w:rPr>
            </w:pPr>
            <w:hyperlink r:id="rId16" w:history="1">
              <w:r w:rsidR="00E6231E" w:rsidRPr="009E2563">
                <w:rPr>
                  <w:rStyle w:val="Hyperlink"/>
                  <w:sz w:val="22"/>
                </w:rPr>
                <w:t>https://kansasfairhousing.com/</w:t>
              </w:r>
            </w:hyperlink>
          </w:p>
          <w:p w14:paraId="61E6F0AF" w14:textId="32989194" w:rsidR="00E6231E" w:rsidRPr="002E1883" w:rsidRDefault="00E6231E" w:rsidP="002555A9">
            <w:pPr>
              <w:pStyle w:val="TableBody"/>
              <w:rPr>
                <w:sz w:val="22"/>
              </w:rPr>
            </w:pPr>
          </w:p>
        </w:tc>
        <w:tc>
          <w:tcPr>
            <w:tcW w:w="1236" w:type="dxa"/>
          </w:tcPr>
          <w:p w14:paraId="73AC51CC" w14:textId="77777777" w:rsidR="00E6231E" w:rsidRPr="002E1883" w:rsidRDefault="00E6231E" w:rsidP="002555A9">
            <w:pPr>
              <w:pStyle w:val="TableBody"/>
              <w:rPr>
                <w:sz w:val="22"/>
              </w:rPr>
            </w:pPr>
          </w:p>
        </w:tc>
      </w:tr>
      <w:tr w:rsidR="002E1883" w14:paraId="1501DDE8" w14:textId="77777777" w:rsidTr="009867E7">
        <w:trPr>
          <w:trHeight w:val="1729"/>
        </w:trPr>
        <w:tc>
          <w:tcPr>
            <w:tcW w:w="1451" w:type="dxa"/>
          </w:tcPr>
          <w:p w14:paraId="109BE40C" w14:textId="04AB0433" w:rsidR="00671AB5" w:rsidRPr="002E1883" w:rsidRDefault="00671AB5" w:rsidP="002555A9">
            <w:pPr>
              <w:pStyle w:val="TableBody"/>
              <w:rPr>
                <w:sz w:val="22"/>
              </w:rPr>
            </w:pPr>
            <w:r w:rsidRPr="002E1883">
              <w:rPr>
                <w:sz w:val="22"/>
              </w:rPr>
              <w:t xml:space="preserve">Notice Placed on KHRC’s Website: </w:t>
            </w:r>
            <w:r w:rsidR="00AB37DB">
              <w:rPr>
                <w:sz w:val="22"/>
              </w:rPr>
              <w:t>October 1, 2018</w:t>
            </w:r>
            <w:r w:rsidRPr="002E1883">
              <w:rPr>
                <w:sz w:val="22"/>
              </w:rPr>
              <w:t xml:space="preserve"> </w:t>
            </w:r>
          </w:p>
        </w:tc>
        <w:tc>
          <w:tcPr>
            <w:tcW w:w="1547" w:type="dxa"/>
            <w:gridSpan w:val="2"/>
          </w:tcPr>
          <w:p w14:paraId="478848F8" w14:textId="77777777" w:rsidR="00671AB5" w:rsidRPr="002E1883" w:rsidRDefault="00671AB5" w:rsidP="002555A9">
            <w:pPr>
              <w:pStyle w:val="TableBody"/>
              <w:rPr>
                <w:sz w:val="22"/>
              </w:rPr>
            </w:pPr>
            <w:r w:rsidRPr="002E1883">
              <w:rPr>
                <w:sz w:val="22"/>
              </w:rPr>
              <w:t>Statewide; an email and hardcopy of the notice was sent to a statewide databank</w:t>
            </w:r>
          </w:p>
        </w:tc>
        <w:tc>
          <w:tcPr>
            <w:tcW w:w="1801" w:type="dxa"/>
          </w:tcPr>
          <w:p w14:paraId="52643D2A" w14:textId="4E7C8914" w:rsidR="00671AB5" w:rsidRPr="002E1883" w:rsidRDefault="007605E0" w:rsidP="002555A9">
            <w:pPr>
              <w:pStyle w:val="TableBody"/>
              <w:rPr>
                <w:sz w:val="22"/>
              </w:rPr>
            </w:pPr>
            <w:r>
              <w:rPr>
                <w:sz w:val="22"/>
              </w:rPr>
              <w:t xml:space="preserve">To be updated after public comment. </w:t>
            </w:r>
          </w:p>
        </w:tc>
        <w:tc>
          <w:tcPr>
            <w:tcW w:w="3036" w:type="dxa"/>
          </w:tcPr>
          <w:p w14:paraId="6A8B63C0" w14:textId="4BE53726" w:rsidR="00671AB5" w:rsidRPr="002E1883" w:rsidRDefault="007605E0" w:rsidP="002555A9">
            <w:pPr>
              <w:pStyle w:val="TableBody"/>
              <w:rPr>
                <w:sz w:val="22"/>
              </w:rPr>
            </w:pPr>
            <w:r>
              <w:rPr>
                <w:sz w:val="22"/>
              </w:rPr>
              <w:t xml:space="preserve">To be updated after public comment. </w:t>
            </w:r>
          </w:p>
        </w:tc>
        <w:tc>
          <w:tcPr>
            <w:tcW w:w="1236" w:type="dxa"/>
          </w:tcPr>
          <w:p w14:paraId="007EA162" w14:textId="7B77F067" w:rsidR="00671AB5" w:rsidRPr="002E1883" w:rsidRDefault="00671AB5" w:rsidP="002555A9">
            <w:pPr>
              <w:pStyle w:val="TableBody"/>
              <w:rPr>
                <w:sz w:val="22"/>
              </w:rPr>
            </w:pPr>
          </w:p>
        </w:tc>
      </w:tr>
      <w:tr w:rsidR="002E1883" w14:paraId="58B0BDCE" w14:textId="77777777" w:rsidTr="009867E7">
        <w:trPr>
          <w:cnfStyle w:val="000000100000" w:firstRow="0" w:lastRow="0" w:firstColumn="0" w:lastColumn="0" w:oddVBand="0" w:evenVBand="0" w:oddHBand="1" w:evenHBand="0" w:firstRowFirstColumn="0" w:firstRowLastColumn="0" w:lastRowFirstColumn="0" w:lastRowLastColumn="0"/>
          <w:trHeight w:val="1473"/>
        </w:trPr>
        <w:tc>
          <w:tcPr>
            <w:tcW w:w="1451" w:type="dxa"/>
          </w:tcPr>
          <w:p w14:paraId="03AAD4B1" w14:textId="335A8ED9" w:rsidR="00671AB5" w:rsidRPr="002E1883" w:rsidRDefault="00671AB5" w:rsidP="002555A9">
            <w:pPr>
              <w:pStyle w:val="TableBody"/>
              <w:rPr>
                <w:sz w:val="22"/>
              </w:rPr>
            </w:pPr>
            <w:r w:rsidRPr="002E1883">
              <w:rPr>
                <w:sz w:val="22"/>
              </w:rPr>
              <w:t xml:space="preserve">Notice Placed in the Kansas Register: </w:t>
            </w:r>
            <w:r w:rsidR="00AB37DB">
              <w:rPr>
                <w:sz w:val="22"/>
              </w:rPr>
              <w:t>October 1, 2018</w:t>
            </w:r>
          </w:p>
        </w:tc>
        <w:tc>
          <w:tcPr>
            <w:tcW w:w="1547" w:type="dxa"/>
            <w:gridSpan w:val="2"/>
          </w:tcPr>
          <w:p w14:paraId="4BAE4D40" w14:textId="77777777" w:rsidR="00671AB5" w:rsidRPr="002E1883" w:rsidRDefault="00671AB5" w:rsidP="002555A9">
            <w:pPr>
              <w:pStyle w:val="TableBody"/>
              <w:rPr>
                <w:sz w:val="22"/>
              </w:rPr>
            </w:pPr>
            <w:r w:rsidRPr="002E1883">
              <w:rPr>
                <w:sz w:val="22"/>
              </w:rPr>
              <w:t>Statewide</w:t>
            </w:r>
          </w:p>
        </w:tc>
        <w:tc>
          <w:tcPr>
            <w:tcW w:w="1801" w:type="dxa"/>
          </w:tcPr>
          <w:p w14:paraId="78D66242" w14:textId="5836B741" w:rsidR="00671AB5" w:rsidRPr="002E1883" w:rsidRDefault="007605E0" w:rsidP="002555A9">
            <w:pPr>
              <w:pStyle w:val="TableBody"/>
              <w:rPr>
                <w:sz w:val="22"/>
              </w:rPr>
            </w:pPr>
            <w:r>
              <w:rPr>
                <w:sz w:val="22"/>
              </w:rPr>
              <w:t xml:space="preserve">To be updated after public comment. </w:t>
            </w:r>
          </w:p>
        </w:tc>
        <w:tc>
          <w:tcPr>
            <w:tcW w:w="3036" w:type="dxa"/>
          </w:tcPr>
          <w:p w14:paraId="53846394" w14:textId="75E876CA" w:rsidR="00671AB5" w:rsidRPr="002E1883" w:rsidRDefault="007605E0" w:rsidP="002555A9">
            <w:pPr>
              <w:pStyle w:val="TableBody"/>
              <w:rPr>
                <w:sz w:val="22"/>
              </w:rPr>
            </w:pPr>
            <w:r>
              <w:rPr>
                <w:sz w:val="22"/>
              </w:rPr>
              <w:t xml:space="preserve">To be updated after public comment. </w:t>
            </w:r>
          </w:p>
        </w:tc>
        <w:tc>
          <w:tcPr>
            <w:tcW w:w="1236" w:type="dxa"/>
          </w:tcPr>
          <w:p w14:paraId="18ED0A4C" w14:textId="75F28BA9" w:rsidR="00671AB5" w:rsidRPr="002E1883" w:rsidRDefault="00671AB5" w:rsidP="002555A9">
            <w:pPr>
              <w:pStyle w:val="TableBody"/>
              <w:rPr>
                <w:sz w:val="22"/>
              </w:rPr>
            </w:pPr>
          </w:p>
        </w:tc>
      </w:tr>
    </w:tbl>
    <w:p w14:paraId="769E55DF" w14:textId="77777777" w:rsidR="009867E7" w:rsidRDefault="009867E7" w:rsidP="009867E7">
      <w:pPr>
        <w:pStyle w:val="Heading1"/>
        <w:pageBreakBefore/>
        <w:jc w:val="center"/>
        <w:rPr>
          <w:rFonts w:ascii="Calibri" w:hAnsi="Calibri"/>
          <w:color w:val="auto"/>
          <w:sz w:val="32"/>
          <w:szCs w:val="32"/>
        </w:rPr>
      </w:pPr>
      <w:bookmarkStart w:id="21" w:name="_Toc309810471"/>
      <w:bookmarkStart w:id="22" w:name="_Toc524603008"/>
      <w:r>
        <w:rPr>
          <w:rFonts w:ascii="Calibri" w:hAnsi="Calibri"/>
          <w:color w:val="auto"/>
          <w:sz w:val="32"/>
          <w:szCs w:val="32"/>
        </w:rPr>
        <w:t>Needs Assessment</w:t>
      </w:r>
      <w:bookmarkEnd w:id="21"/>
      <w:bookmarkEnd w:id="22"/>
    </w:p>
    <w:p w14:paraId="33513C1B" w14:textId="77777777" w:rsidR="009867E7" w:rsidRDefault="009867E7" w:rsidP="009867E7">
      <w:pPr>
        <w:pStyle w:val="Heading2"/>
        <w:shd w:val="clear" w:color="auto" w:fill="95B3D7" w:themeFill="accent1" w:themeFillTint="99"/>
        <w:rPr>
          <w:rFonts w:ascii="Calibri" w:hAnsi="Calibri"/>
          <w:i w:val="0"/>
        </w:rPr>
      </w:pPr>
      <w:bookmarkStart w:id="23" w:name="_Toc524603009"/>
      <w:r>
        <w:rPr>
          <w:rFonts w:ascii="Calibri" w:hAnsi="Calibri"/>
          <w:i w:val="0"/>
        </w:rPr>
        <w:t>NA-05 Overview</w:t>
      </w:r>
      <w:bookmarkEnd w:id="23"/>
    </w:p>
    <w:p w14:paraId="4E7BA775" w14:textId="77777777" w:rsidR="009867E7" w:rsidRDefault="009867E7" w:rsidP="009867E7">
      <w:pPr>
        <w:rPr>
          <w:b/>
          <w:sz w:val="24"/>
          <w:szCs w:val="24"/>
        </w:rPr>
      </w:pPr>
      <w:r>
        <w:rPr>
          <w:b/>
          <w:sz w:val="24"/>
          <w:szCs w:val="24"/>
        </w:rPr>
        <w:t>Needs Assessment Overview</w:t>
      </w:r>
    </w:p>
    <w:p w14:paraId="78D41090" w14:textId="77777777" w:rsidR="009867E7" w:rsidRDefault="009867E7" w:rsidP="009867E7">
      <w:pPr>
        <w:pStyle w:val="Body"/>
        <w:spacing w:line="240" w:lineRule="auto"/>
        <w:contextualSpacing/>
        <w:jc w:val="both"/>
        <w:rPr>
          <w:rFonts w:asciiTheme="minorHAnsi" w:hAnsiTheme="minorHAnsi"/>
          <w:sz w:val="24"/>
          <w:szCs w:val="24"/>
        </w:rPr>
      </w:pPr>
      <w:r w:rsidRPr="000C0AF2">
        <w:rPr>
          <w:rFonts w:asciiTheme="minorHAnsi" w:hAnsiTheme="minorHAnsi"/>
          <w:sz w:val="24"/>
          <w:szCs w:val="24"/>
        </w:rPr>
        <w:t xml:space="preserve">Based on the data and analysis included within this section of the Strategic Plan, </w:t>
      </w:r>
      <w:r>
        <w:rPr>
          <w:rFonts w:asciiTheme="minorHAnsi" w:hAnsiTheme="minorHAnsi"/>
          <w:sz w:val="24"/>
          <w:szCs w:val="24"/>
        </w:rPr>
        <w:t xml:space="preserve">and </w:t>
      </w:r>
      <w:r w:rsidRPr="000C0AF2">
        <w:rPr>
          <w:rFonts w:asciiTheme="minorHAnsi" w:hAnsiTheme="minorHAnsi"/>
          <w:sz w:val="24"/>
          <w:szCs w:val="24"/>
        </w:rPr>
        <w:t>interviews and group discussions held with service providers, the following housing needs</w:t>
      </w:r>
      <w:r>
        <w:rPr>
          <w:rFonts w:asciiTheme="minorHAnsi" w:hAnsiTheme="minorHAnsi"/>
          <w:sz w:val="24"/>
          <w:szCs w:val="24"/>
        </w:rPr>
        <w:t xml:space="preserve"> can be identified</w:t>
      </w:r>
      <w:r w:rsidRPr="000C0AF2">
        <w:rPr>
          <w:rFonts w:asciiTheme="minorHAnsi" w:hAnsiTheme="minorHAnsi"/>
          <w:sz w:val="24"/>
          <w:szCs w:val="24"/>
        </w:rPr>
        <w:t xml:space="preserve"> in the State of Kansas:</w:t>
      </w:r>
    </w:p>
    <w:p w14:paraId="7A8C5514" w14:textId="77777777" w:rsidR="009867E7" w:rsidRDefault="009867E7" w:rsidP="009867E7">
      <w:pPr>
        <w:pStyle w:val="Body"/>
        <w:spacing w:line="240" w:lineRule="auto"/>
        <w:contextualSpacing/>
        <w:jc w:val="both"/>
        <w:rPr>
          <w:rFonts w:asciiTheme="minorHAnsi" w:hAnsiTheme="minorHAnsi"/>
          <w:sz w:val="24"/>
          <w:szCs w:val="24"/>
        </w:rPr>
      </w:pPr>
    </w:p>
    <w:p w14:paraId="74A8C857" w14:textId="77777777" w:rsidR="009867E7" w:rsidRDefault="009867E7" w:rsidP="009867E7">
      <w:pPr>
        <w:pStyle w:val="Body"/>
        <w:spacing w:line="240" w:lineRule="auto"/>
        <w:contextualSpacing/>
        <w:jc w:val="both"/>
        <w:rPr>
          <w:rFonts w:asciiTheme="minorHAnsi" w:hAnsiTheme="minorHAnsi"/>
          <w:sz w:val="24"/>
          <w:szCs w:val="24"/>
        </w:rPr>
      </w:pPr>
      <w:r>
        <w:rPr>
          <w:rFonts w:asciiTheme="minorHAnsi" w:hAnsiTheme="minorHAnsi"/>
          <w:sz w:val="24"/>
          <w:szCs w:val="24"/>
        </w:rPr>
        <w:t xml:space="preserve">The following gives a brief overview of the Needs Assessment results, with more detailed information included in each corresponding section. </w:t>
      </w:r>
    </w:p>
    <w:p w14:paraId="0A1A96FD" w14:textId="77777777" w:rsidR="009867E7" w:rsidRDefault="009867E7" w:rsidP="009867E7">
      <w:pPr>
        <w:pStyle w:val="Body"/>
        <w:spacing w:line="240" w:lineRule="auto"/>
        <w:contextualSpacing/>
        <w:jc w:val="both"/>
        <w:rPr>
          <w:rFonts w:asciiTheme="minorHAnsi" w:hAnsiTheme="minorHAnsi"/>
          <w:sz w:val="24"/>
          <w:szCs w:val="24"/>
        </w:rPr>
      </w:pPr>
    </w:p>
    <w:p w14:paraId="391F123F" w14:textId="77777777" w:rsidR="009867E7" w:rsidRPr="001463C3" w:rsidRDefault="009867E7" w:rsidP="009867E7">
      <w:pPr>
        <w:pStyle w:val="Body"/>
        <w:spacing w:line="240" w:lineRule="auto"/>
        <w:contextualSpacing/>
        <w:jc w:val="both"/>
        <w:rPr>
          <w:rFonts w:asciiTheme="minorHAnsi" w:hAnsiTheme="minorHAnsi"/>
          <w:b/>
          <w:sz w:val="24"/>
          <w:szCs w:val="24"/>
        </w:rPr>
      </w:pPr>
      <w:r w:rsidRPr="001463C3">
        <w:rPr>
          <w:rFonts w:asciiTheme="minorHAnsi" w:hAnsiTheme="minorHAnsi"/>
          <w:b/>
          <w:sz w:val="24"/>
          <w:szCs w:val="24"/>
        </w:rPr>
        <w:t>NA-10: Housing Needs</w:t>
      </w:r>
    </w:p>
    <w:p w14:paraId="780BC669" w14:textId="77777777" w:rsidR="009867E7" w:rsidRDefault="009867E7" w:rsidP="00A121EE">
      <w:pPr>
        <w:pStyle w:val="Body"/>
        <w:numPr>
          <w:ilvl w:val="0"/>
          <w:numId w:val="24"/>
        </w:numPr>
        <w:spacing w:line="240" w:lineRule="auto"/>
        <w:contextualSpacing/>
        <w:jc w:val="both"/>
        <w:rPr>
          <w:rFonts w:asciiTheme="minorHAnsi" w:hAnsiTheme="minorHAnsi"/>
          <w:sz w:val="24"/>
          <w:szCs w:val="24"/>
        </w:rPr>
      </w:pPr>
      <w:r>
        <w:rPr>
          <w:rFonts w:asciiTheme="minorHAnsi" w:hAnsiTheme="minorHAnsi"/>
          <w:sz w:val="24"/>
          <w:szCs w:val="24"/>
        </w:rPr>
        <w:t>40% of all Kansas households earn 80% of the Area Median Income (AMI) or less</w:t>
      </w:r>
    </w:p>
    <w:p w14:paraId="76C7ADF1" w14:textId="77777777" w:rsidR="009867E7" w:rsidRDefault="009867E7" w:rsidP="00A121EE">
      <w:pPr>
        <w:pStyle w:val="Body"/>
        <w:numPr>
          <w:ilvl w:val="1"/>
          <w:numId w:val="24"/>
        </w:numPr>
        <w:spacing w:line="240" w:lineRule="auto"/>
        <w:contextualSpacing/>
        <w:jc w:val="both"/>
        <w:rPr>
          <w:rFonts w:asciiTheme="minorHAnsi" w:hAnsiTheme="minorHAnsi"/>
          <w:sz w:val="24"/>
          <w:szCs w:val="24"/>
        </w:rPr>
      </w:pPr>
      <w:r>
        <w:rPr>
          <w:rFonts w:asciiTheme="minorHAnsi" w:hAnsiTheme="minorHAnsi"/>
          <w:sz w:val="24"/>
          <w:szCs w:val="24"/>
        </w:rPr>
        <w:t>10.9% are extremely low-income (121,530 households earning 0-30% AMI)</w:t>
      </w:r>
    </w:p>
    <w:p w14:paraId="6568E3DF" w14:textId="77777777" w:rsidR="009867E7" w:rsidRDefault="009867E7" w:rsidP="00A121EE">
      <w:pPr>
        <w:pStyle w:val="Body"/>
        <w:numPr>
          <w:ilvl w:val="1"/>
          <w:numId w:val="24"/>
        </w:numPr>
        <w:spacing w:line="240" w:lineRule="auto"/>
        <w:contextualSpacing/>
        <w:jc w:val="both"/>
        <w:rPr>
          <w:rFonts w:asciiTheme="minorHAnsi" w:hAnsiTheme="minorHAnsi"/>
          <w:sz w:val="24"/>
          <w:szCs w:val="24"/>
        </w:rPr>
      </w:pPr>
      <w:r>
        <w:rPr>
          <w:rFonts w:asciiTheme="minorHAnsi" w:hAnsiTheme="minorHAnsi"/>
          <w:sz w:val="24"/>
          <w:szCs w:val="24"/>
        </w:rPr>
        <w:t>11.6% are low-income (128,305 households earning 30-50% AMI</w:t>
      </w:r>
    </w:p>
    <w:p w14:paraId="03FABC74" w14:textId="77777777" w:rsidR="009867E7" w:rsidRDefault="009867E7" w:rsidP="00A121EE">
      <w:pPr>
        <w:pStyle w:val="Body"/>
        <w:numPr>
          <w:ilvl w:val="1"/>
          <w:numId w:val="24"/>
        </w:numPr>
        <w:spacing w:line="240" w:lineRule="auto"/>
        <w:contextualSpacing/>
        <w:jc w:val="both"/>
        <w:rPr>
          <w:rFonts w:asciiTheme="minorHAnsi" w:hAnsiTheme="minorHAnsi"/>
          <w:sz w:val="24"/>
          <w:szCs w:val="24"/>
        </w:rPr>
      </w:pPr>
      <w:r>
        <w:rPr>
          <w:rFonts w:asciiTheme="minorHAnsi" w:hAnsiTheme="minorHAnsi"/>
          <w:sz w:val="24"/>
          <w:szCs w:val="24"/>
        </w:rPr>
        <w:t>17.4% are moderate-income (192,880 households earning 50-80% AMI)</w:t>
      </w:r>
    </w:p>
    <w:p w14:paraId="451C6AD5" w14:textId="77777777" w:rsidR="009867E7" w:rsidRDefault="009867E7" w:rsidP="00A121EE">
      <w:pPr>
        <w:pStyle w:val="Body"/>
        <w:numPr>
          <w:ilvl w:val="0"/>
          <w:numId w:val="24"/>
        </w:numPr>
        <w:spacing w:line="240" w:lineRule="auto"/>
        <w:contextualSpacing/>
        <w:jc w:val="both"/>
        <w:rPr>
          <w:rFonts w:asciiTheme="minorHAnsi" w:hAnsiTheme="minorHAnsi"/>
          <w:sz w:val="24"/>
          <w:szCs w:val="24"/>
        </w:rPr>
      </w:pPr>
      <w:r>
        <w:rPr>
          <w:rFonts w:asciiTheme="minorHAnsi" w:hAnsiTheme="minorHAnsi"/>
          <w:sz w:val="24"/>
          <w:szCs w:val="24"/>
        </w:rPr>
        <w:t xml:space="preserve">Of all Kansas </w:t>
      </w:r>
      <w:r w:rsidRPr="00855D6C">
        <w:rPr>
          <w:rFonts w:asciiTheme="minorHAnsi" w:hAnsiTheme="minorHAnsi"/>
          <w:sz w:val="24"/>
          <w:szCs w:val="24"/>
          <w:u w:val="single"/>
        </w:rPr>
        <w:t>renter</w:t>
      </w:r>
      <w:r>
        <w:rPr>
          <w:rFonts w:asciiTheme="minorHAnsi" w:hAnsiTheme="minorHAnsi"/>
          <w:sz w:val="24"/>
          <w:szCs w:val="24"/>
        </w:rPr>
        <w:t xml:space="preserve"> households earning 80% or less of the AMI, 59.7% are cost burdened, paying more than 30% of household income for housing costs</w:t>
      </w:r>
    </w:p>
    <w:p w14:paraId="6E3B4C29" w14:textId="77777777" w:rsidR="009867E7" w:rsidRDefault="009867E7" w:rsidP="00A121EE">
      <w:pPr>
        <w:pStyle w:val="Body"/>
        <w:numPr>
          <w:ilvl w:val="1"/>
          <w:numId w:val="24"/>
        </w:numPr>
        <w:spacing w:line="240" w:lineRule="auto"/>
        <w:contextualSpacing/>
        <w:jc w:val="both"/>
        <w:rPr>
          <w:rFonts w:asciiTheme="minorHAnsi" w:hAnsiTheme="minorHAnsi"/>
          <w:sz w:val="24"/>
          <w:szCs w:val="24"/>
        </w:rPr>
      </w:pPr>
      <w:r>
        <w:rPr>
          <w:rFonts w:asciiTheme="minorHAnsi" w:hAnsiTheme="minorHAnsi"/>
          <w:sz w:val="24"/>
          <w:szCs w:val="24"/>
        </w:rPr>
        <w:t xml:space="preserve">30.9% are severely cost burdened, paying more than 50% of household income for housing costs. </w:t>
      </w:r>
    </w:p>
    <w:p w14:paraId="73E5B87A" w14:textId="77777777" w:rsidR="009867E7" w:rsidRDefault="009867E7" w:rsidP="00A121EE">
      <w:pPr>
        <w:pStyle w:val="Body"/>
        <w:numPr>
          <w:ilvl w:val="0"/>
          <w:numId w:val="24"/>
        </w:numPr>
        <w:spacing w:line="240" w:lineRule="auto"/>
        <w:contextualSpacing/>
        <w:jc w:val="both"/>
        <w:rPr>
          <w:rFonts w:asciiTheme="minorHAnsi" w:hAnsiTheme="minorHAnsi"/>
          <w:sz w:val="24"/>
          <w:szCs w:val="24"/>
        </w:rPr>
      </w:pPr>
      <w:r>
        <w:rPr>
          <w:rFonts w:asciiTheme="minorHAnsi" w:hAnsiTheme="minorHAnsi"/>
          <w:sz w:val="24"/>
          <w:szCs w:val="24"/>
        </w:rPr>
        <w:t xml:space="preserve">Of all Kansas </w:t>
      </w:r>
      <w:r w:rsidRPr="00855D6C">
        <w:rPr>
          <w:rFonts w:asciiTheme="minorHAnsi" w:hAnsiTheme="minorHAnsi"/>
          <w:sz w:val="24"/>
          <w:szCs w:val="24"/>
          <w:u w:val="single"/>
        </w:rPr>
        <w:t>owner</w:t>
      </w:r>
      <w:r>
        <w:rPr>
          <w:rFonts w:asciiTheme="minorHAnsi" w:hAnsiTheme="minorHAnsi"/>
          <w:sz w:val="24"/>
          <w:szCs w:val="24"/>
        </w:rPr>
        <w:t xml:space="preserve"> households earning 80% or less of the AMI, 46.8% are cost burdened</w:t>
      </w:r>
    </w:p>
    <w:p w14:paraId="4EE31CA0" w14:textId="77777777" w:rsidR="009867E7" w:rsidRPr="00855D6C" w:rsidRDefault="009867E7" w:rsidP="00A121EE">
      <w:pPr>
        <w:pStyle w:val="Body"/>
        <w:numPr>
          <w:ilvl w:val="1"/>
          <w:numId w:val="24"/>
        </w:numPr>
        <w:spacing w:line="240" w:lineRule="auto"/>
        <w:contextualSpacing/>
        <w:jc w:val="both"/>
        <w:rPr>
          <w:rFonts w:asciiTheme="minorHAnsi" w:hAnsiTheme="minorHAnsi"/>
          <w:sz w:val="24"/>
          <w:szCs w:val="24"/>
        </w:rPr>
      </w:pPr>
      <w:r>
        <w:rPr>
          <w:rFonts w:asciiTheme="minorHAnsi" w:hAnsiTheme="minorHAnsi"/>
          <w:sz w:val="24"/>
          <w:szCs w:val="24"/>
        </w:rPr>
        <w:t>21.7% are severely cost burdened</w:t>
      </w:r>
    </w:p>
    <w:p w14:paraId="79CE0D26" w14:textId="77777777" w:rsidR="009867E7" w:rsidRPr="00855D6C" w:rsidRDefault="009867E7" w:rsidP="009867E7">
      <w:pPr>
        <w:pStyle w:val="Body"/>
        <w:spacing w:line="240" w:lineRule="auto"/>
        <w:contextualSpacing/>
        <w:jc w:val="both"/>
        <w:rPr>
          <w:rFonts w:asciiTheme="minorHAnsi" w:hAnsiTheme="minorHAnsi"/>
          <w:sz w:val="24"/>
          <w:szCs w:val="24"/>
        </w:rPr>
      </w:pPr>
    </w:p>
    <w:p w14:paraId="70DB61A3" w14:textId="77777777" w:rsidR="009867E7" w:rsidRDefault="009867E7" w:rsidP="009867E7">
      <w:pPr>
        <w:pStyle w:val="Body"/>
        <w:spacing w:line="240" w:lineRule="auto"/>
        <w:contextualSpacing/>
        <w:jc w:val="both"/>
        <w:rPr>
          <w:rFonts w:asciiTheme="minorHAnsi" w:hAnsiTheme="minorHAnsi"/>
          <w:b/>
          <w:sz w:val="24"/>
          <w:szCs w:val="24"/>
        </w:rPr>
      </w:pPr>
      <w:r w:rsidRPr="001463C3">
        <w:rPr>
          <w:rFonts w:asciiTheme="minorHAnsi" w:hAnsiTheme="minorHAnsi"/>
          <w:b/>
          <w:sz w:val="24"/>
          <w:szCs w:val="24"/>
        </w:rPr>
        <w:t>NA-1</w:t>
      </w:r>
      <w:r>
        <w:rPr>
          <w:rFonts w:asciiTheme="minorHAnsi" w:hAnsiTheme="minorHAnsi"/>
          <w:b/>
          <w:sz w:val="24"/>
          <w:szCs w:val="24"/>
        </w:rPr>
        <w:t>5</w:t>
      </w:r>
      <w:r w:rsidRPr="001463C3">
        <w:rPr>
          <w:rFonts w:asciiTheme="minorHAnsi" w:hAnsiTheme="minorHAnsi"/>
          <w:b/>
          <w:sz w:val="24"/>
          <w:szCs w:val="24"/>
        </w:rPr>
        <w:t xml:space="preserve">: </w:t>
      </w:r>
      <w:r>
        <w:rPr>
          <w:rFonts w:asciiTheme="minorHAnsi" w:hAnsiTheme="minorHAnsi"/>
          <w:b/>
          <w:sz w:val="24"/>
          <w:szCs w:val="24"/>
        </w:rPr>
        <w:t>Disproportionately Greater Needs: Housing Problems</w:t>
      </w:r>
    </w:p>
    <w:p w14:paraId="2B3DADB7" w14:textId="77777777" w:rsidR="009867E7" w:rsidRDefault="009867E7" w:rsidP="00A121EE">
      <w:pPr>
        <w:pStyle w:val="Body"/>
        <w:numPr>
          <w:ilvl w:val="0"/>
          <w:numId w:val="25"/>
        </w:numPr>
        <w:spacing w:line="240" w:lineRule="auto"/>
        <w:contextualSpacing/>
        <w:jc w:val="both"/>
        <w:rPr>
          <w:rFonts w:asciiTheme="minorHAnsi" w:hAnsiTheme="minorHAnsi"/>
          <w:b/>
          <w:sz w:val="24"/>
          <w:szCs w:val="24"/>
        </w:rPr>
      </w:pPr>
      <w:r>
        <w:rPr>
          <w:sz w:val="24"/>
          <w:szCs w:val="24"/>
        </w:rPr>
        <w:t>Pacific Islander households experience housing problems at a disproportionately higher rate than the state as a whole at two income brackets: 30-50% AMI and 50-80% AMI</w:t>
      </w:r>
    </w:p>
    <w:p w14:paraId="783E16ED" w14:textId="77777777" w:rsidR="009867E7" w:rsidRPr="00300C59" w:rsidRDefault="009867E7" w:rsidP="009867E7">
      <w:pPr>
        <w:pStyle w:val="Body"/>
        <w:spacing w:line="240" w:lineRule="auto"/>
        <w:ind w:left="720"/>
        <w:contextualSpacing/>
        <w:jc w:val="both"/>
        <w:rPr>
          <w:rFonts w:asciiTheme="minorHAnsi" w:hAnsiTheme="minorHAnsi"/>
          <w:b/>
          <w:sz w:val="24"/>
          <w:szCs w:val="24"/>
        </w:rPr>
      </w:pPr>
    </w:p>
    <w:p w14:paraId="01026CF3" w14:textId="77777777" w:rsidR="009867E7" w:rsidRDefault="009867E7" w:rsidP="009867E7">
      <w:pPr>
        <w:pStyle w:val="Body"/>
        <w:spacing w:line="240" w:lineRule="auto"/>
        <w:contextualSpacing/>
        <w:jc w:val="both"/>
        <w:rPr>
          <w:rFonts w:asciiTheme="minorHAnsi" w:hAnsiTheme="minorHAnsi"/>
          <w:b/>
          <w:sz w:val="24"/>
          <w:szCs w:val="24"/>
        </w:rPr>
      </w:pPr>
      <w:r>
        <w:rPr>
          <w:rFonts w:asciiTheme="minorHAnsi" w:hAnsiTheme="minorHAnsi"/>
          <w:b/>
          <w:sz w:val="24"/>
          <w:szCs w:val="24"/>
        </w:rPr>
        <w:t>NA-20</w:t>
      </w:r>
      <w:r w:rsidRPr="001463C3">
        <w:rPr>
          <w:rFonts w:asciiTheme="minorHAnsi" w:hAnsiTheme="minorHAnsi"/>
          <w:b/>
          <w:sz w:val="24"/>
          <w:szCs w:val="24"/>
        </w:rPr>
        <w:t xml:space="preserve">: </w:t>
      </w:r>
      <w:r>
        <w:rPr>
          <w:rFonts w:asciiTheme="minorHAnsi" w:hAnsiTheme="minorHAnsi"/>
          <w:b/>
          <w:sz w:val="24"/>
          <w:szCs w:val="24"/>
        </w:rPr>
        <w:t>Disproportionately Greater Needs: Severe Housing Problems</w:t>
      </w:r>
    </w:p>
    <w:p w14:paraId="551A5AA7" w14:textId="77777777" w:rsidR="009867E7" w:rsidRPr="00300C59" w:rsidRDefault="009867E7" w:rsidP="00A121EE">
      <w:pPr>
        <w:pStyle w:val="Body"/>
        <w:numPr>
          <w:ilvl w:val="0"/>
          <w:numId w:val="25"/>
        </w:numPr>
        <w:spacing w:line="240" w:lineRule="auto"/>
        <w:contextualSpacing/>
        <w:jc w:val="both"/>
        <w:rPr>
          <w:rFonts w:asciiTheme="minorHAnsi" w:hAnsiTheme="minorHAnsi"/>
          <w:b/>
          <w:sz w:val="24"/>
          <w:szCs w:val="24"/>
        </w:rPr>
      </w:pPr>
      <w:r>
        <w:rPr>
          <w:rFonts w:asciiTheme="minorHAnsi" w:hAnsiTheme="minorHAnsi"/>
          <w:sz w:val="24"/>
          <w:szCs w:val="24"/>
        </w:rPr>
        <w:t xml:space="preserve">Asian households experience severe housing problems at a </w:t>
      </w:r>
      <w:r>
        <w:rPr>
          <w:sz w:val="24"/>
          <w:szCs w:val="24"/>
        </w:rPr>
        <w:t>disproportionately higher rate than the state as a whole at the 50-80% AMI income bracket</w:t>
      </w:r>
    </w:p>
    <w:p w14:paraId="6F14913B" w14:textId="77777777" w:rsidR="009867E7" w:rsidRPr="00300C59" w:rsidRDefault="009867E7" w:rsidP="00A121EE">
      <w:pPr>
        <w:pStyle w:val="Body"/>
        <w:numPr>
          <w:ilvl w:val="0"/>
          <w:numId w:val="25"/>
        </w:numPr>
        <w:spacing w:line="240" w:lineRule="auto"/>
        <w:contextualSpacing/>
        <w:jc w:val="both"/>
        <w:rPr>
          <w:rFonts w:asciiTheme="minorHAnsi" w:hAnsiTheme="minorHAnsi"/>
          <w:b/>
          <w:sz w:val="24"/>
          <w:szCs w:val="24"/>
        </w:rPr>
      </w:pPr>
      <w:r>
        <w:rPr>
          <w:rFonts w:asciiTheme="minorHAnsi" w:hAnsiTheme="minorHAnsi"/>
          <w:sz w:val="24"/>
          <w:szCs w:val="24"/>
        </w:rPr>
        <w:t xml:space="preserve">Pacific Islander households experience severe housing problems at a </w:t>
      </w:r>
      <w:r>
        <w:rPr>
          <w:sz w:val="24"/>
          <w:szCs w:val="24"/>
        </w:rPr>
        <w:t>disproportionately higher rate than the state as a whole at the 0-30% AMI income bracket</w:t>
      </w:r>
    </w:p>
    <w:p w14:paraId="03148491" w14:textId="77777777" w:rsidR="009867E7" w:rsidRDefault="009867E7" w:rsidP="009867E7">
      <w:pPr>
        <w:pStyle w:val="Body"/>
        <w:spacing w:line="240" w:lineRule="auto"/>
        <w:contextualSpacing/>
        <w:rPr>
          <w:rFonts w:asciiTheme="minorHAnsi" w:hAnsiTheme="minorHAnsi"/>
          <w:sz w:val="24"/>
          <w:szCs w:val="24"/>
        </w:rPr>
      </w:pPr>
    </w:p>
    <w:p w14:paraId="452E532A" w14:textId="77777777" w:rsidR="009867E7" w:rsidRDefault="009867E7" w:rsidP="009867E7">
      <w:pPr>
        <w:pStyle w:val="Body"/>
        <w:spacing w:line="240" w:lineRule="auto"/>
        <w:contextualSpacing/>
        <w:jc w:val="both"/>
        <w:rPr>
          <w:rFonts w:asciiTheme="minorHAnsi" w:hAnsiTheme="minorHAnsi"/>
          <w:b/>
          <w:sz w:val="24"/>
          <w:szCs w:val="24"/>
        </w:rPr>
      </w:pPr>
      <w:r>
        <w:rPr>
          <w:rFonts w:asciiTheme="minorHAnsi" w:hAnsiTheme="minorHAnsi"/>
          <w:b/>
          <w:sz w:val="24"/>
          <w:szCs w:val="24"/>
        </w:rPr>
        <w:t>NA-25</w:t>
      </w:r>
      <w:r w:rsidRPr="001463C3">
        <w:rPr>
          <w:rFonts w:asciiTheme="minorHAnsi" w:hAnsiTheme="minorHAnsi"/>
          <w:b/>
          <w:sz w:val="24"/>
          <w:szCs w:val="24"/>
        </w:rPr>
        <w:t xml:space="preserve">: </w:t>
      </w:r>
      <w:r>
        <w:rPr>
          <w:rFonts w:asciiTheme="minorHAnsi" w:hAnsiTheme="minorHAnsi"/>
          <w:b/>
          <w:sz w:val="24"/>
          <w:szCs w:val="24"/>
        </w:rPr>
        <w:t>Disproportionately Greater Needs: Housing Cost Burden</w:t>
      </w:r>
    </w:p>
    <w:p w14:paraId="1D395DB6" w14:textId="77777777" w:rsidR="009867E7" w:rsidRPr="001463C3" w:rsidRDefault="009867E7" w:rsidP="00A121EE">
      <w:pPr>
        <w:pStyle w:val="Body"/>
        <w:numPr>
          <w:ilvl w:val="0"/>
          <w:numId w:val="26"/>
        </w:numPr>
        <w:spacing w:line="240" w:lineRule="auto"/>
        <w:contextualSpacing/>
        <w:jc w:val="both"/>
        <w:rPr>
          <w:rFonts w:asciiTheme="minorHAnsi" w:hAnsiTheme="minorHAnsi"/>
          <w:b/>
          <w:sz w:val="24"/>
          <w:szCs w:val="24"/>
        </w:rPr>
      </w:pPr>
      <w:r>
        <w:rPr>
          <w:rFonts w:asciiTheme="minorHAnsi" w:hAnsiTheme="minorHAnsi"/>
          <w:sz w:val="24"/>
          <w:szCs w:val="24"/>
        </w:rPr>
        <w:t xml:space="preserve">Black/African American households and Pacific Islander households experience cost burden at a </w:t>
      </w:r>
      <w:r>
        <w:rPr>
          <w:sz w:val="24"/>
          <w:szCs w:val="24"/>
        </w:rPr>
        <w:t>disproportionately higher rate than the state as a whole</w:t>
      </w:r>
    </w:p>
    <w:p w14:paraId="3CCCC55E" w14:textId="77777777" w:rsidR="009867E7" w:rsidRDefault="009867E7" w:rsidP="009867E7">
      <w:pPr>
        <w:pStyle w:val="Body"/>
        <w:spacing w:line="240" w:lineRule="auto"/>
        <w:contextualSpacing/>
        <w:rPr>
          <w:rFonts w:asciiTheme="minorHAnsi" w:hAnsiTheme="minorHAnsi"/>
          <w:sz w:val="24"/>
          <w:szCs w:val="24"/>
        </w:rPr>
      </w:pPr>
    </w:p>
    <w:p w14:paraId="16BC6E1C" w14:textId="77777777" w:rsidR="009867E7" w:rsidRDefault="009867E7" w:rsidP="009867E7">
      <w:pPr>
        <w:pStyle w:val="Body"/>
        <w:spacing w:line="240" w:lineRule="auto"/>
        <w:contextualSpacing/>
        <w:jc w:val="both"/>
        <w:rPr>
          <w:rFonts w:asciiTheme="minorHAnsi" w:hAnsiTheme="minorHAnsi"/>
          <w:b/>
          <w:sz w:val="24"/>
          <w:szCs w:val="24"/>
        </w:rPr>
      </w:pPr>
      <w:r>
        <w:rPr>
          <w:rFonts w:asciiTheme="minorHAnsi" w:hAnsiTheme="minorHAnsi"/>
          <w:b/>
          <w:sz w:val="24"/>
          <w:szCs w:val="24"/>
        </w:rPr>
        <w:t>NA-40: Homeless Needs</w:t>
      </w:r>
    </w:p>
    <w:p w14:paraId="55D8DC2C" w14:textId="77777777" w:rsidR="009867E7" w:rsidRPr="00AF57DE" w:rsidRDefault="009867E7" w:rsidP="00A121EE">
      <w:pPr>
        <w:pStyle w:val="Body"/>
        <w:numPr>
          <w:ilvl w:val="0"/>
          <w:numId w:val="26"/>
        </w:numPr>
        <w:spacing w:line="240" w:lineRule="auto"/>
        <w:contextualSpacing/>
        <w:jc w:val="both"/>
        <w:rPr>
          <w:rFonts w:asciiTheme="minorHAnsi" w:hAnsiTheme="minorHAnsi"/>
          <w:b/>
          <w:sz w:val="24"/>
          <w:szCs w:val="24"/>
        </w:rPr>
      </w:pPr>
      <w:r>
        <w:rPr>
          <w:sz w:val="24"/>
          <w:szCs w:val="24"/>
        </w:rPr>
        <w:t xml:space="preserve">According to the 2017 Point-In-Time Count, there are as many as 1,037 individuals experiencing homelessness on any given night. </w:t>
      </w:r>
    </w:p>
    <w:p w14:paraId="7B836011" w14:textId="77777777" w:rsidR="009867E7" w:rsidRDefault="009867E7" w:rsidP="00A121EE">
      <w:pPr>
        <w:pStyle w:val="Body"/>
        <w:numPr>
          <w:ilvl w:val="1"/>
          <w:numId w:val="26"/>
        </w:numPr>
        <w:spacing w:line="240" w:lineRule="auto"/>
        <w:contextualSpacing/>
        <w:jc w:val="both"/>
        <w:rPr>
          <w:rFonts w:asciiTheme="minorHAnsi" w:hAnsiTheme="minorHAnsi"/>
          <w:b/>
          <w:sz w:val="24"/>
          <w:szCs w:val="24"/>
        </w:rPr>
      </w:pPr>
      <w:r>
        <w:rPr>
          <w:sz w:val="24"/>
          <w:szCs w:val="24"/>
        </w:rPr>
        <w:t>Of those, 895 are sheltered and 142 are unsheltered.</w:t>
      </w:r>
    </w:p>
    <w:p w14:paraId="7A097571" w14:textId="77777777" w:rsidR="009867E7" w:rsidRPr="001463C3" w:rsidRDefault="009867E7" w:rsidP="009867E7">
      <w:pPr>
        <w:pStyle w:val="Body"/>
        <w:spacing w:line="240" w:lineRule="auto"/>
        <w:contextualSpacing/>
        <w:jc w:val="both"/>
        <w:rPr>
          <w:rFonts w:asciiTheme="minorHAnsi" w:hAnsiTheme="minorHAnsi"/>
          <w:b/>
          <w:sz w:val="24"/>
          <w:szCs w:val="24"/>
        </w:rPr>
      </w:pPr>
    </w:p>
    <w:p w14:paraId="57EB6743" w14:textId="2E6FED41" w:rsidR="009867E7" w:rsidRDefault="009867E7" w:rsidP="009867E7">
      <w:pPr>
        <w:pStyle w:val="Body"/>
        <w:spacing w:line="240" w:lineRule="auto"/>
        <w:contextualSpacing/>
        <w:rPr>
          <w:sz w:val="24"/>
          <w:szCs w:val="24"/>
        </w:rPr>
      </w:pPr>
      <w:r w:rsidRPr="000C0AF2">
        <w:rPr>
          <w:sz w:val="24"/>
          <w:szCs w:val="24"/>
        </w:rPr>
        <w:t xml:space="preserve">The following analysis will highlight these and other points relevant to the State of Kansas. When reviewing this document, </w:t>
      </w:r>
      <w:r>
        <w:rPr>
          <w:sz w:val="24"/>
          <w:szCs w:val="24"/>
        </w:rPr>
        <w:t>please note</w:t>
      </w:r>
      <w:r w:rsidRPr="000C0AF2">
        <w:rPr>
          <w:sz w:val="24"/>
          <w:szCs w:val="24"/>
        </w:rPr>
        <w:t xml:space="preserve"> that much of the analysis is base</w:t>
      </w:r>
      <w:r>
        <w:rPr>
          <w:sz w:val="24"/>
          <w:szCs w:val="24"/>
        </w:rPr>
        <w:t xml:space="preserve">d on </w:t>
      </w:r>
      <w:r w:rsidRPr="000C0AF2">
        <w:rPr>
          <w:sz w:val="24"/>
          <w:szCs w:val="24"/>
        </w:rPr>
        <w:t>HU</w:t>
      </w:r>
      <w:r>
        <w:rPr>
          <w:sz w:val="24"/>
          <w:szCs w:val="24"/>
        </w:rPr>
        <w:t>D provided 2009-2013 CHAS data, which is the most current data available for the State</w:t>
      </w:r>
      <w:r w:rsidR="00EC7021">
        <w:rPr>
          <w:sz w:val="24"/>
          <w:szCs w:val="24"/>
        </w:rPr>
        <w:t>.</w:t>
      </w:r>
    </w:p>
    <w:p w14:paraId="7CE54EE0" w14:textId="77777777" w:rsidR="009867E7" w:rsidRDefault="009867E7" w:rsidP="009867E7">
      <w:pPr>
        <w:pStyle w:val="Heading2"/>
        <w:pageBreakBefore/>
        <w:shd w:val="clear" w:color="auto" w:fill="95B3D7" w:themeFill="accent1" w:themeFillTint="99"/>
        <w:rPr>
          <w:rFonts w:ascii="Calibri" w:hAnsi="Calibri"/>
          <w:i w:val="0"/>
        </w:rPr>
      </w:pPr>
      <w:bookmarkStart w:id="24" w:name="_Toc524603010"/>
      <w:r>
        <w:rPr>
          <w:rFonts w:ascii="Calibri" w:hAnsi="Calibri"/>
          <w:i w:val="0"/>
        </w:rPr>
        <w:t>NA-10 Housing Needs Assessment - 24 CFR 91.305 (a,b,c)</w:t>
      </w:r>
      <w:bookmarkEnd w:id="24"/>
    </w:p>
    <w:p w14:paraId="040FE9E7" w14:textId="77777777" w:rsidR="009867E7" w:rsidRDefault="009867E7" w:rsidP="009867E7">
      <w:pPr>
        <w:rPr>
          <w:b/>
          <w:sz w:val="24"/>
          <w:szCs w:val="24"/>
        </w:rPr>
      </w:pPr>
      <w:r>
        <w:rPr>
          <w:b/>
          <w:sz w:val="24"/>
          <w:szCs w:val="24"/>
        </w:rPr>
        <w:t>Summary of Housing Needs</w:t>
      </w:r>
    </w:p>
    <w:p w14:paraId="718D0693" w14:textId="2DB66FBB" w:rsidR="009867E7" w:rsidRPr="00EB5D47" w:rsidRDefault="009867E7" w:rsidP="009867E7">
      <w:pPr>
        <w:rPr>
          <w:sz w:val="24"/>
          <w:szCs w:val="24"/>
        </w:rPr>
      </w:pPr>
      <w:r>
        <w:rPr>
          <w:sz w:val="24"/>
          <w:szCs w:val="24"/>
        </w:rPr>
        <w:t>The Housing Needs Assessment is based on data provided by HUD through the Comprehensive Affordability Strategy (CHAS) data and supplemental Census data. Although CHAS data within this Consolidated Plan is dated, it captures housing needs experienced throughout Kansas for the years in which data is provided. The most recent CHAS data made publicly available can be found</w:t>
      </w:r>
      <w:r>
        <w:t xml:space="preserve"> on their website: </w:t>
      </w:r>
      <w:hyperlink r:id="rId17" w:history="1">
        <w:r w:rsidRPr="00FD182B">
          <w:rPr>
            <w:rStyle w:val="Hyperlink"/>
          </w:rPr>
          <w:t>https://www.huduser.gov/portal/datasets/cp.html</w:t>
        </w:r>
      </w:hyperlink>
      <w:r>
        <w:rPr>
          <w:sz w:val="24"/>
          <w:szCs w:val="24"/>
        </w:rPr>
        <w:t xml:space="preserve">. Information gathered through interviews with agencies and housing providers in the </w:t>
      </w:r>
      <w:r w:rsidR="00E37767">
        <w:rPr>
          <w:sz w:val="24"/>
          <w:szCs w:val="24"/>
        </w:rPr>
        <w:t>s</w:t>
      </w:r>
      <w:r>
        <w:rPr>
          <w:sz w:val="24"/>
          <w:szCs w:val="24"/>
        </w:rPr>
        <w:t xml:space="preserve">tate, combined with CHAS data, provides a well-rounded view of housing needs. The following tables are accompanied with brief narrative explanations, outlining housing needs of the </w:t>
      </w:r>
      <w:r w:rsidR="00E37767">
        <w:rPr>
          <w:sz w:val="24"/>
          <w:szCs w:val="24"/>
        </w:rPr>
        <w:t>s</w:t>
      </w:r>
      <w:r>
        <w:rPr>
          <w:sz w:val="24"/>
          <w:szCs w:val="24"/>
        </w:rPr>
        <w:t xml:space="preserve">tate. </w:t>
      </w:r>
    </w:p>
    <w:p w14:paraId="4A42366E" w14:textId="77777777" w:rsidR="009867E7" w:rsidRDefault="009867E7" w:rsidP="009867E7">
      <w:pPr>
        <w:keepNext/>
        <w:widowControl w:val="0"/>
        <w:spacing w:line="240" w:lineRule="auto"/>
        <w:contextualSpacing/>
        <w:rPr>
          <w:b/>
          <w:sz w:val="24"/>
          <w:szCs w:val="24"/>
        </w:rPr>
      </w:pPr>
      <w:r>
        <w:rPr>
          <w:b/>
          <w:sz w:val="24"/>
          <w:szCs w:val="24"/>
        </w:rPr>
        <w:t>Table 1 – Demographics Overview, 2000-2016</w:t>
      </w:r>
    </w:p>
    <w:tbl>
      <w:tblPr>
        <w:tblStyle w:val="GridTable4-Accent1"/>
        <w:tblW w:w="0" w:type="auto"/>
        <w:tblLook w:val="04A0" w:firstRow="1" w:lastRow="0" w:firstColumn="1" w:lastColumn="0" w:noHBand="0" w:noVBand="1"/>
      </w:tblPr>
      <w:tblGrid>
        <w:gridCol w:w="1905"/>
        <w:gridCol w:w="1870"/>
        <w:gridCol w:w="1440"/>
        <w:gridCol w:w="1170"/>
      </w:tblGrid>
      <w:tr w:rsidR="009867E7" w14:paraId="3005F836" w14:textId="77777777" w:rsidTr="007C520D">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905" w:type="dxa"/>
          </w:tcPr>
          <w:p w14:paraId="692EEBB5" w14:textId="77777777" w:rsidR="009867E7" w:rsidRPr="00497D3C" w:rsidRDefault="009867E7" w:rsidP="007C520D">
            <w:pPr>
              <w:spacing w:line="240" w:lineRule="auto"/>
              <w:contextualSpacing/>
              <w:rPr>
                <w:b w:val="0"/>
                <w:szCs w:val="24"/>
              </w:rPr>
            </w:pPr>
            <w:r w:rsidRPr="00497D3C">
              <w:rPr>
                <w:b w:val="0"/>
                <w:szCs w:val="24"/>
              </w:rPr>
              <w:t>Demographics</w:t>
            </w:r>
          </w:p>
        </w:tc>
        <w:tc>
          <w:tcPr>
            <w:tcW w:w="1870" w:type="dxa"/>
          </w:tcPr>
          <w:p w14:paraId="48155F1D" w14:textId="77777777" w:rsidR="009867E7" w:rsidRPr="00497D3C" w:rsidRDefault="009867E7" w:rsidP="007C520D">
            <w:pPr>
              <w:spacing w:line="240" w:lineRule="auto"/>
              <w:contextualSpacing/>
              <w:cnfStyle w:val="100000000000" w:firstRow="1" w:lastRow="0" w:firstColumn="0" w:lastColumn="0" w:oddVBand="0" w:evenVBand="0" w:oddHBand="0" w:evenHBand="0" w:firstRowFirstColumn="0" w:firstRowLastColumn="0" w:lastRowFirstColumn="0" w:lastRowLastColumn="0"/>
              <w:rPr>
                <w:b w:val="0"/>
                <w:szCs w:val="24"/>
              </w:rPr>
            </w:pPr>
            <w:r w:rsidRPr="00497D3C">
              <w:rPr>
                <w:b w:val="0"/>
                <w:szCs w:val="24"/>
              </w:rPr>
              <w:t>Base Year: 2000</w:t>
            </w:r>
            <w:r>
              <w:rPr>
                <w:b w:val="0"/>
                <w:szCs w:val="24"/>
              </w:rPr>
              <w:t xml:space="preserve"> </w:t>
            </w:r>
            <w:r w:rsidRPr="00497D3C">
              <w:rPr>
                <w:b w:val="0"/>
                <w:szCs w:val="24"/>
              </w:rPr>
              <w:t>Inflation Adjusted</w:t>
            </w:r>
          </w:p>
        </w:tc>
        <w:tc>
          <w:tcPr>
            <w:tcW w:w="1440" w:type="dxa"/>
          </w:tcPr>
          <w:p w14:paraId="76EEA5A3" w14:textId="77777777" w:rsidR="009867E7" w:rsidRPr="00497D3C" w:rsidRDefault="009867E7" w:rsidP="007C520D">
            <w:pPr>
              <w:spacing w:line="240" w:lineRule="auto"/>
              <w:contextualSpacing/>
              <w:cnfStyle w:val="100000000000" w:firstRow="1" w:lastRow="0" w:firstColumn="0" w:lastColumn="0" w:oddVBand="0" w:evenVBand="0" w:oddHBand="0" w:evenHBand="0" w:firstRowFirstColumn="0" w:firstRowLastColumn="0" w:lastRowFirstColumn="0" w:lastRowLastColumn="0"/>
              <w:rPr>
                <w:b w:val="0"/>
                <w:szCs w:val="24"/>
              </w:rPr>
            </w:pPr>
            <w:r w:rsidRPr="00497D3C">
              <w:rPr>
                <w:b w:val="0"/>
                <w:szCs w:val="24"/>
              </w:rPr>
              <w:t>Most Recent Year: 201</w:t>
            </w:r>
            <w:r>
              <w:rPr>
                <w:b w:val="0"/>
                <w:szCs w:val="24"/>
              </w:rPr>
              <w:t>6</w:t>
            </w:r>
          </w:p>
        </w:tc>
        <w:tc>
          <w:tcPr>
            <w:tcW w:w="1170" w:type="dxa"/>
          </w:tcPr>
          <w:p w14:paraId="3C5550B5" w14:textId="77777777" w:rsidR="009867E7" w:rsidRPr="00497D3C" w:rsidRDefault="009867E7" w:rsidP="007C520D">
            <w:pPr>
              <w:spacing w:line="240" w:lineRule="auto"/>
              <w:contextualSpacing/>
              <w:cnfStyle w:val="100000000000" w:firstRow="1" w:lastRow="0" w:firstColumn="0" w:lastColumn="0" w:oddVBand="0" w:evenVBand="0" w:oddHBand="0" w:evenHBand="0" w:firstRowFirstColumn="0" w:firstRowLastColumn="0" w:lastRowFirstColumn="0" w:lastRowLastColumn="0"/>
              <w:rPr>
                <w:b w:val="0"/>
                <w:szCs w:val="24"/>
              </w:rPr>
            </w:pPr>
            <w:r w:rsidRPr="00497D3C">
              <w:rPr>
                <w:b w:val="0"/>
                <w:szCs w:val="24"/>
              </w:rPr>
              <w:t>% Change</w:t>
            </w:r>
          </w:p>
        </w:tc>
      </w:tr>
      <w:tr w:rsidR="009867E7" w14:paraId="30E83E52" w14:textId="77777777" w:rsidTr="007C520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05" w:type="dxa"/>
          </w:tcPr>
          <w:p w14:paraId="700FFBE4" w14:textId="77777777" w:rsidR="009867E7" w:rsidRPr="00497D3C" w:rsidRDefault="009867E7" w:rsidP="007C520D">
            <w:pPr>
              <w:spacing w:line="240" w:lineRule="auto"/>
              <w:contextualSpacing/>
              <w:rPr>
                <w:b w:val="0"/>
                <w:szCs w:val="24"/>
              </w:rPr>
            </w:pPr>
            <w:r w:rsidRPr="00497D3C">
              <w:rPr>
                <w:b w:val="0"/>
                <w:szCs w:val="24"/>
              </w:rPr>
              <w:t>Population</w:t>
            </w:r>
          </w:p>
        </w:tc>
        <w:tc>
          <w:tcPr>
            <w:tcW w:w="1870" w:type="dxa"/>
          </w:tcPr>
          <w:p w14:paraId="303F5696" w14:textId="77777777" w:rsidR="009867E7" w:rsidRPr="00497D3C" w:rsidRDefault="009867E7" w:rsidP="007C520D">
            <w:pPr>
              <w:spacing w:line="240" w:lineRule="auto"/>
              <w:contextualSpacing/>
              <w:cnfStyle w:val="000000100000" w:firstRow="0" w:lastRow="0" w:firstColumn="0" w:lastColumn="0" w:oddVBand="0" w:evenVBand="0" w:oddHBand="1" w:evenHBand="0" w:firstRowFirstColumn="0" w:firstRowLastColumn="0" w:lastRowFirstColumn="0" w:lastRowLastColumn="0"/>
              <w:rPr>
                <w:szCs w:val="24"/>
              </w:rPr>
            </w:pPr>
            <w:r w:rsidRPr="00497D3C">
              <w:rPr>
                <w:szCs w:val="24"/>
              </w:rPr>
              <w:t>2</w:t>
            </w:r>
            <w:r>
              <w:rPr>
                <w:szCs w:val="24"/>
              </w:rPr>
              <w:t>,</w:t>
            </w:r>
            <w:r w:rsidRPr="00497D3C">
              <w:rPr>
                <w:szCs w:val="24"/>
              </w:rPr>
              <w:t>688</w:t>
            </w:r>
            <w:r>
              <w:rPr>
                <w:szCs w:val="24"/>
              </w:rPr>
              <w:t>,</w:t>
            </w:r>
            <w:r w:rsidRPr="00497D3C">
              <w:rPr>
                <w:szCs w:val="24"/>
              </w:rPr>
              <w:t>418</w:t>
            </w:r>
          </w:p>
        </w:tc>
        <w:tc>
          <w:tcPr>
            <w:tcW w:w="1440" w:type="dxa"/>
          </w:tcPr>
          <w:p w14:paraId="08E97C9B" w14:textId="77777777" w:rsidR="009867E7" w:rsidRPr="00497D3C" w:rsidRDefault="009867E7" w:rsidP="007C520D">
            <w:pPr>
              <w:cnfStyle w:val="000000100000" w:firstRow="0" w:lastRow="0" w:firstColumn="0" w:lastColumn="0" w:oddVBand="0" w:evenVBand="0" w:oddHBand="1" w:evenHBand="0" w:firstRowFirstColumn="0" w:firstRowLastColumn="0" w:lastRowFirstColumn="0" w:lastRowLastColumn="0"/>
              <w:rPr>
                <w:szCs w:val="24"/>
              </w:rPr>
            </w:pPr>
            <w:r>
              <w:rPr>
                <w:szCs w:val="24"/>
              </w:rPr>
              <w:t>2,898,292</w:t>
            </w:r>
          </w:p>
        </w:tc>
        <w:tc>
          <w:tcPr>
            <w:tcW w:w="1170" w:type="dxa"/>
          </w:tcPr>
          <w:p w14:paraId="005DFE0F" w14:textId="77777777" w:rsidR="009867E7" w:rsidRPr="00497D3C" w:rsidRDefault="009867E7" w:rsidP="007C520D">
            <w:pPr>
              <w:cnfStyle w:val="000000100000" w:firstRow="0" w:lastRow="0" w:firstColumn="0" w:lastColumn="0" w:oddVBand="0" w:evenVBand="0" w:oddHBand="1" w:evenHBand="0" w:firstRowFirstColumn="0" w:firstRowLastColumn="0" w:lastRowFirstColumn="0" w:lastRowLastColumn="0"/>
              <w:rPr>
                <w:szCs w:val="24"/>
              </w:rPr>
            </w:pPr>
            <w:r>
              <w:rPr>
                <w:szCs w:val="24"/>
              </w:rPr>
              <w:t>7.8%</w:t>
            </w:r>
          </w:p>
        </w:tc>
      </w:tr>
      <w:tr w:rsidR="009867E7" w14:paraId="623BAC9C" w14:textId="77777777" w:rsidTr="007C520D">
        <w:trPr>
          <w:trHeight w:val="285"/>
        </w:trPr>
        <w:tc>
          <w:tcPr>
            <w:cnfStyle w:val="001000000000" w:firstRow="0" w:lastRow="0" w:firstColumn="1" w:lastColumn="0" w:oddVBand="0" w:evenVBand="0" w:oddHBand="0" w:evenHBand="0" w:firstRowFirstColumn="0" w:firstRowLastColumn="0" w:lastRowFirstColumn="0" w:lastRowLastColumn="0"/>
            <w:tcW w:w="1905" w:type="dxa"/>
          </w:tcPr>
          <w:p w14:paraId="58ABA475" w14:textId="77777777" w:rsidR="009867E7" w:rsidRPr="00497D3C" w:rsidRDefault="009867E7" w:rsidP="007C520D">
            <w:pPr>
              <w:spacing w:line="240" w:lineRule="auto"/>
              <w:contextualSpacing/>
              <w:rPr>
                <w:b w:val="0"/>
                <w:szCs w:val="24"/>
              </w:rPr>
            </w:pPr>
            <w:r w:rsidRPr="00497D3C">
              <w:rPr>
                <w:b w:val="0"/>
                <w:szCs w:val="24"/>
              </w:rPr>
              <w:t>Households</w:t>
            </w:r>
          </w:p>
        </w:tc>
        <w:tc>
          <w:tcPr>
            <w:tcW w:w="1870" w:type="dxa"/>
          </w:tcPr>
          <w:p w14:paraId="4BD10E78" w14:textId="77777777" w:rsidR="009867E7" w:rsidRPr="00497D3C" w:rsidRDefault="009867E7" w:rsidP="007C520D">
            <w:pPr>
              <w:spacing w:line="240" w:lineRule="auto"/>
              <w:contextualSpacing/>
              <w:cnfStyle w:val="000000000000" w:firstRow="0" w:lastRow="0" w:firstColumn="0" w:lastColumn="0" w:oddVBand="0" w:evenVBand="0" w:oddHBand="0" w:evenHBand="0" w:firstRowFirstColumn="0" w:firstRowLastColumn="0" w:lastRowFirstColumn="0" w:lastRowLastColumn="0"/>
              <w:rPr>
                <w:szCs w:val="24"/>
              </w:rPr>
            </w:pPr>
            <w:r>
              <w:rPr>
                <w:szCs w:val="24"/>
              </w:rPr>
              <w:t>1,038,940</w:t>
            </w:r>
          </w:p>
        </w:tc>
        <w:tc>
          <w:tcPr>
            <w:tcW w:w="1440" w:type="dxa"/>
          </w:tcPr>
          <w:p w14:paraId="2E24F600" w14:textId="77777777" w:rsidR="009867E7" w:rsidRPr="00497D3C" w:rsidRDefault="009867E7" w:rsidP="007C520D">
            <w:pPr>
              <w:cnfStyle w:val="000000000000" w:firstRow="0" w:lastRow="0" w:firstColumn="0" w:lastColumn="0" w:oddVBand="0" w:evenVBand="0" w:oddHBand="0" w:evenHBand="0" w:firstRowFirstColumn="0" w:firstRowLastColumn="0" w:lastRowFirstColumn="0" w:lastRowLastColumn="0"/>
              <w:rPr>
                <w:szCs w:val="24"/>
              </w:rPr>
            </w:pPr>
            <w:r>
              <w:rPr>
                <w:szCs w:val="24"/>
              </w:rPr>
              <w:t>1,115,858</w:t>
            </w:r>
          </w:p>
        </w:tc>
        <w:tc>
          <w:tcPr>
            <w:tcW w:w="1170" w:type="dxa"/>
          </w:tcPr>
          <w:p w14:paraId="5AFE20C3" w14:textId="77777777" w:rsidR="009867E7" w:rsidRPr="00497D3C" w:rsidRDefault="009867E7" w:rsidP="007C520D">
            <w:pPr>
              <w:cnfStyle w:val="000000000000" w:firstRow="0" w:lastRow="0" w:firstColumn="0" w:lastColumn="0" w:oddVBand="0" w:evenVBand="0" w:oddHBand="0" w:evenHBand="0" w:firstRowFirstColumn="0" w:firstRowLastColumn="0" w:lastRowFirstColumn="0" w:lastRowLastColumn="0"/>
              <w:rPr>
                <w:szCs w:val="24"/>
              </w:rPr>
            </w:pPr>
            <w:r>
              <w:rPr>
                <w:szCs w:val="24"/>
              </w:rPr>
              <w:t>7.4%</w:t>
            </w:r>
          </w:p>
        </w:tc>
      </w:tr>
      <w:tr w:rsidR="009867E7" w14:paraId="5DC0FCAB" w14:textId="77777777" w:rsidTr="007C5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tcPr>
          <w:p w14:paraId="2659B95C" w14:textId="77777777" w:rsidR="009867E7" w:rsidRPr="00497D3C" w:rsidRDefault="009867E7" w:rsidP="007C520D">
            <w:pPr>
              <w:spacing w:line="240" w:lineRule="auto"/>
              <w:contextualSpacing/>
              <w:rPr>
                <w:b w:val="0"/>
                <w:szCs w:val="24"/>
              </w:rPr>
            </w:pPr>
            <w:r w:rsidRPr="00497D3C">
              <w:rPr>
                <w:b w:val="0"/>
                <w:szCs w:val="24"/>
              </w:rPr>
              <w:t>Median Household Income</w:t>
            </w:r>
          </w:p>
        </w:tc>
        <w:tc>
          <w:tcPr>
            <w:tcW w:w="1870" w:type="dxa"/>
          </w:tcPr>
          <w:p w14:paraId="5B28CC59" w14:textId="77777777" w:rsidR="009867E7" w:rsidRPr="00497D3C" w:rsidRDefault="009867E7" w:rsidP="007C520D">
            <w:pPr>
              <w:spacing w:line="240" w:lineRule="auto"/>
              <w:contextualSpacing/>
              <w:cnfStyle w:val="000000100000" w:firstRow="0" w:lastRow="0" w:firstColumn="0" w:lastColumn="0" w:oddVBand="0" w:evenVBand="0" w:oddHBand="1" w:evenHBand="0" w:firstRowFirstColumn="0" w:firstRowLastColumn="0" w:lastRowFirstColumn="0" w:lastRowLastColumn="0"/>
              <w:rPr>
                <w:szCs w:val="24"/>
              </w:rPr>
            </w:pPr>
            <w:r>
              <w:rPr>
                <w:szCs w:val="24"/>
              </w:rPr>
              <w:t>57,017</w:t>
            </w:r>
          </w:p>
        </w:tc>
        <w:tc>
          <w:tcPr>
            <w:tcW w:w="1440" w:type="dxa"/>
          </w:tcPr>
          <w:p w14:paraId="47344893" w14:textId="77777777" w:rsidR="009867E7" w:rsidRPr="00497D3C" w:rsidRDefault="009867E7" w:rsidP="007C520D">
            <w:pPr>
              <w:cnfStyle w:val="000000100000" w:firstRow="0" w:lastRow="0" w:firstColumn="0" w:lastColumn="0" w:oddVBand="0" w:evenVBand="0" w:oddHBand="1" w:evenHBand="0" w:firstRowFirstColumn="0" w:firstRowLastColumn="0" w:lastRowFirstColumn="0" w:lastRowLastColumn="0"/>
              <w:rPr>
                <w:szCs w:val="24"/>
              </w:rPr>
            </w:pPr>
            <w:r>
              <w:rPr>
                <w:szCs w:val="24"/>
              </w:rPr>
              <w:t>53,571</w:t>
            </w:r>
          </w:p>
        </w:tc>
        <w:tc>
          <w:tcPr>
            <w:tcW w:w="1170" w:type="dxa"/>
          </w:tcPr>
          <w:p w14:paraId="3BD10BDD" w14:textId="77777777" w:rsidR="009867E7" w:rsidRPr="00497D3C" w:rsidRDefault="009867E7" w:rsidP="007C520D">
            <w:pPr>
              <w:cnfStyle w:val="000000100000" w:firstRow="0" w:lastRow="0" w:firstColumn="0" w:lastColumn="0" w:oddVBand="0" w:evenVBand="0" w:oddHBand="1" w:evenHBand="0" w:firstRowFirstColumn="0" w:firstRowLastColumn="0" w:lastRowFirstColumn="0" w:lastRowLastColumn="0"/>
              <w:rPr>
                <w:szCs w:val="24"/>
              </w:rPr>
            </w:pPr>
            <w:r>
              <w:rPr>
                <w:szCs w:val="24"/>
              </w:rPr>
              <w:t>-6.0%</w:t>
            </w:r>
          </w:p>
        </w:tc>
      </w:tr>
    </w:tbl>
    <w:p w14:paraId="4FAA0EBA" w14:textId="77777777" w:rsidR="009867E7" w:rsidRPr="000D1D10" w:rsidRDefault="009867E7" w:rsidP="009867E7">
      <w:pPr>
        <w:rPr>
          <w:i/>
          <w:sz w:val="18"/>
          <w:szCs w:val="24"/>
        </w:rPr>
      </w:pPr>
      <w:r w:rsidRPr="000D1D10">
        <w:rPr>
          <w:i/>
          <w:sz w:val="18"/>
          <w:szCs w:val="24"/>
        </w:rPr>
        <w:t>Sources: 2000 Census (DP-3) and 2016 ACS (B01003, S1101, B19013)</w:t>
      </w:r>
    </w:p>
    <w:p w14:paraId="4A03D0E8" w14:textId="77777777" w:rsidR="009867E7" w:rsidRPr="00E94F10" w:rsidRDefault="009867E7" w:rsidP="009867E7">
      <w:pPr>
        <w:rPr>
          <w:sz w:val="24"/>
          <w:szCs w:val="24"/>
        </w:rPr>
      </w:pPr>
      <w:r>
        <w:rPr>
          <w:sz w:val="24"/>
          <w:szCs w:val="24"/>
        </w:rPr>
        <w:t>T</w:t>
      </w:r>
      <w:r w:rsidRPr="00E94F10">
        <w:rPr>
          <w:sz w:val="24"/>
          <w:szCs w:val="24"/>
        </w:rPr>
        <w:t>he population in the state of Kansas has grown by 7.8%, or nearly 210,000 residents since 2000. This statistic indicates a pace of growth similar to other states in the region. The number of households in Kansas has grown proportionally to its residents, adding nearly 77,000 households since 2000. Over this same period, when adjusted for inflation, the median household income in Kansas has decreased by 6%, or nearly $3,500 annually.</w:t>
      </w:r>
    </w:p>
    <w:p w14:paraId="0F723E3C" w14:textId="77777777" w:rsidR="009867E7" w:rsidRDefault="009867E7" w:rsidP="009867E7">
      <w:pPr>
        <w:rPr>
          <w:b/>
          <w:bCs/>
          <w:vanish/>
          <w:sz w:val="16"/>
          <w:szCs w:val="16"/>
        </w:rPr>
      </w:pPr>
      <w:r w:rsidRPr="00AC1D67">
        <w:rPr>
          <w:sz w:val="24"/>
          <w:szCs w:val="24"/>
        </w:rPr>
        <w:t>The following</w:t>
      </w:r>
      <w:r>
        <w:rPr>
          <w:sz w:val="24"/>
          <w:szCs w:val="24"/>
        </w:rPr>
        <w:t xml:space="preserve"> tables</w:t>
      </w:r>
      <w:r w:rsidRPr="00AC1D67">
        <w:rPr>
          <w:sz w:val="24"/>
          <w:szCs w:val="24"/>
        </w:rPr>
        <w:t xml:space="preserve"> are</w:t>
      </w:r>
      <w:r>
        <w:rPr>
          <w:sz w:val="24"/>
          <w:szCs w:val="24"/>
        </w:rPr>
        <w:t xml:space="preserve"> automatically</w:t>
      </w:r>
      <w:r w:rsidRPr="00AC1D67">
        <w:rPr>
          <w:sz w:val="24"/>
          <w:szCs w:val="24"/>
        </w:rPr>
        <w:t xml:space="preserve"> HUD-generated tables </w:t>
      </w:r>
      <w:r>
        <w:rPr>
          <w:sz w:val="24"/>
          <w:szCs w:val="24"/>
        </w:rPr>
        <w:t xml:space="preserve">within the IDIS eCon Planning Suite </w:t>
      </w:r>
      <w:r w:rsidRPr="00AC1D67">
        <w:rPr>
          <w:sz w:val="24"/>
          <w:szCs w:val="24"/>
        </w:rPr>
        <w:t>using 200</w:t>
      </w:r>
      <w:r>
        <w:rPr>
          <w:sz w:val="24"/>
          <w:szCs w:val="24"/>
        </w:rPr>
        <w:t>9-2013</w:t>
      </w:r>
      <w:r w:rsidRPr="00AC1D67">
        <w:rPr>
          <w:sz w:val="24"/>
          <w:szCs w:val="24"/>
        </w:rPr>
        <w:t xml:space="preserve"> CHAS data.</w:t>
      </w:r>
      <w:r>
        <w:rPr>
          <w:sz w:val="24"/>
          <w:szCs w:val="24"/>
        </w:rPr>
        <w:t xml:space="preserve"> </w:t>
      </w:r>
      <w:r w:rsidRPr="00E94F10">
        <w:rPr>
          <w:sz w:val="24"/>
          <w:szCs w:val="26"/>
        </w:rPr>
        <w:t>HUD Area Median Family Income (HAMFI) is median family income calculated by HUD for each jurisdiction. The calculation is done by HUD to determine Fair Market Rents and income limits for HUD programs by taking into consideration all households in each geographic area.</w:t>
      </w:r>
      <w:r>
        <w:rPr>
          <w:sz w:val="24"/>
          <w:szCs w:val="26"/>
        </w:rPr>
        <w:t xml:space="preserve"> Although HUD uses HAMFI to determine eligibility for some of its programs, the CHAS dataset also uses Area Median Income (AMI). Many of the tables throughout this plan use AMI to create categories for measurement. According to the </w:t>
      </w:r>
      <w:hyperlink r:id="rId18" w:history="1">
        <w:r w:rsidRPr="006144BD">
          <w:rPr>
            <w:rStyle w:val="Hyperlink"/>
            <w:sz w:val="24"/>
            <w:szCs w:val="26"/>
          </w:rPr>
          <w:t>CHAS Data Definitions</w:t>
        </w:r>
      </w:hyperlink>
      <w:r>
        <w:rPr>
          <w:sz w:val="24"/>
          <w:szCs w:val="26"/>
        </w:rPr>
        <w:t>, the AMI and HAMFI are interchangeable when derived from CHAS data.</w:t>
      </w:r>
    </w:p>
    <w:p w14:paraId="2CCA3121" w14:textId="77777777" w:rsidR="009867E7" w:rsidRDefault="009867E7" w:rsidP="009867E7"/>
    <w:p w14:paraId="63CB94B4" w14:textId="77777777" w:rsidR="009867E7" w:rsidRDefault="009867E7" w:rsidP="009867E7">
      <w:pPr>
        <w:keepNext/>
        <w:widowControl w:val="0"/>
        <w:spacing w:line="240" w:lineRule="auto"/>
        <w:contextualSpacing/>
        <w:rPr>
          <w:b/>
          <w:sz w:val="24"/>
          <w:szCs w:val="24"/>
        </w:rPr>
      </w:pPr>
      <w:r>
        <w:rPr>
          <w:b/>
          <w:sz w:val="24"/>
          <w:szCs w:val="24"/>
        </w:rPr>
        <w:t>Table 2 - Number of Households Table</w:t>
      </w:r>
    </w:p>
    <w:tbl>
      <w:tblPr>
        <w:tblStyle w:val="GridTable4-Accent1"/>
        <w:tblW w:w="4831" w:type="pct"/>
        <w:tblLook w:val="04A0" w:firstRow="1" w:lastRow="0" w:firstColumn="1" w:lastColumn="0" w:noHBand="0" w:noVBand="1"/>
      </w:tblPr>
      <w:tblGrid>
        <w:gridCol w:w="1914"/>
        <w:gridCol w:w="1424"/>
        <w:gridCol w:w="1424"/>
        <w:gridCol w:w="1424"/>
        <w:gridCol w:w="1424"/>
        <w:gridCol w:w="1424"/>
      </w:tblGrid>
      <w:tr w:rsidR="009867E7" w14:paraId="1EBB4C4E" w14:textId="77777777" w:rsidTr="007C520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14" w:type="dxa"/>
          </w:tcPr>
          <w:p w14:paraId="1414B5CE" w14:textId="77777777" w:rsidR="009867E7" w:rsidRPr="00300C59" w:rsidRDefault="009867E7" w:rsidP="007C520D">
            <w:pPr>
              <w:keepNext/>
              <w:widowControl w:val="0"/>
              <w:spacing w:after="0" w:line="240" w:lineRule="auto"/>
              <w:contextualSpacing/>
              <w:rPr>
                <w:b w:val="0"/>
                <w:sz w:val="20"/>
              </w:rPr>
            </w:pPr>
          </w:p>
        </w:tc>
        <w:tc>
          <w:tcPr>
            <w:tcW w:w="1424" w:type="dxa"/>
          </w:tcPr>
          <w:p w14:paraId="798F4F56" w14:textId="77777777" w:rsidR="009867E7" w:rsidRPr="00300C59" w:rsidRDefault="009867E7"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300C59">
              <w:rPr>
                <w:bCs w:val="0"/>
                <w:sz w:val="20"/>
              </w:rPr>
              <w:t xml:space="preserve">0-30% </w:t>
            </w:r>
            <w:r w:rsidRPr="00300C59">
              <w:rPr>
                <w:sz w:val="20"/>
              </w:rPr>
              <w:t>HAMFI</w:t>
            </w:r>
          </w:p>
        </w:tc>
        <w:tc>
          <w:tcPr>
            <w:tcW w:w="1424" w:type="dxa"/>
          </w:tcPr>
          <w:p w14:paraId="09E39C98" w14:textId="77777777" w:rsidR="009867E7" w:rsidRPr="00300C59" w:rsidRDefault="009867E7"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300C59">
              <w:rPr>
                <w:bCs w:val="0"/>
                <w:sz w:val="20"/>
              </w:rPr>
              <w:t xml:space="preserve">&gt;30-50% </w:t>
            </w:r>
            <w:r w:rsidRPr="00300C59">
              <w:rPr>
                <w:sz w:val="20"/>
              </w:rPr>
              <w:t>HAMFI</w:t>
            </w:r>
          </w:p>
        </w:tc>
        <w:tc>
          <w:tcPr>
            <w:tcW w:w="1424" w:type="dxa"/>
          </w:tcPr>
          <w:p w14:paraId="7BFB1A8E" w14:textId="77777777" w:rsidR="009867E7" w:rsidRPr="00300C59" w:rsidRDefault="009867E7"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300C59">
              <w:rPr>
                <w:bCs w:val="0"/>
                <w:sz w:val="20"/>
              </w:rPr>
              <w:t xml:space="preserve">&gt;50-80% </w:t>
            </w:r>
            <w:r w:rsidRPr="00300C59">
              <w:rPr>
                <w:sz w:val="20"/>
              </w:rPr>
              <w:t>HAMFI</w:t>
            </w:r>
          </w:p>
        </w:tc>
        <w:tc>
          <w:tcPr>
            <w:tcW w:w="1424" w:type="dxa"/>
          </w:tcPr>
          <w:p w14:paraId="6B36A149" w14:textId="77777777" w:rsidR="009867E7" w:rsidRPr="00300C59" w:rsidRDefault="009867E7"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sz w:val="20"/>
              </w:rPr>
            </w:pPr>
            <w:r w:rsidRPr="00300C59">
              <w:rPr>
                <w:bCs w:val="0"/>
                <w:sz w:val="20"/>
              </w:rPr>
              <w:t xml:space="preserve">&gt;80-100% </w:t>
            </w:r>
            <w:r w:rsidRPr="00300C59">
              <w:rPr>
                <w:sz w:val="20"/>
              </w:rPr>
              <w:t>HAMFI</w:t>
            </w:r>
          </w:p>
        </w:tc>
        <w:tc>
          <w:tcPr>
            <w:tcW w:w="1424" w:type="dxa"/>
          </w:tcPr>
          <w:p w14:paraId="29D65659" w14:textId="77777777" w:rsidR="009867E7" w:rsidRPr="00300C59" w:rsidRDefault="009867E7" w:rsidP="007C520D">
            <w:pPr>
              <w:keepNext/>
              <w:widowControl w:val="0"/>
              <w:spacing w:after="0" w:line="240" w:lineRule="auto"/>
              <w:contextualSpacing/>
              <w:cnfStyle w:val="100000000000" w:firstRow="1" w:lastRow="0" w:firstColumn="0" w:lastColumn="0" w:oddVBand="0" w:evenVBand="0" w:oddHBand="0" w:evenHBand="0" w:firstRowFirstColumn="0" w:firstRowLastColumn="0" w:lastRowFirstColumn="0" w:lastRowLastColumn="0"/>
              <w:rPr>
                <w:sz w:val="20"/>
              </w:rPr>
            </w:pPr>
            <w:r w:rsidRPr="00300C59">
              <w:rPr>
                <w:sz w:val="20"/>
              </w:rPr>
              <w:t>&gt;100% HAMFI</w:t>
            </w:r>
          </w:p>
        </w:tc>
      </w:tr>
      <w:tr w:rsidR="009867E7" w14:paraId="50A279C6" w14:textId="77777777" w:rsidTr="007C52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14" w:type="dxa"/>
          </w:tcPr>
          <w:p w14:paraId="126B1A1D" w14:textId="77777777" w:rsidR="009867E7" w:rsidRPr="00300C59" w:rsidRDefault="009867E7" w:rsidP="007C520D">
            <w:pPr>
              <w:keepNext/>
              <w:widowControl w:val="0"/>
              <w:spacing w:after="0" w:line="240" w:lineRule="auto"/>
              <w:rPr>
                <w:b w:val="0"/>
                <w:sz w:val="20"/>
              </w:rPr>
            </w:pPr>
            <w:r w:rsidRPr="00300C59">
              <w:rPr>
                <w:rFonts w:cs="Arial"/>
                <w:b w:val="0"/>
                <w:sz w:val="20"/>
              </w:rPr>
              <w:t xml:space="preserve">Total Households </w:t>
            </w:r>
          </w:p>
        </w:tc>
        <w:tc>
          <w:tcPr>
            <w:tcW w:w="1424" w:type="dxa"/>
          </w:tcPr>
          <w:p w14:paraId="31D592D8"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121,530</w:t>
            </w:r>
          </w:p>
        </w:tc>
        <w:tc>
          <w:tcPr>
            <w:tcW w:w="1424" w:type="dxa"/>
          </w:tcPr>
          <w:p w14:paraId="696F26CF"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128,305</w:t>
            </w:r>
          </w:p>
        </w:tc>
        <w:tc>
          <w:tcPr>
            <w:tcW w:w="1424" w:type="dxa"/>
          </w:tcPr>
          <w:p w14:paraId="6830B1D5"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192,880</w:t>
            </w:r>
          </w:p>
        </w:tc>
        <w:tc>
          <w:tcPr>
            <w:tcW w:w="1424" w:type="dxa"/>
          </w:tcPr>
          <w:p w14:paraId="2F232207"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118,645</w:t>
            </w:r>
          </w:p>
        </w:tc>
        <w:tc>
          <w:tcPr>
            <w:tcW w:w="1424" w:type="dxa"/>
          </w:tcPr>
          <w:p w14:paraId="71DD44BA"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549,080</w:t>
            </w:r>
          </w:p>
        </w:tc>
      </w:tr>
      <w:tr w:rsidR="009867E7" w14:paraId="7DA1027A" w14:textId="77777777" w:rsidTr="007C520D">
        <w:trPr>
          <w:trHeight w:val="268"/>
        </w:trPr>
        <w:tc>
          <w:tcPr>
            <w:cnfStyle w:val="001000000000" w:firstRow="0" w:lastRow="0" w:firstColumn="1" w:lastColumn="0" w:oddVBand="0" w:evenVBand="0" w:oddHBand="0" w:evenHBand="0" w:firstRowFirstColumn="0" w:firstRowLastColumn="0" w:lastRowFirstColumn="0" w:lastRowLastColumn="0"/>
            <w:tcW w:w="1914" w:type="dxa"/>
          </w:tcPr>
          <w:p w14:paraId="0426717B" w14:textId="77777777" w:rsidR="009867E7" w:rsidRPr="00300C59" w:rsidRDefault="009867E7" w:rsidP="007C520D">
            <w:pPr>
              <w:keepNext/>
              <w:widowControl w:val="0"/>
              <w:spacing w:after="0" w:line="240" w:lineRule="auto"/>
              <w:rPr>
                <w:b w:val="0"/>
                <w:sz w:val="20"/>
              </w:rPr>
            </w:pPr>
            <w:r w:rsidRPr="00300C59">
              <w:rPr>
                <w:rFonts w:cs="Arial"/>
                <w:b w:val="0"/>
                <w:sz w:val="20"/>
              </w:rPr>
              <w:t xml:space="preserve">Small Family Households </w:t>
            </w:r>
          </w:p>
        </w:tc>
        <w:tc>
          <w:tcPr>
            <w:tcW w:w="1424" w:type="dxa"/>
          </w:tcPr>
          <w:p w14:paraId="51DC394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34,445</w:t>
            </w:r>
          </w:p>
        </w:tc>
        <w:tc>
          <w:tcPr>
            <w:tcW w:w="1424" w:type="dxa"/>
          </w:tcPr>
          <w:p w14:paraId="088E181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37,470</w:t>
            </w:r>
          </w:p>
        </w:tc>
        <w:tc>
          <w:tcPr>
            <w:tcW w:w="1424" w:type="dxa"/>
          </w:tcPr>
          <w:p w14:paraId="4E3FB04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64,940</w:t>
            </w:r>
          </w:p>
        </w:tc>
        <w:tc>
          <w:tcPr>
            <w:tcW w:w="1424" w:type="dxa"/>
          </w:tcPr>
          <w:p w14:paraId="7C5B7AC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46,765</w:t>
            </w:r>
          </w:p>
        </w:tc>
        <w:tc>
          <w:tcPr>
            <w:tcW w:w="1424" w:type="dxa"/>
          </w:tcPr>
          <w:p w14:paraId="5C81E0F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297,735</w:t>
            </w:r>
          </w:p>
        </w:tc>
      </w:tr>
      <w:tr w:rsidR="009867E7" w14:paraId="52136200" w14:textId="77777777" w:rsidTr="007C520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914" w:type="dxa"/>
          </w:tcPr>
          <w:p w14:paraId="24E907D8" w14:textId="77777777" w:rsidR="009867E7" w:rsidRPr="00300C59" w:rsidRDefault="009867E7" w:rsidP="007C520D">
            <w:pPr>
              <w:keepNext/>
              <w:widowControl w:val="0"/>
              <w:spacing w:after="0" w:line="240" w:lineRule="auto"/>
              <w:rPr>
                <w:b w:val="0"/>
                <w:sz w:val="20"/>
              </w:rPr>
            </w:pPr>
            <w:r w:rsidRPr="00300C59">
              <w:rPr>
                <w:rFonts w:cs="Arial"/>
                <w:b w:val="0"/>
                <w:sz w:val="20"/>
              </w:rPr>
              <w:t xml:space="preserve">Large Family Households </w:t>
            </w:r>
          </w:p>
        </w:tc>
        <w:tc>
          <w:tcPr>
            <w:tcW w:w="1424" w:type="dxa"/>
          </w:tcPr>
          <w:p w14:paraId="1ADEB752"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7,185</w:t>
            </w:r>
          </w:p>
        </w:tc>
        <w:tc>
          <w:tcPr>
            <w:tcW w:w="1424" w:type="dxa"/>
          </w:tcPr>
          <w:p w14:paraId="6D2B9410"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10,645</w:t>
            </w:r>
          </w:p>
        </w:tc>
        <w:tc>
          <w:tcPr>
            <w:tcW w:w="1424" w:type="dxa"/>
          </w:tcPr>
          <w:p w14:paraId="3BDC0A65"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17,580</w:t>
            </w:r>
          </w:p>
        </w:tc>
        <w:tc>
          <w:tcPr>
            <w:tcW w:w="1424" w:type="dxa"/>
          </w:tcPr>
          <w:p w14:paraId="0387A3C8"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11,500</w:t>
            </w:r>
          </w:p>
        </w:tc>
        <w:tc>
          <w:tcPr>
            <w:tcW w:w="1424" w:type="dxa"/>
          </w:tcPr>
          <w:p w14:paraId="05A2D007"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49,505</w:t>
            </w:r>
          </w:p>
        </w:tc>
      </w:tr>
      <w:tr w:rsidR="009867E7" w14:paraId="3969665D" w14:textId="77777777" w:rsidTr="007C520D">
        <w:trPr>
          <w:trHeight w:val="268"/>
        </w:trPr>
        <w:tc>
          <w:tcPr>
            <w:cnfStyle w:val="001000000000" w:firstRow="0" w:lastRow="0" w:firstColumn="1" w:lastColumn="0" w:oddVBand="0" w:evenVBand="0" w:oddHBand="0" w:evenHBand="0" w:firstRowFirstColumn="0" w:firstRowLastColumn="0" w:lastRowFirstColumn="0" w:lastRowLastColumn="0"/>
            <w:tcW w:w="1914" w:type="dxa"/>
          </w:tcPr>
          <w:p w14:paraId="4CA38273" w14:textId="77777777" w:rsidR="009867E7" w:rsidRPr="00300C59" w:rsidRDefault="009867E7" w:rsidP="007C520D">
            <w:pPr>
              <w:keepNext/>
              <w:widowControl w:val="0"/>
              <w:spacing w:after="0" w:line="240" w:lineRule="auto"/>
              <w:rPr>
                <w:b w:val="0"/>
                <w:sz w:val="20"/>
              </w:rPr>
            </w:pPr>
            <w:r w:rsidRPr="00300C59">
              <w:rPr>
                <w:rFonts w:cs="Arial"/>
                <w:b w:val="0"/>
                <w:sz w:val="20"/>
              </w:rPr>
              <w:t>Household contains at least one person 62-74 years of age</w:t>
            </w:r>
          </w:p>
        </w:tc>
        <w:tc>
          <w:tcPr>
            <w:tcW w:w="1424" w:type="dxa"/>
          </w:tcPr>
          <w:p w14:paraId="37D0578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16,665</w:t>
            </w:r>
          </w:p>
        </w:tc>
        <w:tc>
          <w:tcPr>
            <w:tcW w:w="1424" w:type="dxa"/>
          </w:tcPr>
          <w:p w14:paraId="4EBBE45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22,110</w:t>
            </w:r>
          </w:p>
        </w:tc>
        <w:tc>
          <w:tcPr>
            <w:tcW w:w="1424" w:type="dxa"/>
          </w:tcPr>
          <w:p w14:paraId="19348E5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35,815</w:t>
            </w:r>
          </w:p>
        </w:tc>
        <w:tc>
          <w:tcPr>
            <w:tcW w:w="1424" w:type="dxa"/>
          </w:tcPr>
          <w:p w14:paraId="10456F2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21,790</w:t>
            </w:r>
          </w:p>
        </w:tc>
        <w:tc>
          <w:tcPr>
            <w:tcW w:w="1424" w:type="dxa"/>
          </w:tcPr>
          <w:p w14:paraId="52C70DC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102,325</w:t>
            </w:r>
          </w:p>
        </w:tc>
      </w:tr>
      <w:tr w:rsidR="009867E7" w14:paraId="5EEBE45B" w14:textId="77777777" w:rsidTr="007C520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914" w:type="dxa"/>
          </w:tcPr>
          <w:p w14:paraId="1B88BF0D" w14:textId="77777777" w:rsidR="009867E7" w:rsidRPr="00300C59" w:rsidRDefault="009867E7" w:rsidP="007C520D">
            <w:pPr>
              <w:keepNext/>
              <w:widowControl w:val="0"/>
              <w:spacing w:after="0" w:line="240" w:lineRule="auto"/>
              <w:rPr>
                <w:b w:val="0"/>
                <w:sz w:val="20"/>
              </w:rPr>
            </w:pPr>
            <w:r w:rsidRPr="00300C59">
              <w:rPr>
                <w:rFonts w:cs="Arial"/>
                <w:b w:val="0"/>
                <w:sz w:val="20"/>
              </w:rPr>
              <w:t>Household contains at least one person age 75 or older</w:t>
            </w:r>
          </w:p>
        </w:tc>
        <w:tc>
          <w:tcPr>
            <w:tcW w:w="1424" w:type="dxa"/>
          </w:tcPr>
          <w:p w14:paraId="68161137"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16,430</w:t>
            </w:r>
          </w:p>
        </w:tc>
        <w:tc>
          <w:tcPr>
            <w:tcW w:w="1424" w:type="dxa"/>
          </w:tcPr>
          <w:p w14:paraId="319F4D5D"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28,505</w:t>
            </w:r>
          </w:p>
        </w:tc>
        <w:tc>
          <w:tcPr>
            <w:tcW w:w="1424" w:type="dxa"/>
          </w:tcPr>
          <w:p w14:paraId="4767AF38"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31,555</w:t>
            </w:r>
          </w:p>
        </w:tc>
        <w:tc>
          <w:tcPr>
            <w:tcW w:w="1424" w:type="dxa"/>
          </w:tcPr>
          <w:p w14:paraId="6FB9C74A"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13,695</w:t>
            </w:r>
          </w:p>
        </w:tc>
        <w:tc>
          <w:tcPr>
            <w:tcW w:w="1424" w:type="dxa"/>
          </w:tcPr>
          <w:p w14:paraId="451F5AD1" w14:textId="77777777" w:rsidR="009867E7" w:rsidRPr="00300C59" w:rsidRDefault="009867E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300C59">
              <w:rPr>
                <w:sz w:val="20"/>
              </w:rPr>
              <w:t>36,365</w:t>
            </w:r>
          </w:p>
        </w:tc>
      </w:tr>
      <w:tr w:rsidR="009867E7" w14:paraId="001C4BB9" w14:textId="77777777" w:rsidTr="007C520D">
        <w:trPr>
          <w:trHeight w:val="268"/>
        </w:trPr>
        <w:tc>
          <w:tcPr>
            <w:cnfStyle w:val="001000000000" w:firstRow="0" w:lastRow="0" w:firstColumn="1" w:lastColumn="0" w:oddVBand="0" w:evenVBand="0" w:oddHBand="0" w:evenHBand="0" w:firstRowFirstColumn="0" w:firstRowLastColumn="0" w:lastRowFirstColumn="0" w:lastRowLastColumn="0"/>
            <w:tcW w:w="1914" w:type="dxa"/>
          </w:tcPr>
          <w:p w14:paraId="1AA46E7F" w14:textId="77777777" w:rsidR="009867E7" w:rsidRPr="00300C59" w:rsidRDefault="009867E7" w:rsidP="007C520D">
            <w:pPr>
              <w:keepNext/>
              <w:widowControl w:val="0"/>
              <w:spacing w:after="0" w:line="240" w:lineRule="auto"/>
              <w:rPr>
                <w:b w:val="0"/>
                <w:sz w:val="20"/>
              </w:rPr>
            </w:pPr>
            <w:r w:rsidRPr="00300C59">
              <w:rPr>
                <w:rFonts w:cs="Arial"/>
                <w:b w:val="0"/>
                <w:sz w:val="20"/>
              </w:rPr>
              <w:t xml:space="preserve">Households with one or more children 6 years old or younger </w:t>
            </w:r>
          </w:p>
        </w:tc>
        <w:tc>
          <w:tcPr>
            <w:tcW w:w="1424" w:type="dxa"/>
          </w:tcPr>
          <w:p w14:paraId="312FC62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22,555</w:t>
            </w:r>
          </w:p>
        </w:tc>
        <w:tc>
          <w:tcPr>
            <w:tcW w:w="1424" w:type="dxa"/>
          </w:tcPr>
          <w:p w14:paraId="10D1424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24,290</w:t>
            </w:r>
          </w:p>
        </w:tc>
        <w:tc>
          <w:tcPr>
            <w:tcW w:w="1424" w:type="dxa"/>
          </w:tcPr>
          <w:p w14:paraId="46E8402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34,965</w:t>
            </w:r>
          </w:p>
        </w:tc>
        <w:tc>
          <w:tcPr>
            <w:tcW w:w="1424" w:type="dxa"/>
          </w:tcPr>
          <w:p w14:paraId="56F3333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21,395</w:t>
            </w:r>
          </w:p>
        </w:tc>
        <w:tc>
          <w:tcPr>
            <w:tcW w:w="1424" w:type="dxa"/>
          </w:tcPr>
          <w:p w14:paraId="4B00FDF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61,770</w:t>
            </w:r>
          </w:p>
        </w:tc>
      </w:tr>
    </w:tbl>
    <w:p w14:paraId="58919AE6" w14:textId="77777777" w:rsidR="009867E7" w:rsidRPr="000D1D10" w:rsidRDefault="009867E7" w:rsidP="009867E7">
      <w:pPr>
        <w:rPr>
          <w:i/>
          <w:sz w:val="18"/>
          <w:szCs w:val="26"/>
        </w:rPr>
      </w:pPr>
      <w:r w:rsidRPr="000D1D10">
        <w:rPr>
          <w:i/>
          <w:sz w:val="18"/>
          <w:szCs w:val="26"/>
        </w:rPr>
        <w:t>Source: 2009-2013 CHAS</w:t>
      </w:r>
    </w:p>
    <w:p w14:paraId="64F04737" w14:textId="77777777" w:rsidR="009867E7" w:rsidRDefault="009867E7" w:rsidP="009867E7">
      <w:pPr>
        <w:rPr>
          <w:sz w:val="24"/>
          <w:szCs w:val="26"/>
        </w:rPr>
      </w:pPr>
      <w:r w:rsidRPr="00E94F10">
        <w:rPr>
          <w:sz w:val="24"/>
          <w:szCs w:val="26"/>
        </w:rPr>
        <w:t>Nearly 50% of all Kansas households earn above 100% HAMFI. Of the 442,715 households earning below 80% HAMFI:</w:t>
      </w:r>
    </w:p>
    <w:p w14:paraId="70E8F327" w14:textId="77777777" w:rsidR="009867E7" w:rsidRDefault="009867E7" w:rsidP="00A121EE">
      <w:pPr>
        <w:pStyle w:val="ListParagraph"/>
        <w:numPr>
          <w:ilvl w:val="0"/>
          <w:numId w:val="27"/>
        </w:numPr>
        <w:rPr>
          <w:sz w:val="24"/>
          <w:szCs w:val="26"/>
        </w:rPr>
      </w:pPr>
      <w:r w:rsidRPr="00E94F10">
        <w:rPr>
          <w:sz w:val="24"/>
          <w:szCs w:val="26"/>
        </w:rPr>
        <w:t>28% are extremely low income (&lt;30% HAMFI)</w:t>
      </w:r>
    </w:p>
    <w:p w14:paraId="33C507C5" w14:textId="77777777" w:rsidR="009867E7" w:rsidRDefault="009867E7" w:rsidP="00A121EE">
      <w:pPr>
        <w:pStyle w:val="ListParagraph"/>
        <w:numPr>
          <w:ilvl w:val="0"/>
          <w:numId w:val="27"/>
        </w:numPr>
        <w:rPr>
          <w:sz w:val="24"/>
          <w:szCs w:val="26"/>
        </w:rPr>
      </w:pPr>
      <w:r>
        <w:rPr>
          <w:sz w:val="24"/>
          <w:szCs w:val="26"/>
        </w:rPr>
        <w:t xml:space="preserve">29% are </w:t>
      </w:r>
      <w:r w:rsidRPr="00E94F10">
        <w:rPr>
          <w:sz w:val="24"/>
          <w:szCs w:val="26"/>
        </w:rPr>
        <w:t>low income (30-50% HAMFI)</w:t>
      </w:r>
    </w:p>
    <w:p w14:paraId="28C7D9EC" w14:textId="77777777" w:rsidR="009867E7" w:rsidRDefault="009867E7" w:rsidP="00A121EE">
      <w:pPr>
        <w:pStyle w:val="ListParagraph"/>
        <w:numPr>
          <w:ilvl w:val="0"/>
          <w:numId w:val="27"/>
        </w:numPr>
        <w:rPr>
          <w:sz w:val="24"/>
          <w:szCs w:val="26"/>
        </w:rPr>
      </w:pPr>
      <w:r w:rsidRPr="00E94F10">
        <w:rPr>
          <w:sz w:val="24"/>
          <w:szCs w:val="26"/>
        </w:rPr>
        <w:t xml:space="preserve">44% are </w:t>
      </w:r>
      <w:r>
        <w:rPr>
          <w:sz w:val="24"/>
          <w:szCs w:val="26"/>
        </w:rPr>
        <w:t>moderate</w:t>
      </w:r>
      <w:r w:rsidRPr="00E94F10">
        <w:rPr>
          <w:sz w:val="24"/>
          <w:szCs w:val="26"/>
        </w:rPr>
        <w:t xml:space="preserve"> income (50-80% HAMFI)</w:t>
      </w:r>
    </w:p>
    <w:p w14:paraId="160005E8" w14:textId="77777777" w:rsidR="009867E7" w:rsidRDefault="009867E7" w:rsidP="009867E7">
      <w:pPr>
        <w:rPr>
          <w:sz w:val="24"/>
          <w:szCs w:val="26"/>
        </w:rPr>
      </w:pPr>
      <w:r w:rsidRPr="00E94F10">
        <w:rPr>
          <w:sz w:val="24"/>
          <w:szCs w:val="26"/>
        </w:rPr>
        <w:t>Of all households earning below 80% HAMFI, 31% are small family households, consisting of 2-4 family members, and 19% are households with one or more children 6 years old or younger. Of all households containing at least one person age 75</w:t>
      </w:r>
      <w:r>
        <w:rPr>
          <w:sz w:val="24"/>
          <w:szCs w:val="26"/>
        </w:rPr>
        <w:t xml:space="preserve"> years</w:t>
      </w:r>
      <w:r w:rsidRPr="00E94F10">
        <w:rPr>
          <w:sz w:val="24"/>
          <w:szCs w:val="26"/>
        </w:rPr>
        <w:t xml:space="preserve"> or older, 60% are low-income, earning 80% HAMFI or less.</w:t>
      </w:r>
    </w:p>
    <w:p w14:paraId="19EF6096" w14:textId="77777777" w:rsidR="009867E7" w:rsidRPr="00EB5D47" w:rsidRDefault="009867E7" w:rsidP="009867E7">
      <w:pPr>
        <w:rPr>
          <w:sz w:val="24"/>
          <w:szCs w:val="24"/>
        </w:rPr>
      </w:pPr>
      <w:r w:rsidRPr="00EB5D47">
        <w:rPr>
          <w:sz w:val="24"/>
          <w:szCs w:val="24"/>
        </w:rPr>
        <w:t>There are four types of housing problems that HUD collects data on:</w:t>
      </w:r>
    </w:p>
    <w:p w14:paraId="0F592307" w14:textId="77777777" w:rsidR="009867E7" w:rsidRPr="00EB5D47" w:rsidRDefault="009867E7" w:rsidP="00A121EE">
      <w:pPr>
        <w:pStyle w:val="ListParagraph"/>
        <w:numPr>
          <w:ilvl w:val="0"/>
          <w:numId w:val="28"/>
        </w:numPr>
        <w:rPr>
          <w:sz w:val="24"/>
          <w:szCs w:val="24"/>
        </w:rPr>
      </w:pPr>
      <w:r w:rsidRPr="00EB5D47">
        <w:rPr>
          <w:sz w:val="24"/>
          <w:szCs w:val="24"/>
        </w:rPr>
        <w:t>Lacking complete kitchen facilities</w:t>
      </w:r>
    </w:p>
    <w:p w14:paraId="69A1706C" w14:textId="77777777" w:rsidR="009867E7" w:rsidRPr="00EB5D47" w:rsidRDefault="009867E7" w:rsidP="00A121EE">
      <w:pPr>
        <w:pStyle w:val="ListParagraph"/>
        <w:numPr>
          <w:ilvl w:val="1"/>
          <w:numId w:val="28"/>
        </w:numPr>
        <w:spacing w:line="240" w:lineRule="auto"/>
        <w:rPr>
          <w:sz w:val="24"/>
          <w:szCs w:val="24"/>
        </w:rPr>
      </w:pPr>
      <w:r w:rsidRPr="00EB5D47">
        <w:rPr>
          <w:sz w:val="24"/>
          <w:szCs w:val="24"/>
        </w:rPr>
        <w:t>A complete kitchen consists of a sink with a faucet, a stove or range, and a refrigerator</w:t>
      </w:r>
    </w:p>
    <w:p w14:paraId="7162D7DE" w14:textId="77777777" w:rsidR="009867E7" w:rsidRPr="00EB5D47" w:rsidRDefault="009867E7" w:rsidP="00A121EE">
      <w:pPr>
        <w:pStyle w:val="ListParagraph"/>
        <w:numPr>
          <w:ilvl w:val="0"/>
          <w:numId w:val="28"/>
        </w:numPr>
        <w:spacing w:line="240" w:lineRule="auto"/>
        <w:rPr>
          <w:sz w:val="24"/>
          <w:szCs w:val="24"/>
        </w:rPr>
      </w:pPr>
      <w:r w:rsidRPr="00EB5D47">
        <w:rPr>
          <w:sz w:val="24"/>
          <w:szCs w:val="24"/>
        </w:rPr>
        <w:t>Housing unit complete plumbing facilities</w:t>
      </w:r>
    </w:p>
    <w:p w14:paraId="78004A6B" w14:textId="77777777" w:rsidR="009867E7" w:rsidRPr="00EB5D47" w:rsidRDefault="009867E7" w:rsidP="00A121EE">
      <w:pPr>
        <w:pStyle w:val="ListParagraph"/>
        <w:numPr>
          <w:ilvl w:val="1"/>
          <w:numId w:val="28"/>
        </w:numPr>
        <w:spacing w:line="240" w:lineRule="auto"/>
        <w:rPr>
          <w:sz w:val="24"/>
          <w:szCs w:val="24"/>
        </w:rPr>
      </w:pPr>
      <w:r w:rsidRPr="00EB5D47">
        <w:rPr>
          <w:sz w:val="24"/>
          <w:szCs w:val="24"/>
        </w:rPr>
        <w:t>Complete plumbing consists of hot and cold running water, a flush toilet, and a bathtub or shower</w:t>
      </w:r>
    </w:p>
    <w:p w14:paraId="3E33E4EE" w14:textId="77777777" w:rsidR="009867E7" w:rsidRPr="00EB5D47" w:rsidRDefault="009867E7" w:rsidP="00A121EE">
      <w:pPr>
        <w:pStyle w:val="ListParagraph"/>
        <w:keepNext/>
        <w:widowControl w:val="0"/>
        <w:numPr>
          <w:ilvl w:val="0"/>
          <w:numId w:val="28"/>
        </w:numPr>
        <w:spacing w:line="240" w:lineRule="auto"/>
        <w:rPr>
          <w:bCs/>
          <w:sz w:val="24"/>
          <w:szCs w:val="24"/>
        </w:rPr>
      </w:pPr>
      <w:r w:rsidRPr="00EB5D47">
        <w:rPr>
          <w:bCs/>
          <w:sz w:val="24"/>
          <w:szCs w:val="24"/>
        </w:rPr>
        <w:t>Cost burden greater than 30% of income</w:t>
      </w:r>
    </w:p>
    <w:p w14:paraId="67E25440" w14:textId="77777777" w:rsidR="009867E7" w:rsidRPr="00EB5D47" w:rsidRDefault="009867E7" w:rsidP="00A121EE">
      <w:pPr>
        <w:pStyle w:val="ListParagraph"/>
        <w:keepNext/>
        <w:widowControl w:val="0"/>
        <w:numPr>
          <w:ilvl w:val="0"/>
          <w:numId w:val="28"/>
        </w:numPr>
        <w:spacing w:line="240" w:lineRule="auto"/>
        <w:rPr>
          <w:bCs/>
          <w:sz w:val="24"/>
          <w:szCs w:val="24"/>
        </w:rPr>
      </w:pPr>
      <w:r w:rsidRPr="00EB5D47">
        <w:rPr>
          <w:bCs/>
          <w:sz w:val="24"/>
          <w:szCs w:val="24"/>
        </w:rPr>
        <w:t>More than one person per room (overcrowding)</w:t>
      </w:r>
    </w:p>
    <w:p w14:paraId="70C71AA0" w14:textId="77777777" w:rsidR="009867E7" w:rsidRDefault="009867E7" w:rsidP="009867E7">
      <w:pPr>
        <w:rPr>
          <w:sz w:val="24"/>
          <w:szCs w:val="26"/>
        </w:rPr>
      </w:pPr>
      <w:r>
        <w:rPr>
          <w:sz w:val="24"/>
          <w:szCs w:val="26"/>
        </w:rPr>
        <w:t xml:space="preserve">The following tables look only at households in Kansas that are below 80% or 100% AMI, as indicated within the table. </w:t>
      </w:r>
    </w:p>
    <w:p w14:paraId="2155643D" w14:textId="77777777" w:rsidR="009867E7" w:rsidRDefault="009867E7" w:rsidP="009867E7">
      <w:pPr>
        <w:keepNext/>
        <w:widowControl w:val="0"/>
        <w:spacing w:line="240" w:lineRule="auto"/>
        <w:contextualSpacing/>
        <w:rPr>
          <w:bCs/>
          <w:sz w:val="24"/>
          <w:szCs w:val="24"/>
        </w:rPr>
      </w:pPr>
      <w:r>
        <w:rPr>
          <w:b/>
          <w:sz w:val="24"/>
          <w:szCs w:val="24"/>
        </w:rPr>
        <w:t>Table 3.1 – Renter Housing Problems</w:t>
      </w:r>
    </w:p>
    <w:tbl>
      <w:tblPr>
        <w:tblStyle w:val="GridTable4-Accent1"/>
        <w:tblW w:w="5000" w:type="pct"/>
        <w:tblLayout w:type="fixed"/>
        <w:tblLook w:val="02A0" w:firstRow="1" w:lastRow="0" w:firstColumn="1" w:lastColumn="0" w:noHBand="1" w:noVBand="0"/>
      </w:tblPr>
      <w:tblGrid>
        <w:gridCol w:w="4503"/>
        <w:gridCol w:w="902"/>
        <w:gridCol w:w="992"/>
        <w:gridCol w:w="992"/>
        <w:gridCol w:w="1082"/>
        <w:gridCol w:w="879"/>
      </w:tblGrid>
      <w:tr w:rsidR="009867E7" w14:paraId="7CCA8D3B" w14:textId="77777777" w:rsidTr="007C520D">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495" w:type="dxa"/>
            <w:vMerge w:val="restart"/>
          </w:tcPr>
          <w:p w14:paraId="63F3323A" w14:textId="77777777" w:rsidR="009867E7" w:rsidRPr="00300C59" w:rsidRDefault="009867E7" w:rsidP="007C520D">
            <w:pPr>
              <w:pStyle w:val="Caption"/>
              <w:keepNext/>
              <w:widowControl w:val="0"/>
              <w:contextualSpacing/>
              <w:jc w:val="cente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4837" w:type="dxa"/>
            <w:gridSpan w:val="5"/>
            <w:tcBorders>
              <w:bottom w:val="double" w:sz="6" w:space="0" w:color="auto"/>
              <w:right w:val="single" w:sz="4" w:space="0" w:color="95B3D7" w:themeColor="accent1" w:themeTint="99"/>
            </w:tcBorders>
          </w:tcPr>
          <w:p w14:paraId="03DAD283" w14:textId="77777777" w:rsidR="009867E7" w:rsidRPr="00300C59" w:rsidRDefault="009867E7" w:rsidP="007C520D">
            <w:pPr>
              <w:keepNext/>
              <w:widowControl w:val="0"/>
              <w:spacing w:after="0" w:line="240" w:lineRule="auto"/>
              <w:contextualSpacing/>
              <w:jc w:val="center"/>
              <w:rPr>
                <w:sz w:val="20"/>
                <w:szCs w:val="20"/>
              </w:rPr>
            </w:pPr>
            <w:r w:rsidRPr="009204CE">
              <w:rPr>
                <w:bCs w:val="0"/>
                <w:szCs w:val="20"/>
              </w:rPr>
              <w:t>Renter</w:t>
            </w:r>
          </w:p>
        </w:tc>
      </w:tr>
      <w:tr w:rsidR="009867E7" w14:paraId="0F2EA421" w14:textId="77777777" w:rsidTr="007C520D">
        <w:trPr>
          <w:trHeight w:val="457"/>
        </w:trPr>
        <w:tc>
          <w:tcPr>
            <w:cnfStyle w:val="001000000000" w:firstRow="0" w:lastRow="0" w:firstColumn="1" w:lastColumn="0" w:oddVBand="0" w:evenVBand="0" w:oddHBand="0" w:evenHBand="0" w:firstRowFirstColumn="0" w:firstRowLastColumn="0" w:lastRowFirstColumn="0" w:lastRowLastColumn="0"/>
            <w:tcW w:w="4495" w:type="dxa"/>
            <w:vMerge/>
          </w:tcPr>
          <w:p w14:paraId="0198FFA2" w14:textId="77777777" w:rsidR="009867E7" w:rsidRPr="00300C59" w:rsidRDefault="009867E7" w:rsidP="007C520D">
            <w:pPr>
              <w:pStyle w:val="Caption"/>
              <w:keepNext/>
              <w:widowControl w:val="0"/>
              <w:jc w:val="cente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900" w:type="dxa"/>
            <w:tcBorders>
              <w:top w:val="double" w:sz="6" w:space="0" w:color="auto"/>
            </w:tcBorders>
            <w:shd w:val="clear" w:color="auto" w:fill="4F81BD" w:themeFill="accent1"/>
          </w:tcPr>
          <w:p w14:paraId="65938C3E"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990" w:type="dxa"/>
            <w:tcBorders>
              <w:top w:val="double" w:sz="6" w:space="0" w:color="auto"/>
            </w:tcBorders>
            <w:shd w:val="clear" w:color="auto" w:fill="4F81BD" w:themeFill="accent1"/>
          </w:tcPr>
          <w:p w14:paraId="68780EAC"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90" w:type="dxa"/>
            <w:tcBorders>
              <w:top w:val="double" w:sz="6" w:space="0" w:color="auto"/>
            </w:tcBorders>
            <w:shd w:val="clear" w:color="auto" w:fill="4F81BD" w:themeFill="accent1"/>
          </w:tcPr>
          <w:p w14:paraId="60D7D438"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1080" w:type="dxa"/>
            <w:tcBorders>
              <w:top w:val="double" w:sz="6" w:space="0" w:color="auto"/>
            </w:tcBorders>
            <w:shd w:val="clear" w:color="auto" w:fill="4F81BD" w:themeFill="accent1"/>
          </w:tcPr>
          <w:p w14:paraId="52F54C39"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&gt;80-100% AMI</w:t>
            </w:r>
          </w:p>
        </w:tc>
        <w:tc>
          <w:tcPr>
            <w:cnfStyle w:val="000010000000" w:firstRow="0" w:lastRow="0" w:firstColumn="0" w:lastColumn="0" w:oddVBand="1" w:evenVBand="0" w:oddHBand="0" w:evenHBand="0" w:firstRowFirstColumn="0" w:firstRowLastColumn="0" w:lastRowFirstColumn="0" w:lastRowLastColumn="0"/>
            <w:tcW w:w="877" w:type="dxa"/>
            <w:tcBorders>
              <w:top w:val="double" w:sz="6" w:space="0" w:color="auto"/>
              <w:right w:val="single" w:sz="4" w:space="0" w:color="95B3D7" w:themeColor="accent1" w:themeTint="99"/>
            </w:tcBorders>
            <w:shd w:val="clear" w:color="auto" w:fill="4F81BD" w:themeFill="accent1"/>
          </w:tcPr>
          <w:p w14:paraId="277A056B"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Total</w:t>
            </w:r>
          </w:p>
        </w:tc>
      </w:tr>
      <w:tr w:rsidR="009867E7" w14:paraId="067D9555" w14:textId="77777777" w:rsidTr="007C520D">
        <w:trPr>
          <w:trHeight w:val="512"/>
        </w:trPr>
        <w:tc>
          <w:tcPr>
            <w:cnfStyle w:val="001000000000" w:firstRow="0" w:lastRow="0" w:firstColumn="1" w:lastColumn="0" w:oddVBand="0" w:evenVBand="0" w:oddHBand="0" w:evenHBand="0" w:firstRowFirstColumn="0" w:firstRowLastColumn="0" w:lastRowFirstColumn="0" w:lastRowLastColumn="0"/>
            <w:tcW w:w="4495" w:type="dxa"/>
          </w:tcPr>
          <w:p w14:paraId="0B5B39B1" w14:textId="77777777" w:rsidR="009867E7" w:rsidRPr="00300C59" w:rsidRDefault="009867E7" w:rsidP="007C520D">
            <w:pPr>
              <w:pStyle w:val="Caption"/>
              <w:keepNext/>
              <w:widowControl w:val="0"/>
              <w:rPr>
                <w:rFonts w:ascii="Calibri" w:hAnsi="Calibri"/>
              </w:rPr>
            </w:pPr>
            <w:r w:rsidRPr="00300C59">
              <w:rPr>
                <w:rFonts w:ascii="Calibri" w:hAnsi="Calibri"/>
              </w:rPr>
              <w:t>Substandard Housing –</w:t>
            </w:r>
            <w:r>
              <w:rPr>
                <w:rFonts w:ascii="Calibri" w:hAnsi="Calibri"/>
              </w:rPr>
              <w:t xml:space="preserve"> </w:t>
            </w:r>
            <w:r w:rsidRPr="00300C59">
              <w:rPr>
                <w:rFonts w:ascii="Calibri" w:hAnsi="Calibri"/>
              </w:rPr>
              <w:t>Lacking complete plumbing or kitchen facilities</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45C0FB84" w14:textId="77777777" w:rsidR="009867E7" w:rsidRPr="00664C92" w:rsidRDefault="009867E7" w:rsidP="007C520D">
            <w:pPr>
              <w:keepNext/>
              <w:widowControl w:val="0"/>
              <w:spacing w:after="0" w:line="240" w:lineRule="auto"/>
              <w:jc w:val="center"/>
              <w:rPr>
                <w:sz w:val="18"/>
                <w:szCs w:val="20"/>
              </w:rPr>
            </w:pPr>
            <w:r w:rsidRPr="00664C92">
              <w:rPr>
                <w:sz w:val="18"/>
                <w:szCs w:val="20"/>
              </w:rPr>
              <w:t>2,330</w:t>
            </w:r>
          </w:p>
        </w:tc>
        <w:tc>
          <w:tcPr>
            <w:tcW w:w="990" w:type="dxa"/>
            <w:vAlign w:val="center"/>
          </w:tcPr>
          <w:p w14:paraId="177DC3FB"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1,930</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4ED44388" w14:textId="77777777" w:rsidR="009867E7" w:rsidRPr="00664C92" w:rsidRDefault="009867E7" w:rsidP="007C520D">
            <w:pPr>
              <w:keepNext/>
              <w:widowControl w:val="0"/>
              <w:spacing w:after="0" w:line="240" w:lineRule="auto"/>
              <w:jc w:val="center"/>
              <w:rPr>
                <w:sz w:val="18"/>
                <w:szCs w:val="20"/>
              </w:rPr>
            </w:pPr>
            <w:r w:rsidRPr="00664C92">
              <w:rPr>
                <w:sz w:val="18"/>
                <w:szCs w:val="20"/>
              </w:rPr>
              <w:t>1,705</w:t>
            </w:r>
          </w:p>
        </w:tc>
        <w:tc>
          <w:tcPr>
            <w:tcW w:w="1080" w:type="dxa"/>
            <w:vAlign w:val="center"/>
          </w:tcPr>
          <w:p w14:paraId="402F9FF5"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695</w:t>
            </w:r>
          </w:p>
        </w:tc>
        <w:tc>
          <w:tcPr>
            <w:cnfStyle w:val="000010000000" w:firstRow="0" w:lastRow="0" w:firstColumn="0" w:lastColumn="0" w:oddVBand="1" w:evenVBand="0" w:oddHBand="0" w:evenHBand="0" w:firstRowFirstColumn="0" w:firstRowLastColumn="0" w:lastRowFirstColumn="0" w:lastRowLastColumn="0"/>
            <w:tcW w:w="877" w:type="dxa"/>
            <w:tcBorders>
              <w:right w:val="single" w:sz="4" w:space="0" w:color="95B3D7" w:themeColor="accent1" w:themeTint="99"/>
            </w:tcBorders>
            <w:vAlign w:val="center"/>
          </w:tcPr>
          <w:p w14:paraId="7E1854E3" w14:textId="77777777" w:rsidR="009867E7" w:rsidRPr="00664C92" w:rsidRDefault="009867E7" w:rsidP="007C520D">
            <w:pPr>
              <w:keepNext/>
              <w:widowControl w:val="0"/>
              <w:spacing w:after="0" w:line="240" w:lineRule="auto"/>
              <w:jc w:val="center"/>
              <w:rPr>
                <w:sz w:val="18"/>
                <w:szCs w:val="20"/>
              </w:rPr>
            </w:pPr>
            <w:r w:rsidRPr="00664C92">
              <w:rPr>
                <w:sz w:val="18"/>
                <w:szCs w:val="20"/>
              </w:rPr>
              <w:t>6,660</w:t>
            </w:r>
          </w:p>
        </w:tc>
      </w:tr>
      <w:tr w:rsidR="009867E7" w14:paraId="65425070" w14:textId="77777777" w:rsidTr="007C520D">
        <w:trPr>
          <w:trHeight w:val="440"/>
        </w:trPr>
        <w:tc>
          <w:tcPr>
            <w:cnfStyle w:val="001000000000" w:firstRow="0" w:lastRow="0" w:firstColumn="1" w:lastColumn="0" w:oddVBand="0" w:evenVBand="0" w:oddHBand="0" w:evenHBand="0" w:firstRowFirstColumn="0" w:firstRowLastColumn="0" w:lastRowFirstColumn="0" w:lastRowLastColumn="0"/>
            <w:tcW w:w="4495" w:type="dxa"/>
          </w:tcPr>
          <w:p w14:paraId="1AD6A3F1" w14:textId="77777777" w:rsidR="009867E7" w:rsidRPr="00300C59" w:rsidRDefault="009867E7" w:rsidP="007C520D">
            <w:pPr>
              <w:pStyle w:val="Caption"/>
              <w:keepNext/>
              <w:widowControl w:val="0"/>
              <w:rPr>
                <w:rFonts w:ascii="Calibri" w:hAnsi="Calibri"/>
              </w:rPr>
            </w:pPr>
            <w:r w:rsidRPr="00300C59">
              <w:rPr>
                <w:rFonts w:ascii="Calibri" w:hAnsi="Calibri"/>
              </w:rPr>
              <w:t xml:space="preserve">Severely </w:t>
            </w:r>
            <w:r>
              <w:rPr>
                <w:rFonts w:ascii="Calibri" w:hAnsi="Calibri"/>
              </w:rPr>
              <w:t>O</w:t>
            </w:r>
            <w:r w:rsidRPr="00300C59">
              <w:rPr>
                <w:rFonts w:ascii="Calibri" w:hAnsi="Calibri"/>
              </w:rPr>
              <w:t>vercrowded –With &gt;1.51 people per room (and complete kitchen and plumbing)</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375C01A9" w14:textId="77777777" w:rsidR="009867E7" w:rsidRPr="00664C92" w:rsidRDefault="009867E7" w:rsidP="007C520D">
            <w:pPr>
              <w:keepNext/>
              <w:widowControl w:val="0"/>
              <w:spacing w:after="0" w:line="240" w:lineRule="auto"/>
              <w:jc w:val="center"/>
              <w:rPr>
                <w:sz w:val="18"/>
                <w:szCs w:val="20"/>
              </w:rPr>
            </w:pPr>
            <w:r w:rsidRPr="00664C92">
              <w:rPr>
                <w:sz w:val="18"/>
                <w:szCs w:val="20"/>
              </w:rPr>
              <w:t>1,740</w:t>
            </w:r>
          </w:p>
        </w:tc>
        <w:tc>
          <w:tcPr>
            <w:tcW w:w="990" w:type="dxa"/>
            <w:vAlign w:val="center"/>
          </w:tcPr>
          <w:p w14:paraId="5FB87135"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1,070</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41DBDCAA" w14:textId="77777777" w:rsidR="009867E7" w:rsidRPr="00664C92" w:rsidRDefault="009867E7" w:rsidP="007C520D">
            <w:pPr>
              <w:keepNext/>
              <w:widowControl w:val="0"/>
              <w:spacing w:after="0" w:line="240" w:lineRule="auto"/>
              <w:jc w:val="center"/>
              <w:rPr>
                <w:sz w:val="18"/>
                <w:szCs w:val="20"/>
              </w:rPr>
            </w:pPr>
            <w:r w:rsidRPr="00664C92">
              <w:rPr>
                <w:sz w:val="18"/>
                <w:szCs w:val="20"/>
              </w:rPr>
              <w:t>1,370</w:t>
            </w:r>
          </w:p>
        </w:tc>
        <w:tc>
          <w:tcPr>
            <w:tcW w:w="1080" w:type="dxa"/>
            <w:vAlign w:val="center"/>
          </w:tcPr>
          <w:p w14:paraId="2AAD3A81"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500</w:t>
            </w:r>
          </w:p>
        </w:tc>
        <w:tc>
          <w:tcPr>
            <w:cnfStyle w:val="000010000000" w:firstRow="0" w:lastRow="0" w:firstColumn="0" w:lastColumn="0" w:oddVBand="1" w:evenVBand="0" w:oddHBand="0" w:evenHBand="0" w:firstRowFirstColumn="0" w:firstRowLastColumn="0" w:lastRowFirstColumn="0" w:lastRowLastColumn="0"/>
            <w:tcW w:w="877" w:type="dxa"/>
            <w:tcBorders>
              <w:right w:val="single" w:sz="4" w:space="0" w:color="95B3D7" w:themeColor="accent1" w:themeTint="99"/>
            </w:tcBorders>
            <w:vAlign w:val="center"/>
          </w:tcPr>
          <w:p w14:paraId="52AA2B0C" w14:textId="77777777" w:rsidR="009867E7" w:rsidRPr="00664C92" w:rsidRDefault="009867E7" w:rsidP="007C520D">
            <w:pPr>
              <w:keepNext/>
              <w:widowControl w:val="0"/>
              <w:spacing w:after="0" w:line="240" w:lineRule="auto"/>
              <w:jc w:val="center"/>
              <w:rPr>
                <w:sz w:val="18"/>
                <w:szCs w:val="20"/>
              </w:rPr>
            </w:pPr>
            <w:r w:rsidRPr="00664C92">
              <w:rPr>
                <w:sz w:val="18"/>
                <w:szCs w:val="20"/>
              </w:rPr>
              <w:t>4,680</w:t>
            </w:r>
          </w:p>
        </w:tc>
      </w:tr>
      <w:tr w:rsidR="009867E7" w14:paraId="200C071C" w14:textId="77777777" w:rsidTr="007C520D">
        <w:trPr>
          <w:trHeight w:val="557"/>
        </w:trPr>
        <w:tc>
          <w:tcPr>
            <w:cnfStyle w:val="001000000000" w:firstRow="0" w:lastRow="0" w:firstColumn="1" w:lastColumn="0" w:oddVBand="0" w:evenVBand="0" w:oddHBand="0" w:evenHBand="0" w:firstRowFirstColumn="0" w:firstRowLastColumn="0" w:lastRowFirstColumn="0" w:lastRowLastColumn="0"/>
            <w:tcW w:w="4495" w:type="dxa"/>
          </w:tcPr>
          <w:p w14:paraId="3C14B3CD" w14:textId="77777777" w:rsidR="009867E7" w:rsidRPr="00300C59" w:rsidRDefault="009867E7" w:rsidP="007C520D">
            <w:pPr>
              <w:pStyle w:val="Caption"/>
              <w:keepNext/>
              <w:widowControl w:val="0"/>
              <w:rPr>
                <w:rFonts w:ascii="Calibri" w:hAnsi="Calibri"/>
              </w:rPr>
            </w:pPr>
            <w:r w:rsidRPr="00300C59">
              <w:rPr>
                <w:rFonts w:ascii="Calibri" w:hAnsi="Calibri"/>
              </w:rPr>
              <w:t>Overcrowded - With 1.01-1.5 people per room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01429485" w14:textId="77777777" w:rsidR="009867E7" w:rsidRPr="00664C92" w:rsidRDefault="009867E7" w:rsidP="007C520D">
            <w:pPr>
              <w:keepNext/>
              <w:widowControl w:val="0"/>
              <w:spacing w:after="0" w:line="240" w:lineRule="auto"/>
              <w:jc w:val="center"/>
              <w:rPr>
                <w:sz w:val="18"/>
                <w:szCs w:val="20"/>
              </w:rPr>
            </w:pPr>
            <w:r w:rsidRPr="00664C92">
              <w:rPr>
                <w:sz w:val="18"/>
                <w:szCs w:val="20"/>
              </w:rPr>
              <w:t>2,240</w:t>
            </w:r>
          </w:p>
        </w:tc>
        <w:tc>
          <w:tcPr>
            <w:tcW w:w="990" w:type="dxa"/>
            <w:vAlign w:val="center"/>
          </w:tcPr>
          <w:p w14:paraId="72486C02"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2,180</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5F6483AF" w14:textId="77777777" w:rsidR="009867E7" w:rsidRPr="00664C92" w:rsidRDefault="009867E7" w:rsidP="007C520D">
            <w:pPr>
              <w:keepNext/>
              <w:widowControl w:val="0"/>
              <w:spacing w:after="0" w:line="240" w:lineRule="auto"/>
              <w:jc w:val="center"/>
              <w:rPr>
                <w:sz w:val="18"/>
                <w:szCs w:val="20"/>
              </w:rPr>
            </w:pPr>
            <w:r w:rsidRPr="00664C92">
              <w:rPr>
                <w:sz w:val="18"/>
                <w:szCs w:val="20"/>
              </w:rPr>
              <w:t>1,945</w:t>
            </w:r>
          </w:p>
        </w:tc>
        <w:tc>
          <w:tcPr>
            <w:tcW w:w="1080" w:type="dxa"/>
            <w:vAlign w:val="center"/>
          </w:tcPr>
          <w:p w14:paraId="2E1CB8CD"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880</w:t>
            </w:r>
          </w:p>
        </w:tc>
        <w:tc>
          <w:tcPr>
            <w:cnfStyle w:val="000010000000" w:firstRow="0" w:lastRow="0" w:firstColumn="0" w:lastColumn="0" w:oddVBand="1" w:evenVBand="0" w:oddHBand="0" w:evenHBand="0" w:firstRowFirstColumn="0" w:firstRowLastColumn="0" w:lastRowFirstColumn="0" w:lastRowLastColumn="0"/>
            <w:tcW w:w="877" w:type="dxa"/>
            <w:tcBorders>
              <w:right w:val="single" w:sz="4" w:space="0" w:color="95B3D7" w:themeColor="accent1" w:themeTint="99"/>
            </w:tcBorders>
            <w:vAlign w:val="center"/>
          </w:tcPr>
          <w:p w14:paraId="1EEA5D5A" w14:textId="77777777" w:rsidR="009867E7" w:rsidRPr="00664C92" w:rsidRDefault="009867E7" w:rsidP="007C520D">
            <w:pPr>
              <w:keepNext/>
              <w:widowControl w:val="0"/>
              <w:spacing w:after="0" w:line="240" w:lineRule="auto"/>
              <w:jc w:val="center"/>
              <w:rPr>
                <w:sz w:val="18"/>
                <w:szCs w:val="20"/>
              </w:rPr>
            </w:pPr>
            <w:r w:rsidRPr="00664C92">
              <w:rPr>
                <w:sz w:val="18"/>
                <w:szCs w:val="20"/>
              </w:rPr>
              <w:t>7,245</w:t>
            </w:r>
          </w:p>
        </w:tc>
      </w:tr>
      <w:tr w:rsidR="009867E7" w14:paraId="5833D5C9" w14:textId="77777777" w:rsidTr="007C520D">
        <w:trPr>
          <w:trHeight w:val="548"/>
        </w:trPr>
        <w:tc>
          <w:tcPr>
            <w:cnfStyle w:val="001000000000" w:firstRow="0" w:lastRow="0" w:firstColumn="1" w:lastColumn="0" w:oddVBand="0" w:evenVBand="0" w:oddHBand="0" w:evenHBand="0" w:firstRowFirstColumn="0" w:firstRowLastColumn="0" w:lastRowFirstColumn="0" w:lastRowLastColumn="0"/>
            <w:tcW w:w="4495" w:type="dxa"/>
          </w:tcPr>
          <w:p w14:paraId="0879869B" w14:textId="77777777" w:rsidR="009867E7" w:rsidRPr="00300C59" w:rsidRDefault="009867E7" w:rsidP="007C520D">
            <w:pPr>
              <w:pStyle w:val="Caption"/>
              <w:keepNext/>
              <w:widowControl w:val="0"/>
              <w:rPr>
                <w:rFonts w:ascii="Calibri" w:hAnsi="Calibri"/>
              </w:rPr>
            </w:pPr>
            <w:r w:rsidRPr="00300C59">
              <w:rPr>
                <w:rFonts w:ascii="Calibri" w:hAnsi="Calibri"/>
              </w:rPr>
              <w:t>Housing cost burden greater than 50% of income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392D9C16" w14:textId="77777777" w:rsidR="009867E7" w:rsidRPr="00664C92" w:rsidRDefault="009867E7" w:rsidP="007C520D">
            <w:pPr>
              <w:keepNext/>
              <w:widowControl w:val="0"/>
              <w:spacing w:after="0" w:line="240" w:lineRule="auto"/>
              <w:jc w:val="center"/>
              <w:rPr>
                <w:sz w:val="18"/>
                <w:szCs w:val="20"/>
              </w:rPr>
            </w:pPr>
            <w:r w:rsidRPr="00664C92">
              <w:rPr>
                <w:sz w:val="18"/>
                <w:szCs w:val="20"/>
              </w:rPr>
              <w:t>48,270</w:t>
            </w:r>
          </w:p>
        </w:tc>
        <w:tc>
          <w:tcPr>
            <w:tcW w:w="990" w:type="dxa"/>
            <w:vAlign w:val="center"/>
          </w:tcPr>
          <w:p w14:paraId="25C9BF2D"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14,215</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47B7EA41" w14:textId="77777777" w:rsidR="009867E7" w:rsidRPr="00664C92" w:rsidRDefault="009867E7" w:rsidP="007C520D">
            <w:pPr>
              <w:keepNext/>
              <w:widowControl w:val="0"/>
              <w:spacing w:after="0" w:line="240" w:lineRule="auto"/>
              <w:jc w:val="center"/>
              <w:rPr>
                <w:sz w:val="18"/>
                <w:szCs w:val="20"/>
              </w:rPr>
            </w:pPr>
            <w:r w:rsidRPr="00664C92">
              <w:rPr>
                <w:sz w:val="18"/>
                <w:szCs w:val="20"/>
              </w:rPr>
              <w:t>2,705</w:t>
            </w:r>
          </w:p>
        </w:tc>
        <w:tc>
          <w:tcPr>
            <w:tcW w:w="1080" w:type="dxa"/>
            <w:vAlign w:val="center"/>
          </w:tcPr>
          <w:p w14:paraId="75A28F56"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480</w:t>
            </w:r>
          </w:p>
        </w:tc>
        <w:tc>
          <w:tcPr>
            <w:cnfStyle w:val="000010000000" w:firstRow="0" w:lastRow="0" w:firstColumn="0" w:lastColumn="0" w:oddVBand="1" w:evenVBand="0" w:oddHBand="0" w:evenHBand="0" w:firstRowFirstColumn="0" w:firstRowLastColumn="0" w:lastRowFirstColumn="0" w:lastRowLastColumn="0"/>
            <w:tcW w:w="877" w:type="dxa"/>
            <w:tcBorders>
              <w:right w:val="single" w:sz="4" w:space="0" w:color="95B3D7" w:themeColor="accent1" w:themeTint="99"/>
            </w:tcBorders>
            <w:vAlign w:val="center"/>
          </w:tcPr>
          <w:p w14:paraId="7861BA45" w14:textId="77777777" w:rsidR="009867E7" w:rsidRPr="00664C92" w:rsidRDefault="009867E7" w:rsidP="007C520D">
            <w:pPr>
              <w:keepNext/>
              <w:widowControl w:val="0"/>
              <w:spacing w:after="0" w:line="240" w:lineRule="auto"/>
              <w:jc w:val="center"/>
              <w:rPr>
                <w:sz w:val="18"/>
                <w:szCs w:val="20"/>
              </w:rPr>
            </w:pPr>
            <w:r w:rsidRPr="00664C92">
              <w:rPr>
                <w:sz w:val="18"/>
                <w:szCs w:val="20"/>
              </w:rPr>
              <w:t>65,670</w:t>
            </w:r>
          </w:p>
        </w:tc>
      </w:tr>
      <w:tr w:rsidR="009867E7" w14:paraId="09D7BB38" w14:textId="77777777" w:rsidTr="007C520D">
        <w:trPr>
          <w:trHeight w:val="512"/>
        </w:trPr>
        <w:tc>
          <w:tcPr>
            <w:cnfStyle w:val="001000000000" w:firstRow="0" w:lastRow="0" w:firstColumn="1" w:lastColumn="0" w:oddVBand="0" w:evenVBand="0" w:oddHBand="0" w:evenHBand="0" w:firstRowFirstColumn="0" w:firstRowLastColumn="0" w:lastRowFirstColumn="0" w:lastRowLastColumn="0"/>
            <w:tcW w:w="4495" w:type="dxa"/>
          </w:tcPr>
          <w:p w14:paraId="579D6F70" w14:textId="77777777" w:rsidR="009867E7" w:rsidRPr="00300C59" w:rsidRDefault="009867E7" w:rsidP="007C520D">
            <w:pPr>
              <w:pStyle w:val="Caption"/>
              <w:keepNext/>
              <w:widowControl w:val="0"/>
              <w:rPr>
                <w:rFonts w:ascii="Calibri" w:hAnsi="Calibri"/>
              </w:rPr>
            </w:pPr>
            <w:r w:rsidRPr="00300C59">
              <w:rPr>
                <w:rFonts w:ascii="Calibri" w:hAnsi="Calibri"/>
              </w:rPr>
              <w:t>Housing cost burden greater than 30% of income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4DC8F959" w14:textId="77777777" w:rsidR="009867E7" w:rsidRPr="00664C92" w:rsidRDefault="009867E7" w:rsidP="007C520D">
            <w:pPr>
              <w:keepNext/>
              <w:widowControl w:val="0"/>
              <w:spacing w:after="0" w:line="240" w:lineRule="auto"/>
              <w:jc w:val="center"/>
              <w:rPr>
                <w:sz w:val="18"/>
                <w:szCs w:val="20"/>
              </w:rPr>
            </w:pPr>
            <w:r w:rsidRPr="00664C92">
              <w:rPr>
                <w:sz w:val="18"/>
                <w:szCs w:val="20"/>
              </w:rPr>
              <w:t>9,890</w:t>
            </w:r>
          </w:p>
        </w:tc>
        <w:tc>
          <w:tcPr>
            <w:tcW w:w="990" w:type="dxa"/>
            <w:vAlign w:val="center"/>
          </w:tcPr>
          <w:p w14:paraId="3212A71F"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29,615</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10A2174C" w14:textId="77777777" w:rsidR="009867E7" w:rsidRPr="00664C92" w:rsidRDefault="009867E7" w:rsidP="007C520D">
            <w:pPr>
              <w:keepNext/>
              <w:widowControl w:val="0"/>
              <w:spacing w:after="0" w:line="240" w:lineRule="auto"/>
              <w:jc w:val="center"/>
              <w:rPr>
                <w:sz w:val="18"/>
                <w:szCs w:val="20"/>
              </w:rPr>
            </w:pPr>
            <w:r w:rsidRPr="00664C92">
              <w:rPr>
                <w:sz w:val="18"/>
                <w:szCs w:val="20"/>
              </w:rPr>
              <w:t>22,400</w:t>
            </w:r>
          </w:p>
        </w:tc>
        <w:tc>
          <w:tcPr>
            <w:tcW w:w="1080" w:type="dxa"/>
            <w:vAlign w:val="center"/>
          </w:tcPr>
          <w:p w14:paraId="35647994"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3,115</w:t>
            </w:r>
          </w:p>
        </w:tc>
        <w:tc>
          <w:tcPr>
            <w:cnfStyle w:val="000010000000" w:firstRow="0" w:lastRow="0" w:firstColumn="0" w:lastColumn="0" w:oddVBand="1" w:evenVBand="0" w:oddHBand="0" w:evenHBand="0" w:firstRowFirstColumn="0" w:firstRowLastColumn="0" w:lastRowFirstColumn="0" w:lastRowLastColumn="0"/>
            <w:tcW w:w="877" w:type="dxa"/>
            <w:tcBorders>
              <w:right w:val="single" w:sz="4" w:space="0" w:color="95B3D7" w:themeColor="accent1" w:themeTint="99"/>
            </w:tcBorders>
            <w:vAlign w:val="center"/>
          </w:tcPr>
          <w:p w14:paraId="6A98FABB" w14:textId="77777777" w:rsidR="009867E7" w:rsidRPr="00664C92" w:rsidRDefault="009867E7" w:rsidP="007C520D">
            <w:pPr>
              <w:keepNext/>
              <w:widowControl w:val="0"/>
              <w:spacing w:after="0" w:line="240" w:lineRule="auto"/>
              <w:jc w:val="center"/>
              <w:rPr>
                <w:sz w:val="18"/>
                <w:szCs w:val="20"/>
              </w:rPr>
            </w:pPr>
            <w:r w:rsidRPr="00664C92">
              <w:rPr>
                <w:sz w:val="18"/>
                <w:szCs w:val="20"/>
              </w:rPr>
              <w:t>65,020</w:t>
            </w:r>
          </w:p>
        </w:tc>
      </w:tr>
      <w:tr w:rsidR="009867E7" w14:paraId="317B62DA" w14:textId="77777777" w:rsidTr="007C520D">
        <w:trPr>
          <w:trHeight w:val="444"/>
        </w:trPr>
        <w:tc>
          <w:tcPr>
            <w:cnfStyle w:val="001000000000" w:firstRow="0" w:lastRow="0" w:firstColumn="1" w:lastColumn="0" w:oddVBand="0" w:evenVBand="0" w:oddHBand="0" w:evenHBand="0" w:firstRowFirstColumn="0" w:firstRowLastColumn="0" w:lastRowFirstColumn="0" w:lastRowLastColumn="0"/>
            <w:tcW w:w="4495" w:type="dxa"/>
          </w:tcPr>
          <w:p w14:paraId="3435FA4F" w14:textId="77777777" w:rsidR="009867E7" w:rsidRPr="00300C59" w:rsidRDefault="009867E7" w:rsidP="007C520D">
            <w:pPr>
              <w:pStyle w:val="Caption"/>
              <w:keepNext/>
              <w:widowControl w:val="0"/>
              <w:rPr>
                <w:rFonts w:ascii="Calibri" w:hAnsi="Calibri"/>
              </w:rPr>
            </w:pPr>
            <w:r w:rsidRPr="00300C59">
              <w:rPr>
                <w:rFonts w:ascii="Calibri" w:hAnsi="Calibri"/>
              </w:rPr>
              <w:t>Zero/negative Income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15D06D90" w14:textId="77777777" w:rsidR="009867E7" w:rsidRPr="00664C92" w:rsidRDefault="009867E7" w:rsidP="007C520D">
            <w:pPr>
              <w:keepNext/>
              <w:widowControl w:val="0"/>
              <w:spacing w:after="0" w:line="240" w:lineRule="auto"/>
              <w:jc w:val="center"/>
              <w:rPr>
                <w:sz w:val="18"/>
                <w:szCs w:val="20"/>
              </w:rPr>
            </w:pPr>
            <w:r w:rsidRPr="00664C92">
              <w:rPr>
                <w:sz w:val="18"/>
                <w:szCs w:val="20"/>
              </w:rPr>
              <w:t>5,830</w:t>
            </w:r>
          </w:p>
        </w:tc>
        <w:tc>
          <w:tcPr>
            <w:tcW w:w="990" w:type="dxa"/>
            <w:vAlign w:val="center"/>
          </w:tcPr>
          <w:p w14:paraId="7807DE03"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0</w:t>
            </w:r>
          </w:p>
        </w:tc>
        <w:tc>
          <w:tcPr>
            <w:cnfStyle w:val="000010000000" w:firstRow="0" w:lastRow="0" w:firstColumn="0" w:lastColumn="0" w:oddVBand="1" w:evenVBand="0" w:oddHBand="0" w:evenHBand="0" w:firstRowFirstColumn="0" w:firstRowLastColumn="0" w:lastRowFirstColumn="0" w:lastRowLastColumn="0"/>
            <w:tcW w:w="990" w:type="dxa"/>
            <w:vAlign w:val="center"/>
          </w:tcPr>
          <w:p w14:paraId="60DD1BD7" w14:textId="77777777" w:rsidR="009867E7" w:rsidRPr="00664C92" w:rsidRDefault="009867E7" w:rsidP="007C520D">
            <w:pPr>
              <w:keepNext/>
              <w:widowControl w:val="0"/>
              <w:spacing w:after="0" w:line="240" w:lineRule="auto"/>
              <w:jc w:val="center"/>
              <w:rPr>
                <w:sz w:val="18"/>
                <w:szCs w:val="20"/>
              </w:rPr>
            </w:pPr>
            <w:r w:rsidRPr="00664C92">
              <w:rPr>
                <w:sz w:val="18"/>
                <w:szCs w:val="20"/>
              </w:rPr>
              <w:t>0</w:t>
            </w:r>
          </w:p>
        </w:tc>
        <w:tc>
          <w:tcPr>
            <w:tcW w:w="1080" w:type="dxa"/>
            <w:vAlign w:val="center"/>
          </w:tcPr>
          <w:p w14:paraId="1D81DF99" w14:textId="77777777" w:rsidR="009867E7" w:rsidRPr="00664C92"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664C92">
              <w:rPr>
                <w:sz w:val="18"/>
                <w:szCs w:val="20"/>
              </w:rPr>
              <w:t>0</w:t>
            </w:r>
          </w:p>
        </w:tc>
        <w:tc>
          <w:tcPr>
            <w:cnfStyle w:val="000010000000" w:firstRow="0" w:lastRow="0" w:firstColumn="0" w:lastColumn="0" w:oddVBand="1" w:evenVBand="0" w:oddHBand="0" w:evenHBand="0" w:firstRowFirstColumn="0" w:firstRowLastColumn="0" w:lastRowFirstColumn="0" w:lastRowLastColumn="0"/>
            <w:tcW w:w="877" w:type="dxa"/>
            <w:tcBorders>
              <w:right w:val="single" w:sz="4" w:space="0" w:color="95B3D7" w:themeColor="accent1" w:themeTint="99"/>
            </w:tcBorders>
            <w:vAlign w:val="center"/>
          </w:tcPr>
          <w:p w14:paraId="1A6BB7EB" w14:textId="77777777" w:rsidR="009867E7" w:rsidRPr="00664C92" w:rsidRDefault="009867E7" w:rsidP="007C520D">
            <w:pPr>
              <w:keepNext/>
              <w:widowControl w:val="0"/>
              <w:spacing w:after="0" w:line="240" w:lineRule="auto"/>
              <w:jc w:val="center"/>
              <w:rPr>
                <w:sz w:val="18"/>
                <w:szCs w:val="20"/>
              </w:rPr>
            </w:pPr>
            <w:r w:rsidRPr="00664C92">
              <w:rPr>
                <w:sz w:val="18"/>
                <w:szCs w:val="20"/>
              </w:rPr>
              <w:t>5,830</w:t>
            </w:r>
          </w:p>
        </w:tc>
      </w:tr>
    </w:tbl>
    <w:p w14:paraId="658C0CAD" w14:textId="77777777" w:rsidR="009867E7" w:rsidRDefault="009867E7" w:rsidP="009867E7">
      <w:pPr>
        <w:spacing w:after="0" w:line="240" w:lineRule="auto"/>
        <w:rPr>
          <w:i/>
          <w:sz w:val="18"/>
        </w:rPr>
      </w:pPr>
      <w:r w:rsidRPr="000D1D10">
        <w:rPr>
          <w:i/>
          <w:sz w:val="18"/>
        </w:rPr>
        <w:t>Source: 2009-2013 CHAS</w:t>
      </w:r>
    </w:p>
    <w:p w14:paraId="48CF2DA0" w14:textId="77777777" w:rsidR="009867E7" w:rsidRDefault="009867E7" w:rsidP="009867E7">
      <w:pPr>
        <w:spacing w:after="0" w:line="240" w:lineRule="auto"/>
        <w:rPr>
          <w:i/>
          <w:sz w:val="18"/>
        </w:rPr>
      </w:pPr>
    </w:p>
    <w:p w14:paraId="4F1638BA" w14:textId="77777777" w:rsidR="009867E7" w:rsidRDefault="009867E7" w:rsidP="009867E7">
      <w:pPr>
        <w:keepNext/>
        <w:widowControl w:val="0"/>
        <w:spacing w:line="240" w:lineRule="auto"/>
        <w:contextualSpacing/>
        <w:rPr>
          <w:b/>
          <w:sz w:val="24"/>
          <w:szCs w:val="24"/>
        </w:rPr>
      </w:pPr>
    </w:p>
    <w:p w14:paraId="228B1D1A" w14:textId="77777777" w:rsidR="009867E7" w:rsidRDefault="009867E7" w:rsidP="009867E7">
      <w:pPr>
        <w:keepNext/>
        <w:widowControl w:val="0"/>
        <w:spacing w:line="240" w:lineRule="auto"/>
        <w:contextualSpacing/>
        <w:rPr>
          <w:bCs/>
          <w:sz w:val="24"/>
          <w:szCs w:val="24"/>
        </w:rPr>
      </w:pPr>
      <w:r>
        <w:rPr>
          <w:b/>
          <w:sz w:val="24"/>
          <w:szCs w:val="24"/>
        </w:rPr>
        <w:t>Table 3.2 – Owner Housing Problems</w:t>
      </w:r>
    </w:p>
    <w:p w14:paraId="4DE826A4" w14:textId="77777777" w:rsidR="009867E7" w:rsidRDefault="009867E7" w:rsidP="009867E7">
      <w:pPr>
        <w:spacing w:after="0" w:line="240" w:lineRule="auto"/>
        <w:rPr>
          <w:i/>
          <w:sz w:val="18"/>
        </w:rPr>
      </w:pPr>
    </w:p>
    <w:tbl>
      <w:tblPr>
        <w:tblStyle w:val="GridTable4-Accent1"/>
        <w:tblW w:w="5000" w:type="pct"/>
        <w:tblLayout w:type="fixed"/>
        <w:tblLook w:val="02A0" w:firstRow="1" w:lastRow="0" w:firstColumn="1" w:lastColumn="0" w:noHBand="1" w:noVBand="0"/>
      </w:tblPr>
      <w:tblGrid>
        <w:gridCol w:w="4495"/>
        <w:gridCol w:w="900"/>
        <w:gridCol w:w="990"/>
        <w:gridCol w:w="1080"/>
        <w:gridCol w:w="1080"/>
        <w:gridCol w:w="805"/>
      </w:tblGrid>
      <w:tr w:rsidR="009867E7" w:rsidRPr="00300C59" w14:paraId="0B8201FD" w14:textId="77777777" w:rsidTr="007C520D">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tcBorders>
          </w:tcPr>
          <w:p w14:paraId="5E1F4442" w14:textId="77777777" w:rsidR="009867E7" w:rsidRPr="00B55301" w:rsidRDefault="009867E7" w:rsidP="007C520D">
            <w:pPr>
              <w:keepNext/>
              <w:widowControl w:val="0"/>
              <w:spacing w:after="0" w:line="240" w:lineRule="auto"/>
              <w:contextualSpacing/>
              <w:jc w:val="center"/>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4855" w:type="dxa"/>
            <w:gridSpan w:val="5"/>
            <w:tcBorders>
              <w:left w:val="double" w:sz="6" w:space="0" w:color="auto"/>
              <w:bottom w:val="double" w:sz="6" w:space="0" w:color="auto"/>
            </w:tcBorders>
          </w:tcPr>
          <w:p w14:paraId="708A7A48" w14:textId="77777777" w:rsidR="009867E7" w:rsidRPr="00B55301" w:rsidRDefault="009867E7" w:rsidP="007C520D">
            <w:pPr>
              <w:keepNext/>
              <w:widowControl w:val="0"/>
              <w:spacing w:after="0" w:line="240" w:lineRule="auto"/>
              <w:contextualSpacing/>
              <w:jc w:val="center"/>
              <w:rPr>
                <w:sz w:val="20"/>
                <w:szCs w:val="20"/>
              </w:rPr>
            </w:pPr>
            <w:r w:rsidRPr="009204CE">
              <w:rPr>
                <w:bCs w:val="0"/>
                <w:szCs w:val="20"/>
              </w:rPr>
              <w:t>Owner</w:t>
            </w:r>
          </w:p>
        </w:tc>
      </w:tr>
      <w:tr w:rsidR="009867E7" w:rsidRPr="00300C59" w14:paraId="21E3E02D" w14:textId="77777777" w:rsidTr="007C520D">
        <w:trPr>
          <w:trHeight w:val="447"/>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4F81BD" w:themeColor="accent1"/>
              <w:left w:val="single" w:sz="4" w:space="0" w:color="95B3D7" w:themeColor="accent1" w:themeTint="99"/>
              <w:bottom w:val="single" w:sz="4" w:space="0" w:color="95B3D7" w:themeColor="accent1" w:themeTint="99"/>
            </w:tcBorders>
            <w:shd w:val="clear" w:color="auto" w:fill="4F81BD" w:themeFill="accent1"/>
          </w:tcPr>
          <w:p w14:paraId="1592F4B2" w14:textId="77777777" w:rsidR="009867E7" w:rsidRPr="00B55301" w:rsidRDefault="009867E7" w:rsidP="007C520D">
            <w:pPr>
              <w:keepNext/>
              <w:widowControl w:val="0"/>
              <w:spacing w:after="0" w:line="240" w:lineRule="auto"/>
              <w:jc w:val="center"/>
              <w:rPr>
                <w:b w:val="0"/>
                <w:color w:val="FFFFFF" w:themeColor="background1"/>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double" w:sz="6" w:space="0" w:color="auto"/>
              <w:left w:val="double" w:sz="6" w:space="0" w:color="auto"/>
            </w:tcBorders>
            <w:shd w:val="clear" w:color="auto" w:fill="4F81BD" w:themeFill="accent1"/>
          </w:tcPr>
          <w:p w14:paraId="41C20377" w14:textId="77777777" w:rsidR="009867E7" w:rsidRPr="00B55301" w:rsidRDefault="009867E7" w:rsidP="007C520D">
            <w:pPr>
              <w:keepNext/>
              <w:widowControl w:val="0"/>
              <w:spacing w:after="0" w:line="240" w:lineRule="auto"/>
              <w:jc w:val="center"/>
              <w:rPr>
                <w:b/>
                <w:color w:val="FFFFFF" w:themeColor="background1"/>
                <w:sz w:val="20"/>
                <w:szCs w:val="20"/>
              </w:rPr>
            </w:pPr>
            <w:r w:rsidRPr="00B55301">
              <w:rPr>
                <w:b/>
                <w:color w:val="FFFFFF" w:themeColor="background1"/>
                <w:sz w:val="20"/>
                <w:szCs w:val="20"/>
              </w:rPr>
              <w:t>0-30% AMI</w:t>
            </w:r>
          </w:p>
        </w:tc>
        <w:tc>
          <w:tcPr>
            <w:tcW w:w="990" w:type="dxa"/>
            <w:tcBorders>
              <w:top w:val="double" w:sz="6" w:space="0" w:color="auto"/>
            </w:tcBorders>
            <w:shd w:val="clear" w:color="auto" w:fill="4F81BD" w:themeFill="accent1"/>
          </w:tcPr>
          <w:p w14:paraId="4B0BCBEA"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B55301">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1080" w:type="dxa"/>
            <w:tcBorders>
              <w:top w:val="double" w:sz="6" w:space="0" w:color="auto"/>
            </w:tcBorders>
            <w:shd w:val="clear" w:color="auto" w:fill="4F81BD" w:themeFill="accent1"/>
          </w:tcPr>
          <w:p w14:paraId="1E9AA820" w14:textId="77777777" w:rsidR="009867E7" w:rsidRPr="00B55301" w:rsidRDefault="009867E7" w:rsidP="007C520D">
            <w:pPr>
              <w:keepNext/>
              <w:widowControl w:val="0"/>
              <w:spacing w:after="0" w:line="240" w:lineRule="auto"/>
              <w:jc w:val="center"/>
              <w:rPr>
                <w:b/>
                <w:color w:val="FFFFFF" w:themeColor="background1"/>
                <w:sz w:val="20"/>
                <w:szCs w:val="20"/>
              </w:rPr>
            </w:pPr>
            <w:r w:rsidRPr="00B55301">
              <w:rPr>
                <w:b/>
                <w:color w:val="FFFFFF" w:themeColor="background1"/>
                <w:sz w:val="20"/>
                <w:szCs w:val="20"/>
              </w:rPr>
              <w:t>&gt;50-80% AMI</w:t>
            </w:r>
          </w:p>
        </w:tc>
        <w:tc>
          <w:tcPr>
            <w:tcW w:w="1080" w:type="dxa"/>
            <w:tcBorders>
              <w:top w:val="double" w:sz="6" w:space="0" w:color="auto"/>
            </w:tcBorders>
            <w:shd w:val="clear" w:color="auto" w:fill="4F81BD" w:themeFill="accent1"/>
          </w:tcPr>
          <w:p w14:paraId="2E309E7B"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B55301">
              <w:rPr>
                <w:b/>
                <w:color w:val="FFFFFF" w:themeColor="background1"/>
                <w:sz w:val="20"/>
                <w:szCs w:val="20"/>
              </w:rPr>
              <w:t>&gt;80-100% AMI</w:t>
            </w:r>
          </w:p>
        </w:tc>
        <w:tc>
          <w:tcPr>
            <w:cnfStyle w:val="000010000000" w:firstRow="0" w:lastRow="0" w:firstColumn="0" w:lastColumn="0" w:oddVBand="1" w:evenVBand="0" w:oddHBand="0" w:evenHBand="0" w:firstRowFirstColumn="0" w:firstRowLastColumn="0" w:lastRowFirstColumn="0" w:lastRowLastColumn="0"/>
            <w:tcW w:w="805" w:type="dxa"/>
            <w:tcBorders>
              <w:top w:val="double" w:sz="6" w:space="0" w:color="auto"/>
            </w:tcBorders>
            <w:shd w:val="clear" w:color="auto" w:fill="4F81BD" w:themeFill="accent1"/>
          </w:tcPr>
          <w:p w14:paraId="1A3C99C5" w14:textId="77777777" w:rsidR="009867E7" w:rsidRPr="00B55301" w:rsidRDefault="009867E7" w:rsidP="007C520D">
            <w:pPr>
              <w:keepNext/>
              <w:widowControl w:val="0"/>
              <w:spacing w:after="0" w:line="240" w:lineRule="auto"/>
              <w:jc w:val="center"/>
              <w:rPr>
                <w:b/>
                <w:color w:val="FFFFFF" w:themeColor="background1"/>
                <w:sz w:val="20"/>
                <w:szCs w:val="20"/>
              </w:rPr>
            </w:pPr>
            <w:r w:rsidRPr="00B55301">
              <w:rPr>
                <w:b/>
                <w:color w:val="FFFFFF" w:themeColor="background1"/>
                <w:sz w:val="20"/>
                <w:szCs w:val="20"/>
              </w:rPr>
              <w:t>Total</w:t>
            </w:r>
          </w:p>
        </w:tc>
      </w:tr>
      <w:tr w:rsidR="009867E7" w:rsidRPr="00664C92" w14:paraId="19CD5A98" w14:textId="77777777" w:rsidTr="007C520D">
        <w:trPr>
          <w:trHeight w:val="530"/>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right w:val="single" w:sz="4" w:space="0" w:color="4F81BD" w:themeColor="accent1"/>
            </w:tcBorders>
          </w:tcPr>
          <w:p w14:paraId="3E1BEE5F" w14:textId="77777777" w:rsidR="009867E7" w:rsidRPr="00B55301" w:rsidRDefault="009867E7" w:rsidP="007C520D">
            <w:pPr>
              <w:keepNext/>
              <w:widowControl w:val="0"/>
              <w:spacing w:after="0" w:line="240" w:lineRule="auto"/>
              <w:rPr>
                <w:b w:val="0"/>
                <w:sz w:val="20"/>
                <w:szCs w:val="20"/>
              </w:rPr>
            </w:pPr>
            <w:r w:rsidRPr="00B55301">
              <w:rPr>
                <w:b w:val="0"/>
                <w:sz w:val="20"/>
                <w:szCs w:val="20"/>
              </w:rPr>
              <w:t>Substandard Housing – Lacking complete plumbing or kitchen facilities</w:t>
            </w:r>
          </w:p>
        </w:tc>
        <w:tc>
          <w:tcPr>
            <w:cnfStyle w:val="000010000000" w:firstRow="0" w:lastRow="0" w:firstColumn="0" w:lastColumn="0" w:oddVBand="1" w:evenVBand="0" w:oddHBand="0" w:evenHBand="0" w:firstRowFirstColumn="0" w:firstRowLastColumn="0" w:lastRowFirstColumn="0" w:lastRowLastColumn="0"/>
            <w:tcW w:w="900" w:type="dxa"/>
            <w:tcBorders>
              <w:left w:val="single" w:sz="4" w:space="0" w:color="4F81BD" w:themeColor="accent1"/>
            </w:tcBorders>
            <w:vAlign w:val="center"/>
          </w:tcPr>
          <w:p w14:paraId="50948C0D" w14:textId="77777777" w:rsidR="009867E7" w:rsidRPr="00B55301" w:rsidRDefault="009867E7" w:rsidP="007C520D">
            <w:pPr>
              <w:keepNext/>
              <w:widowControl w:val="0"/>
              <w:spacing w:after="0" w:line="240" w:lineRule="auto"/>
              <w:jc w:val="center"/>
              <w:rPr>
                <w:sz w:val="20"/>
                <w:szCs w:val="20"/>
              </w:rPr>
            </w:pPr>
            <w:r w:rsidRPr="00B55301">
              <w:rPr>
                <w:sz w:val="20"/>
                <w:szCs w:val="20"/>
              </w:rPr>
              <w:t>715</w:t>
            </w:r>
          </w:p>
        </w:tc>
        <w:tc>
          <w:tcPr>
            <w:tcW w:w="990" w:type="dxa"/>
            <w:vAlign w:val="center"/>
          </w:tcPr>
          <w:p w14:paraId="6DCDAAE2"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870</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062189FB" w14:textId="77777777" w:rsidR="009867E7" w:rsidRPr="00B55301" w:rsidRDefault="009867E7" w:rsidP="007C520D">
            <w:pPr>
              <w:keepNext/>
              <w:widowControl w:val="0"/>
              <w:spacing w:after="0" w:line="240" w:lineRule="auto"/>
              <w:jc w:val="center"/>
              <w:rPr>
                <w:sz w:val="20"/>
                <w:szCs w:val="20"/>
              </w:rPr>
            </w:pPr>
            <w:r w:rsidRPr="00B55301">
              <w:rPr>
                <w:sz w:val="20"/>
                <w:szCs w:val="20"/>
              </w:rPr>
              <w:t>940</w:t>
            </w:r>
          </w:p>
        </w:tc>
        <w:tc>
          <w:tcPr>
            <w:tcW w:w="1080" w:type="dxa"/>
            <w:vAlign w:val="center"/>
          </w:tcPr>
          <w:p w14:paraId="4FB7089F"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530</w:t>
            </w:r>
          </w:p>
        </w:tc>
        <w:tc>
          <w:tcPr>
            <w:cnfStyle w:val="000010000000" w:firstRow="0" w:lastRow="0" w:firstColumn="0" w:lastColumn="0" w:oddVBand="1" w:evenVBand="0" w:oddHBand="0" w:evenHBand="0" w:firstRowFirstColumn="0" w:firstRowLastColumn="0" w:lastRowFirstColumn="0" w:lastRowLastColumn="0"/>
            <w:tcW w:w="805" w:type="dxa"/>
            <w:vAlign w:val="center"/>
          </w:tcPr>
          <w:p w14:paraId="3BD29C92" w14:textId="77777777" w:rsidR="009867E7" w:rsidRPr="00B55301" w:rsidRDefault="009867E7" w:rsidP="007C520D">
            <w:pPr>
              <w:keepNext/>
              <w:widowControl w:val="0"/>
              <w:spacing w:after="0" w:line="240" w:lineRule="auto"/>
              <w:jc w:val="center"/>
              <w:rPr>
                <w:sz w:val="20"/>
                <w:szCs w:val="20"/>
              </w:rPr>
            </w:pPr>
            <w:r w:rsidRPr="00B55301">
              <w:rPr>
                <w:sz w:val="20"/>
                <w:szCs w:val="20"/>
              </w:rPr>
              <w:t>3,055</w:t>
            </w:r>
          </w:p>
        </w:tc>
      </w:tr>
      <w:tr w:rsidR="009867E7" w:rsidRPr="00664C92" w14:paraId="44A1FCB7" w14:textId="77777777" w:rsidTr="007C520D">
        <w:trPr>
          <w:trHeight w:val="512"/>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right w:val="single" w:sz="4" w:space="0" w:color="4F81BD" w:themeColor="accent1"/>
            </w:tcBorders>
          </w:tcPr>
          <w:p w14:paraId="76192C9E" w14:textId="77777777" w:rsidR="009867E7" w:rsidRPr="00B55301" w:rsidRDefault="009867E7" w:rsidP="007C520D">
            <w:pPr>
              <w:keepNext/>
              <w:widowControl w:val="0"/>
              <w:spacing w:after="0" w:line="240" w:lineRule="auto"/>
              <w:rPr>
                <w:b w:val="0"/>
                <w:sz w:val="20"/>
                <w:szCs w:val="20"/>
              </w:rPr>
            </w:pPr>
            <w:r w:rsidRPr="00B55301">
              <w:rPr>
                <w:b w:val="0"/>
                <w:sz w:val="20"/>
                <w:szCs w:val="20"/>
              </w:rPr>
              <w:t>Severely Overcrowded –With &gt;1.51 people per room (and complete kitchen and plumbing)</w:t>
            </w:r>
          </w:p>
        </w:tc>
        <w:tc>
          <w:tcPr>
            <w:cnfStyle w:val="000010000000" w:firstRow="0" w:lastRow="0" w:firstColumn="0" w:lastColumn="0" w:oddVBand="1" w:evenVBand="0" w:oddHBand="0" w:evenHBand="0" w:firstRowFirstColumn="0" w:firstRowLastColumn="0" w:lastRowFirstColumn="0" w:lastRowLastColumn="0"/>
            <w:tcW w:w="900" w:type="dxa"/>
            <w:tcBorders>
              <w:left w:val="single" w:sz="4" w:space="0" w:color="4F81BD" w:themeColor="accent1"/>
            </w:tcBorders>
            <w:vAlign w:val="center"/>
          </w:tcPr>
          <w:p w14:paraId="3ED19A77" w14:textId="77777777" w:rsidR="009867E7" w:rsidRPr="00B55301" w:rsidRDefault="009867E7" w:rsidP="007C520D">
            <w:pPr>
              <w:keepNext/>
              <w:widowControl w:val="0"/>
              <w:spacing w:after="0" w:line="240" w:lineRule="auto"/>
              <w:jc w:val="center"/>
              <w:rPr>
                <w:sz w:val="20"/>
                <w:szCs w:val="20"/>
              </w:rPr>
            </w:pPr>
            <w:r w:rsidRPr="00B55301">
              <w:rPr>
                <w:sz w:val="20"/>
                <w:szCs w:val="20"/>
              </w:rPr>
              <w:t>140</w:t>
            </w:r>
          </w:p>
        </w:tc>
        <w:tc>
          <w:tcPr>
            <w:tcW w:w="990" w:type="dxa"/>
            <w:vAlign w:val="center"/>
          </w:tcPr>
          <w:p w14:paraId="0A1FA4D2"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180</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7B02BABE" w14:textId="77777777" w:rsidR="009867E7" w:rsidRPr="00B55301" w:rsidRDefault="009867E7" w:rsidP="007C520D">
            <w:pPr>
              <w:keepNext/>
              <w:widowControl w:val="0"/>
              <w:spacing w:after="0" w:line="240" w:lineRule="auto"/>
              <w:jc w:val="center"/>
              <w:rPr>
                <w:sz w:val="20"/>
                <w:szCs w:val="20"/>
              </w:rPr>
            </w:pPr>
            <w:r w:rsidRPr="00B55301">
              <w:rPr>
                <w:sz w:val="20"/>
                <w:szCs w:val="20"/>
              </w:rPr>
              <w:t>325</w:t>
            </w:r>
          </w:p>
        </w:tc>
        <w:tc>
          <w:tcPr>
            <w:tcW w:w="1080" w:type="dxa"/>
            <w:vAlign w:val="center"/>
          </w:tcPr>
          <w:p w14:paraId="32C2FC8A"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200</w:t>
            </w:r>
          </w:p>
        </w:tc>
        <w:tc>
          <w:tcPr>
            <w:cnfStyle w:val="000010000000" w:firstRow="0" w:lastRow="0" w:firstColumn="0" w:lastColumn="0" w:oddVBand="1" w:evenVBand="0" w:oddHBand="0" w:evenHBand="0" w:firstRowFirstColumn="0" w:firstRowLastColumn="0" w:lastRowFirstColumn="0" w:lastRowLastColumn="0"/>
            <w:tcW w:w="805" w:type="dxa"/>
            <w:vAlign w:val="center"/>
          </w:tcPr>
          <w:p w14:paraId="7D5F1B29" w14:textId="77777777" w:rsidR="009867E7" w:rsidRPr="00B55301" w:rsidRDefault="009867E7" w:rsidP="007C520D">
            <w:pPr>
              <w:keepNext/>
              <w:widowControl w:val="0"/>
              <w:spacing w:after="0" w:line="240" w:lineRule="auto"/>
              <w:jc w:val="center"/>
              <w:rPr>
                <w:sz w:val="20"/>
                <w:szCs w:val="20"/>
              </w:rPr>
            </w:pPr>
            <w:r w:rsidRPr="00B55301">
              <w:rPr>
                <w:sz w:val="20"/>
                <w:szCs w:val="20"/>
              </w:rPr>
              <w:t>845</w:t>
            </w:r>
          </w:p>
        </w:tc>
      </w:tr>
      <w:tr w:rsidR="009867E7" w:rsidRPr="00664C92" w14:paraId="348D6920" w14:textId="77777777" w:rsidTr="007C520D">
        <w:trPr>
          <w:trHeight w:val="557"/>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right w:val="single" w:sz="4" w:space="0" w:color="4F81BD" w:themeColor="accent1"/>
            </w:tcBorders>
          </w:tcPr>
          <w:p w14:paraId="1568C609" w14:textId="77777777" w:rsidR="009867E7" w:rsidRPr="00B55301" w:rsidRDefault="009867E7" w:rsidP="007C520D">
            <w:pPr>
              <w:keepNext/>
              <w:widowControl w:val="0"/>
              <w:spacing w:after="0" w:line="240" w:lineRule="auto"/>
              <w:rPr>
                <w:b w:val="0"/>
                <w:sz w:val="20"/>
                <w:szCs w:val="20"/>
              </w:rPr>
            </w:pPr>
            <w:r w:rsidRPr="00B55301">
              <w:rPr>
                <w:b w:val="0"/>
                <w:sz w:val="20"/>
                <w:szCs w:val="20"/>
              </w:rPr>
              <w:t>Overcrowded - With 1.01-1.5 people per room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tcBorders>
              <w:left w:val="single" w:sz="4" w:space="0" w:color="4F81BD" w:themeColor="accent1"/>
            </w:tcBorders>
            <w:vAlign w:val="center"/>
          </w:tcPr>
          <w:p w14:paraId="6F81FAAB" w14:textId="77777777" w:rsidR="009867E7" w:rsidRPr="00B55301" w:rsidRDefault="009867E7" w:rsidP="007C520D">
            <w:pPr>
              <w:keepNext/>
              <w:widowControl w:val="0"/>
              <w:spacing w:after="0" w:line="240" w:lineRule="auto"/>
              <w:jc w:val="center"/>
              <w:rPr>
                <w:sz w:val="20"/>
                <w:szCs w:val="20"/>
              </w:rPr>
            </w:pPr>
            <w:r w:rsidRPr="00B55301">
              <w:rPr>
                <w:sz w:val="20"/>
                <w:szCs w:val="20"/>
              </w:rPr>
              <w:t>655</w:t>
            </w:r>
          </w:p>
        </w:tc>
        <w:tc>
          <w:tcPr>
            <w:tcW w:w="990" w:type="dxa"/>
            <w:vAlign w:val="center"/>
          </w:tcPr>
          <w:p w14:paraId="687A6330"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1,485</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3A3C0606" w14:textId="77777777" w:rsidR="009867E7" w:rsidRPr="00B55301" w:rsidRDefault="009867E7" w:rsidP="007C520D">
            <w:pPr>
              <w:keepNext/>
              <w:widowControl w:val="0"/>
              <w:spacing w:after="0" w:line="240" w:lineRule="auto"/>
              <w:jc w:val="center"/>
              <w:rPr>
                <w:sz w:val="20"/>
                <w:szCs w:val="20"/>
              </w:rPr>
            </w:pPr>
            <w:r w:rsidRPr="00B55301">
              <w:rPr>
                <w:sz w:val="20"/>
                <w:szCs w:val="20"/>
              </w:rPr>
              <w:t>2,330</w:t>
            </w:r>
          </w:p>
        </w:tc>
        <w:tc>
          <w:tcPr>
            <w:tcW w:w="1080" w:type="dxa"/>
            <w:vAlign w:val="center"/>
          </w:tcPr>
          <w:p w14:paraId="2BBFE900"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1,055</w:t>
            </w:r>
          </w:p>
        </w:tc>
        <w:tc>
          <w:tcPr>
            <w:cnfStyle w:val="000010000000" w:firstRow="0" w:lastRow="0" w:firstColumn="0" w:lastColumn="0" w:oddVBand="1" w:evenVBand="0" w:oddHBand="0" w:evenHBand="0" w:firstRowFirstColumn="0" w:firstRowLastColumn="0" w:lastRowFirstColumn="0" w:lastRowLastColumn="0"/>
            <w:tcW w:w="805" w:type="dxa"/>
            <w:vAlign w:val="center"/>
          </w:tcPr>
          <w:p w14:paraId="7C5A7026" w14:textId="77777777" w:rsidR="009867E7" w:rsidRPr="00B55301" w:rsidRDefault="009867E7" w:rsidP="007C520D">
            <w:pPr>
              <w:keepNext/>
              <w:widowControl w:val="0"/>
              <w:spacing w:after="0" w:line="240" w:lineRule="auto"/>
              <w:jc w:val="center"/>
              <w:rPr>
                <w:sz w:val="20"/>
                <w:szCs w:val="20"/>
              </w:rPr>
            </w:pPr>
            <w:r w:rsidRPr="00B55301">
              <w:rPr>
                <w:sz w:val="20"/>
                <w:szCs w:val="20"/>
              </w:rPr>
              <w:t>5,525</w:t>
            </w:r>
          </w:p>
        </w:tc>
      </w:tr>
      <w:tr w:rsidR="009867E7" w:rsidRPr="00664C92" w14:paraId="6EC28192" w14:textId="77777777" w:rsidTr="007C520D">
        <w:trPr>
          <w:trHeight w:val="530"/>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right w:val="single" w:sz="4" w:space="0" w:color="4F81BD" w:themeColor="accent1"/>
            </w:tcBorders>
          </w:tcPr>
          <w:p w14:paraId="3006CC43" w14:textId="77777777" w:rsidR="009867E7" w:rsidRPr="00B55301" w:rsidRDefault="009867E7" w:rsidP="007C520D">
            <w:pPr>
              <w:keepNext/>
              <w:widowControl w:val="0"/>
              <w:spacing w:after="0" w:line="240" w:lineRule="auto"/>
              <w:rPr>
                <w:b w:val="0"/>
                <w:sz w:val="20"/>
                <w:szCs w:val="20"/>
              </w:rPr>
            </w:pPr>
            <w:r w:rsidRPr="00B55301">
              <w:rPr>
                <w:b w:val="0"/>
                <w:sz w:val="20"/>
                <w:szCs w:val="20"/>
              </w:rPr>
              <w:t>Housing cost burden greater than 50% of income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tcBorders>
              <w:left w:val="single" w:sz="4" w:space="0" w:color="4F81BD" w:themeColor="accent1"/>
            </w:tcBorders>
            <w:vAlign w:val="center"/>
          </w:tcPr>
          <w:p w14:paraId="0FD705CD" w14:textId="77777777" w:rsidR="009867E7" w:rsidRPr="00B55301" w:rsidRDefault="009867E7" w:rsidP="007C520D">
            <w:pPr>
              <w:keepNext/>
              <w:widowControl w:val="0"/>
              <w:spacing w:after="0" w:line="240" w:lineRule="auto"/>
              <w:jc w:val="center"/>
              <w:rPr>
                <w:sz w:val="20"/>
                <w:szCs w:val="20"/>
              </w:rPr>
            </w:pPr>
            <w:r w:rsidRPr="00B55301">
              <w:rPr>
                <w:sz w:val="20"/>
                <w:szCs w:val="20"/>
              </w:rPr>
              <w:t>22,625</w:t>
            </w:r>
          </w:p>
        </w:tc>
        <w:tc>
          <w:tcPr>
            <w:tcW w:w="990" w:type="dxa"/>
            <w:vAlign w:val="center"/>
          </w:tcPr>
          <w:p w14:paraId="47064CAF"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13,390</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57B8ACCA" w14:textId="77777777" w:rsidR="009867E7" w:rsidRPr="00B55301" w:rsidRDefault="009867E7" w:rsidP="007C520D">
            <w:pPr>
              <w:keepNext/>
              <w:widowControl w:val="0"/>
              <w:spacing w:after="0" w:line="240" w:lineRule="auto"/>
              <w:jc w:val="center"/>
              <w:rPr>
                <w:sz w:val="20"/>
                <w:szCs w:val="20"/>
              </w:rPr>
            </w:pPr>
            <w:r w:rsidRPr="00B55301">
              <w:rPr>
                <w:sz w:val="20"/>
                <w:szCs w:val="20"/>
              </w:rPr>
              <w:t>9040</w:t>
            </w:r>
          </w:p>
        </w:tc>
        <w:tc>
          <w:tcPr>
            <w:tcW w:w="1080" w:type="dxa"/>
            <w:vAlign w:val="center"/>
          </w:tcPr>
          <w:p w14:paraId="62C9ABB4"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2390</w:t>
            </w:r>
          </w:p>
        </w:tc>
        <w:tc>
          <w:tcPr>
            <w:cnfStyle w:val="000010000000" w:firstRow="0" w:lastRow="0" w:firstColumn="0" w:lastColumn="0" w:oddVBand="1" w:evenVBand="0" w:oddHBand="0" w:evenHBand="0" w:firstRowFirstColumn="0" w:firstRowLastColumn="0" w:lastRowFirstColumn="0" w:lastRowLastColumn="0"/>
            <w:tcW w:w="805" w:type="dxa"/>
            <w:vAlign w:val="center"/>
          </w:tcPr>
          <w:p w14:paraId="6DCD0EED" w14:textId="77777777" w:rsidR="009867E7" w:rsidRPr="00B55301" w:rsidRDefault="009867E7" w:rsidP="007C520D">
            <w:pPr>
              <w:keepNext/>
              <w:widowControl w:val="0"/>
              <w:spacing w:after="0" w:line="240" w:lineRule="auto"/>
              <w:jc w:val="center"/>
              <w:rPr>
                <w:sz w:val="20"/>
                <w:szCs w:val="20"/>
              </w:rPr>
            </w:pPr>
            <w:r w:rsidRPr="00B55301">
              <w:rPr>
                <w:sz w:val="20"/>
                <w:szCs w:val="20"/>
              </w:rPr>
              <w:t>47,445</w:t>
            </w:r>
          </w:p>
        </w:tc>
      </w:tr>
      <w:tr w:rsidR="009867E7" w:rsidRPr="00664C92" w14:paraId="68911D33" w14:textId="77777777" w:rsidTr="007C520D">
        <w:trPr>
          <w:trHeight w:val="530"/>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right w:val="single" w:sz="4" w:space="0" w:color="4F81BD" w:themeColor="accent1"/>
            </w:tcBorders>
          </w:tcPr>
          <w:p w14:paraId="36F1B866" w14:textId="77777777" w:rsidR="009867E7" w:rsidRPr="00B55301" w:rsidRDefault="009867E7" w:rsidP="007C520D">
            <w:pPr>
              <w:keepNext/>
              <w:widowControl w:val="0"/>
              <w:spacing w:after="0" w:line="240" w:lineRule="auto"/>
              <w:rPr>
                <w:b w:val="0"/>
                <w:sz w:val="20"/>
                <w:szCs w:val="20"/>
              </w:rPr>
            </w:pPr>
            <w:r w:rsidRPr="00B55301">
              <w:rPr>
                <w:b w:val="0"/>
                <w:sz w:val="20"/>
                <w:szCs w:val="20"/>
              </w:rPr>
              <w:t>Housing cost burden greater than 30% of income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tcBorders>
              <w:left w:val="single" w:sz="4" w:space="0" w:color="4F81BD" w:themeColor="accent1"/>
            </w:tcBorders>
            <w:vAlign w:val="center"/>
          </w:tcPr>
          <w:p w14:paraId="723BEC5B" w14:textId="77777777" w:rsidR="009867E7" w:rsidRPr="00B55301" w:rsidRDefault="009867E7" w:rsidP="007C520D">
            <w:pPr>
              <w:keepNext/>
              <w:widowControl w:val="0"/>
              <w:spacing w:after="0" w:line="240" w:lineRule="auto"/>
              <w:jc w:val="center"/>
              <w:rPr>
                <w:sz w:val="20"/>
                <w:szCs w:val="20"/>
              </w:rPr>
            </w:pPr>
            <w:r w:rsidRPr="00B55301">
              <w:rPr>
                <w:sz w:val="20"/>
                <w:szCs w:val="20"/>
              </w:rPr>
              <w:t>7,605</w:t>
            </w:r>
          </w:p>
        </w:tc>
        <w:tc>
          <w:tcPr>
            <w:tcW w:w="990" w:type="dxa"/>
            <w:vAlign w:val="center"/>
          </w:tcPr>
          <w:p w14:paraId="7FE74DF3"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17,240</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67A65CE2" w14:textId="77777777" w:rsidR="009867E7" w:rsidRPr="00B55301" w:rsidRDefault="009867E7" w:rsidP="007C520D">
            <w:pPr>
              <w:keepNext/>
              <w:widowControl w:val="0"/>
              <w:spacing w:after="0" w:line="240" w:lineRule="auto"/>
              <w:jc w:val="center"/>
              <w:rPr>
                <w:sz w:val="20"/>
                <w:szCs w:val="20"/>
              </w:rPr>
            </w:pPr>
            <w:r w:rsidRPr="00B55301">
              <w:rPr>
                <w:sz w:val="20"/>
                <w:szCs w:val="20"/>
              </w:rPr>
              <w:t>26,860</w:t>
            </w:r>
          </w:p>
        </w:tc>
        <w:tc>
          <w:tcPr>
            <w:tcW w:w="1080" w:type="dxa"/>
            <w:vAlign w:val="center"/>
          </w:tcPr>
          <w:p w14:paraId="744642CF"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13,810</w:t>
            </w:r>
          </w:p>
        </w:tc>
        <w:tc>
          <w:tcPr>
            <w:cnfStyle w:val="000010000000" w:firstRow="0" w:lastRow="0" w:firstColumn="0" w:lastColumn="0" w:oddVBand="1" w:evenVBand="0" w:oddHBand="0" w:evenHBand="0" w:firstRowFirstColumn="0" w:firstRowLastColumn="0" w:lastRowFirstColumn="0" w:lastRowLastColumn="0"/>
            <w:tcW w:w="805" w:type="dxa"/>
            <w:vAlign w:val="center"/>
          </w:tcPr>
          <w:p w14:paraId="467DF0F1" w14:textId="77777777" w:rsidR="009867E7" w:rsidRPr="00B55301" w:rsidRDefault="009867E7" w:rsidP="007C520D">
            <w:pPr>
              <w:keepNext/>
              <w:widowControl w:val="0"/>
              <w:spacing w:after="0" w:line="240" w:lineRule="auto"/>
              <w:jc w:val="center"/>
              <w:rPr>
                <w:sz w:val="20"/>
                <w:szCs w:val="20"/>
              </w:rPr>
            </w:pPr>
            <w:r w:rsidRPr="00B55301">
              <w:rPr>
                <w:sz w:val="20"/>
                <w:szCs w:val="20"/>
              </w:rPr>
              <w:t>65,515</w:t>
            </w:r>
          </w:p>
        </w:tc>
      </w:tr>
      <w:tr w:rsidR="009867E7" w:rsidRPr="00664C92" w14:paraId="0EAC6725" w14:textId="77777777" w:rsidTr="007C520D">
        <w:trPr>
          <w:trHeight w:val="434"/>
        </w:trPr>
        <w:tc>
          <w:tcPr>
            <w:cnfStyle w:val="001000000000" w:firstRow="0" w:lastRow="0" w:firstColumn="1" w:lastColumn="0" w:oddVBand="0" w:evenVBand="0" w:oddHBand="0" w:evenHBand="0" w:firstRowFirstColumn="0" w:firstRowLastColumn="0" w:lastRowFirstColumn="0" w:lastRowLastColumn="0"/>
            <w:tcW w:w="4495" w:type="dxa"/>
            <w:tcBorders>
              <w:left w:val="single" w:sz="4" w:space="0" w:color="95B3D7" w:themeColor="accent1" w:themeTint="99"/>
              <w:right w:val="single" w:sz="4" w:space="0" w:color="4F81BD" w:themeColor="accent1"/>
            </w:tcBorders>
          </w:tcPr>
          <w:p w14:paraId="221A0A97" w14:textId="77777777" w:rsidR="009867E7" w:rsidRPr="00B55301" w:rsidRDefault="009867E7" w:rsidP="007C520D">
            <w:pPr>
              <w:keepNext/>
              <w:widowControl w:val="0"/>
              <w:spacing w:after="0" w:line="240" w:lineRule="auto"/>
              <w:rPr>
                <w:b w:val="0"/>
                <w:sz w:val="20"/>
                <w:szCs w:val="20"/>
              </w:rPr>
            </w:pPr>
            <w:r w:rsidRPr="00B55301">
              <w:rPr>
                <w:b w:val="0"/>
                <w:sz w:val="20"/>
                <w:szCs w:val="20"/>
              </w:rPr>
              <w:t>Zero/negative Income (and none of the above problems)</w:t>
            </w:r>
          </w:p>
        </w:tc>
        <w:tc>
          <w:tcPr>
            <w:cnfStyle w:val="000010000000" w:firstRow="0" w:lastRow="0" w:firstColumn="0" w:lastColumn="0" w:oddVBand="1" w:evenVBand="0" w:oddHBand="0" w:evenHBand="0" w:firstRowFirstColumn="0" w:firstRowLastColumn="0" w:lastRowFirstColumn="0" w:lastRowLastColumn="0"/>
            <w:tcW w:w="900" w:type="dxa"/>
            <w:tcBorders>
              <w:left w:val="single" w:sz="4" w:space="0" w:color="4F81BD" w:themeColor="accent1"/>
            </w:tcBorders>
            <w:vAlign w:val="center"/>
          </w:tcPr>
          <w:p w14:paraId="5C150D42" w14:textId="77777777" w:rsidR="009867E7" w:rsidRPr="00B55301" w:rsidRDefault="009867E7" w:rsidP="007C520D">
            <w:pPr>
              <w:keepNext/>
              <w:widowControl w:val="0"/>
              <w:spacing w:after="0" w:line="240" w:lineRule="auto"/>
              <w:jc w:val="center"/>
              <w:rPr>
                <w:sz w:val="20"/>
                <w:szCs w:val="20"/>
              </w:rPr>
            </w:pPr>
            <w:r w:rsidRPr="00B55301">
              <w:rPr>
                <w:sz w:val="20"/>
                <w:szCs w:val="20"/>
              </w:rPr>
              <w:t>3,690</w:t>
            </w:r>
          </w:p>
        </w:tc>
        <w:tc>
          <w:tcPr>
            <w:tcW w:w="990" w:type="dxa"/>
            <w:vAlign w:val="center"/>
          </w:tcPr>
          <w:p w14:paraId="2EAA84FA"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0</w:t>
            </w:r>
          </w:p>
        </w:tc>
        <w:tc>
          <w:tcPr>
            <w:cnfStyle w:val="000010000000" w:firstRow="0" w:lastRow="0" w:firstColumn="0" w:lastColumn="0" w:oddVBand="1" w:evenVBand="0" w:oddHBand="0" w:evenHBand="0" w:firstRowFirstColumn="0" w:firstRowLastColumn="0" w:lastRowFirstColumn="0" w:lastRowLastColumn="0"/>
            <w:tcW w:w="1080" w:type="dxa"/>
            <w:vAlign w:val="center"/>
          </w:tcPr>
          <w:p w14:paraId="5EBC4927" w14:textId="77777777" w:rsidR="009867E7" w:rsidRPr="00B55301" w:rsidRDefault="009867E7" w:rsidP="007C520D">
            <w:pPr>
              <w:keepNext/>
              <w:widowControl w:val="0"/>
              <w:spacing w:after="0" w:line="240" w:lineRule="auto"/>
              <w:jc w:val="center"/>
              <w:rPr>
                <w:sz w:val="20"/>
                <w:szCs w:val="20"/>
              </w:rPr>
            </w:pPr>
            <w:r w:rsidRPr="00B55301">
              <w:rPr>
                <w:sz w:val="20"/>
                <w:szCs w:val="20"/>
              </w:rPr>
              <w:t>0</w:t>
            </w:r>
          </w:p>
        </w:tc>
        <w:tc>
          <w:tcPr>
            <w:tcW w:w="1080" w:type="dxa"/>
            <w:vAlign w:val="center"/>
          </w:tcPr>
          <w:p w14:paraId="784F514E" w14:textId="77777777" w:rsidR="009867E7" w:rsidRPr="00B55301"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55301">
              <w:rPr>
                <w:sz w:val="20"/>
                <w:szCs w:val="20"/>
              </w:rPr>
              <w:t>0</w:t>
            </w:r>
          </w:p>
        </w:tc>
        <w:tc>
          <w:tcPr>
            <w:cnfStyle w:val="000010000000" w:firstRow="0" w:lastRow="0" w:firstColumn="0" w:lastColumn="0" w:oddVBand="1" w:evenVBand="0" w:oddHBand="0" w:evenHBand="0" w:firstRowFirstColumn="0" w:firstRowLastColumn="0" w:lastRowFirstColumn="0" w:lastRowLastColumn="0"/>
            <w:tcW w:w="805" w:type="dxa"/>
            <w:vAlign w:val="center"/>
          </w:tcPr>
          <w:p w14:paraId="15EF0C02" w14:textId="77777777" w:rsidR="009867E7" w:rsidRPr="00B55301" w:rsidRDefault="009867E7" w:rsidP="007C520D">
            <w:pPr>
              <w:keepNext/>
              <w:widowControl w:val="0"/>
              <w:spacing w:after="0" w:line="240" w:lineRule="auto"/>
              <w:jc w:val="center"/>
              <w:rPr>
                <w:sz w:val="20"/>
                <w:szCs w:val="20"/>
              </w:rPr>
            </w:pPr>
            <w:r w:rsidRPr="00B55301">
              <w:rPr>
                <w:sz w:val="20"/>
                <w:szCs w:val="20"/>
              </w:rPr>
              <w:t>3,690</w:t>
            </w:r>
          </w:p>
        </w:tc>
      </w:tr>
    </w:tbl>
    <w:p w14:paraId="06FDB5AF" w14:textId="77777777" w:rsidR="009867E7" w:rsidRDefault="009867E7" w:rsidP="009867E7">
      <w:pPr>
        <w:spacing w:after="0" w:line="240" w:lineRule="auto"/>
        <w:rPr>
          <w:i/>
          <w:sz w:val="18"/>
        </w:rPr>
      </w:pPr>
      <w:r w:rsidRPr="000D1D10">
        <w:rPr>
          <w:i/>
          <w:sz w:val="18"/>
        </w:rPr>
        <w:t>Source: 2009-2013 CHAS</w:t>
      </w:r>
    </w:p>
    <w:p w14:paraId="4E2FB9BD" w14:textId="77777777" w:rsidR="009867E7" w:rsidRDefault="009867E7" w:rsidP="009867E7">
      <w:pPr>
        <w:spacing w:after="0" w:line="240" w:lineRule="auto"/>
        <w:rPr>
          <w:i/>
          <w:sz w:val="18"/>
        </w:rPr>
      </w:pPr>
    </w:p>
    <w:p w14:paraId="17F56639" w14:textId="77777777" w:rsidR="009867E7" w:rsidRDefault="009867E7" w:rsidP="009867E7">
      <w:pPr>
        <w:spacing w:after="0" w:line="240" w:lineRule="auto"/>
        <w:rPr>
          <w:b/>
          <w:bCs/>
          <w:vanish/>
          <w:sz w:val="16"/>
          <w:szCs w:val="16"/>
        </w:rPr>
      </w:pPr>
    </w:p>
    <w:p w14:paraId="3C5F5506" w14:textId="77777777" w:rsidR="009867E7" w:rsidRDefault="009867E7" w:rsidP="009867E7"/>
    <w:p w14:paraId="304DA97D" w14:textId="77777777" w:rsidR="009867E7" w:rsidRDefault="009867E7" w:rsidP="009867E7">
      <w:pPr>
        <w:keepNext/>
        <w:widowControl w:val="0"/>
        <w:spacing w:line="240" w:lineRule="auto"/>
        <w:contextualSpacing/>
        <w:rPr>
          <w:bCs/>
          <w:sz w:val="24"/>
          <w:szCs w:val="24"/>
        </w:rPr>
      </w:pPr>
      <w:r>
        <w:rPr>
          <w:b/>
          <w:sz w:val="24"/>
          <w:szCs w:val="24"/>
        </w:rPr>
        <w:t>Table 4.1 – Renter Housing Problems</w:t>
      </w:r>
      <w:r>
        <w:rPr>
          <w:bCs/>
          <w:sz w:val="24"/>
          <w:szCs w:val="24"/>
        </w:rPr>
        <w:t xml:space="preserve"> (Severe Housing Problems)</w:t>
      </w:r>
    </w:p>
    <w:tbl>
      <w:tblPr>
        <w:tblStyle w:val="GridTable4-Accent1"/>
        <w:tblW w:w="4977" w:type="pct"/>
        <w:tblLook w:val="03A0" w:firstRow="1" w:lastRow="0" w:firstColumn="1" w:lastColumn="1" w:noHBand="1" w:noVBand="0"/>
      </w:tblPr>
      <w:tblGrid>
        <w:gridCol w:w="4503"/>
        <w:gridCol w:w="812"/>
        <w:gridCol w:w="992"/>
        <w:gridCol w:w="992"/>
        <w:gridCol w:w="1082"/>
        <w:gridCol w:w="926"/>
      </w:tblGrid>
      <w:tr w:rsidR="009867E7" w14:paraId="554BAF9C" w14:textId="77777777" w:rsidTr="007C520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495" w:type="dxa"/>
            <w:vMerge w:val="restart"/>
            <w:tcBorders>
              <w:right w:val="single" w:sz="4" w:space="0" w:color="95B3D7" w:themeColor="accent1" w:themeTint="99"/>
            </w:tcBorders>
          </w:tcPr>
          <w:p w14:paraId="2E6BDFE0" w14:textId="77777777" w:rsidR="009867E7" w:rsidRPr="00300C59" w:rsidRDefault="009867E7" w:rsidP="007C520D">
            <w:pPr>
              <w:pStyle w:val="Caption"/>
              <w:keepNext/>
              <w:widowControl w:val="0"/>
              <w:contextualSpacing/>
              <w:jc w:val="cente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4794" w:type="dxa"/>
            <w:gridSpan w:val="5"/>
            <w:tcBorders>
              <w:left w:val="single" w:sz="4" w:space="0" w:color="95B3D7" w:themeColor="accent1" w:themeTint="99"/>
              <w:bottom w:val="double" w:sz="6" w:space="0" w:color="auto"/>
            </w:tcBorders>
          </w:tcPr>
          <w:p w14:paraId="7B786871" w14:textId="77777777" w:rsidR="009867E7" w:rsidRPr="00300C59" w:rsidRDefault="009867E7" w:rsidP="007C520D">
            <w:pPr>
              <w:keepNext/>
              <w:widowControl w:val="0"/>
              <w:spacing w:after="0" w:line="240" w:lineRule="auto"/>
              <w:contextualSpacing/>
              <w:jc w:val="center"/>
              <w:rPr>
                <w:sz w:val="20"/>
                <w:szCs w:val="20"/>
              </w:rPr>
            </w:pPr>
            <w:r w:rsidRPr="009204CE">
              <w:rPr>
                <w:bCs w:val="0"/>
                <w:szCs w:val="20"/>
              </w:rPr>
              <w:t>Renter</w:t>
            </w:r>
          </w:p>
        </w:tc>
      </w:tr>
      <w:tr w:rsidR="009867E7" w14:paraId="53091EBC" w14:textId="77777777" w:rsidTr="007C520D">
        <w:trPr>
          <w:trHeight w:val="544"/>
        </w:trPr>
        <w:tc>
          <w:tcPr>
            <w:cnfStyle w:val="001000000000" w:firstRow="0" w:lastRow="0" w:firstColumn="1" w:lastColumn="0" w:oddVBand="0" w:evenVBand="0" w:oddHBand="0" w:evenHBand="0" w:firstRowFirstColumn="0" w:firstRowLastColumn="0" w:lastRowFirstColumn="0" w:lastRowLastColumn="0"/>
            <w:tcW w:w="4495" w:type="dxa"/>
            <w:vMerge/>
          </w:tcPr>
          <w:p w14:paraId="539CD78D" w14:textId="77777777" w:rsidR="009867E7" w:rsidRPr="00300C59" w:rsidRDefault="009867E7" w:rsidP="007C520D">
            <w:pPr>
              <w:pStyle w:val="Caption"/>
              <w:keepNext/>
              <w:widowControl w:val="0"/>
              <w:jc w:val="cente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810" w:type="dxa"/>
            <w:tcBorders>
              <w:top w:val="double" w:sz="6" w:space="0" w:color="auto"/>
            </w:tcBorders>
            <w:shd w:val="clear" w:color="auto" w:fill="4F81BD" w:themeFill="accent1"/>
          </w:tcPr>
          <w:p w14:paraId="43061AEF"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990" w:type="dxa"/>
            <w:tcBorders>
              <w:top w:val="double" w:sz="6" w:space="0" w:color="auto"/>
            </w:tcBorders>
            <w:shd w:val="clear" w:color="auto" w:fill="4F81BD" w:themeFill="accent1"/>
          </w:tcPr>
          <w:p w14:paraId="5C440D14"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90" w:type="dxa"/>
            <w:tcBorders>
              <w:top w:val="double" w:sz="6" w:space="0" w:color="auto"/>
            </w:tcBorders>
            <w:shd w:val="clear" w:color="auto" w:fill="4F81BD" w:themeFill="accent1"/>
          </w:tcPr>
          <w:p w14:paraId="39B69255"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1080" w:type="dxa"/>
            <w:tcBorders>
              <w:top w:val="double" w:sz="6" w:space="0" w:color="auto"/>
            </w:tcBorders>
            <w:shd w:val="clear" w:color="auto" w:fill="4F81BD" w:themeFill="accent1"/>
          </w:tcPr>
          <w:p w14:paraId="2C188718"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&gt;80-100% AMI</w:t>
            </w:r>
          </w:p>
        </w:tc>
        <w:tc>
          <w:tcPr>
            <w:cnfStyle w:val="000100000000" w:firstRow="0" w:lastRow="0" w:firstColumn="0" w:lastColumn="1" w:oddVBand="0" w:evenVBand="0" w:oddHBand="0" w:evenHBand="0" w:firstRowFirstColumn="0" w:firstRowLastColumn="0" w:lastRowFirstColumn="0" w:lastRowLastColumn="0"/>
            <w:tcW w:w="924" w:type="dxa"/>
            <w:tcBorders>
              <w:top w:val="double" w:sz="6" w:space="0" w:color="auto"/>
              <w:right w:val="single" w:sz="4" w:space="0" w:color="4F81BD" w:themeColor="accent1"/>
            </w:tcBorders>
            <w:shd w:val="clear" w:color="auto" w:fill="4F81BD" w:themeFill="accent1"/>
          </w:tcPr>
          <w:p w14:paraId="440370BF" w14:textId="77777777" w:rsidR="009867E7" w:rsidRPr="00300C59" w:rsidRDefault="009867E7" w:rsidP="007C520D">
            <w:pPr>
              <w:keepNext/>
              <w:widowControl w:val="0"/>
              <w:spacing w:after="0" w:line="240" w:lineRule="auto"/>
              <w:jc w:val="center"/>
              <w:rPr>
                <w:b w:val="0"/>
                <w:color w:val="FFFFFF" w:themeColor="background1"/>
                <w:sz w:val="20"/>
                <w:szCs w:val="20"/>
              </w:rPr>
            </w:pPr>
            <w:r w:rsidRPr="00300C59">
              <w:rPr>
                <w:b w:val="0"/>
                <w:color w:val="FFFFFF" w:themeColor="background1"/>
                <w:sz w:val="20"/>
                <w:szCs w:val="20"/>
              </w:rPr>
              <w:t>Total</w:t>
            </w:r>
          </w:p>
        </w:tc>
      </w:tr>
      <w:tr w:rsidR="009867E7" w14:paraId="5B495C3A" w14:textId="77777777" w:rsidTr="007C520D">
        <w:trPr>
          <w:trHeight w:val="368"/>
        </w:trPr>
        <w:tc>
          <w:tcPr>
            <w:cnfStyle w:val="001000000000" w:firstRow="0" w:lastRow="0" w:firstColumn="1" w:lastColumn="0" w:oddVBand="0" w:evenVBand="0" w:oddHBand="0" w:evenHBand="0" w:firstRowFirstColumn="0" w:firstRowLastColumn="0" w:lastRowFirstColumn="0" w:lastRowLastColumn="0"/>
            <w:tcW w:w="4495" w:type="dxa"/>
          </w:tcPr>
          <w:p w14:paraId="1FECF9DA" w14:textId="77777777" w:rsidR="009867E7" w:rsidRPr="00300C59" w:rsidRDefault="009867E7" w:rsidP="007C520D">
            <w:pPr>
              <w:pStyle w:val="Caption"/>
              <w:keepNext/>
              <w:widowControl w:val="0"/>
              <w:rPr>
                <w:rFonts w:ascii="Calibri" w:hAnsi="Calibri"/>
                <w:szCs w:val="22"/>
              </w:rPr>
            </w:pPr>
            <w:r w:rsidRPr="00300C59">
              <w:rPr>
                <w:rFonts w:ascii="Calibri" w:hAnsi="Calibri"/>
                <w:szCs w:val="22"/>
              </w:rPr>
              <w:t>Having 1 or more of four housing problems</w:t>
            </w:r>
          </w:p>
        </w:tc>
        <w:tc>
          <w:tcPr>
            <w:cnfStyle w:val="000010000000" w:firstRow="0" w:lastRow="0" w:firstColumn="0" w:lastColumn="0" w:oddVBand="1" w:evenVBand="0" w:oddHBand="0" w:evenHBand="0" w:firstRowFirstColumn="0" w:firstRowLastColumn="0" w:lastRowFirstColumn="0" w:lastRowLastColumn="0"/>
            <w:tcW w:w="810" w:type="dxa"/>
          </w:tcPr>
          <w:p w14:paraId="6139D4B8" w14:textId="77777777" w:rsidR="009867E7" w:rsidRPr="00300C59" w:rsidRDefault="009867E7" w:rsidP="007C520D">
            <w:pPr>
              <w:keepNext/>
              <w:widowControl w:val="0"/>
              <w:spacing w:after="0" w:line="240" w:lineRule="auto"/>
              <w:rPr>
                <w:sz w:val="20"/>
              </w:rPr>
            </w:pPr>
            <w:r w:rsidRPr="00300C59">
              <w:rPr>
                <w:sz w:val="20"/>
              </w:rPr>
              <w:t>54,580</w:t>
            </w:r>
          </w:p>
        </w:tc>
        <w:tc>
          <w:tcPr>
            <w:tcW w:w="990" w:type="dxa"/>
          </w:tcPr>
          <w:p w14:paraId="02A27D5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19,390</w:t>
            </w:r>
          </w:p>
        </w:tc>
        <w:tc>
          <w:tcPr>
            <w:cnfStyle w:val="000010000000" w:firstRow="0" w:lastRow="0" w:firstColumn="0" w:lastColumn="0" w:oddVBand="1" w:evenVBand="0" w:oddHBand="0" w:evenHBand="0" w:firstRowFirstColumn="0" w:firstRowLastColumn="0" w:lastRowFirstColumn="0" w:lastRowLastColumn="0"/>
            <w:tcW w:w="990" w:type="dxa"/>
          </w:tcPr>
          <w:p w14:paraId="2EAF8564" w14:textId="77777777" w:rsidR="009867E7" w:rsidRPr="00300C59" w:rsidRDefault="009867E7" w:rsidP="007C520D">
            <w:pPr>
              <w:keepNext/>
              <w:widowControl w:val="0"/>
              <w:spacing w:after="0" w:line="240" w:lineRule="auto"/>
              <w:rPr>
                <w:sz w:val="20"/>
              </w:rPr>
            </w:pPr>
            <w:r w:rsidRPr="00300C59">
              <w:rPr>
                <w:sz w:val="20"/>
              </w:rPr>
              <w:t>7,730</w:t>
            </w:r>
          </w:p>
        </w:tc>
        <w:tc>
          <w:tcPr>
            <w:tcW w:w="1080" w:type="dxa"/>
          </w:tcPr>
          <w:p w14:paraId="1E9D20C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2,560</w:t>
            </w:r>
          </w:p>
        </w:tc>
        <w:tc>
          <w:tcPr>
            <w:cnfStyle w:val="000100000000" w:firstRow="0" w:lastRow="0" w:firstColumn="0" w:lastColumn="1" w:oddVBand="0" w:evenVBand="0" w:oddHBand="0" w:evenHBand="0" w:firstRowFirstColumn="0" w:firstRowLastColumn="0" w:lastRowFirstColumn="0" w:lastRowLastColumn="0"/>
            <w:tcW w:w="924" w:type="dxa"/>
            <w:tcBorders>
              <w:right w:val="single" w:sz="4" w:space="0" w:color="4F81BD" w:themeColor="accent1"/>
            </w:tcBorders>
          </w:tcPr>
          <w:p w14:paraId="0D00304B" w14:textId="77777777" w:rsidR="009867E7" w:rsidRPr="00300C59" w:rsidRDefault="009867E7" w:rsidP="007C520D">
            <w:pPr>
              <w:keepNext/>
              <w:widowControl w:val="0"/>
              <w:spacing w:after="0" w:line="240" w:lineRule="auto"/>
              <w:rPr>
                <w:sz w:val="20"/>
              </w:rPr>
            </w:pPr>
            <w:r w:rsidRPr="00300C59">
              <w:rPr>
                <w:sz w:val="20"/>
              </w:rPr>
              <w:t>84,260</w:t>
            </w:r>
          </w:p>
        </w:tc>
      </w:tr>
      <w:tr w:rsidR="009867E7" w14:paraId="61A76BF0" w14:textId="77777777" w:rsidTr="007C520D">
        <w:trPr>
          <w:trHeight w:val="350"/>
        </w:trPr>
        <w:tc>
          <w:tcPr>
            <w:cnfStyle w:val="001000000000" w:firstRow="0" w:lastRow="0" w:firstColumn="1" w:lastColumn="0" w:oddVBand="0" w:evenVBand="0" w:oddHBand="0" w:evenHBand="0" w:firstRowFirstColumn="0" w:firstRowLastColumn="0" w:lastRowFirstColumn="0" w:lastRowLastColumn="0"/>
            <w:tcW w:w="4495" w:type="dxa"/>
          </w:tcPr>
          <w:p w14:paraId="2863F2A4" w14:textId="77777777" w:rsidR="009867E7" w:rsidRPr="00300C59" w:rsidRDefault="009867E7" w:rsidP="007C520D">
            <w:pPr>
              <w:pStyle w:val="Caption"/>
              <w:keepNext/>
              <w:widowControl w:val="0"/>
              <w:rPr>
                <w:rFonts w:ascii="Calibri" w:hAnsi="Calibri"/>
                <w:szCs w:val="22"/>
              </w:rPr>
            </w:pPr>
            <w:r w:rsidRPr="00300C59">
              <w:rPr>
                <w:rFonts w:ascii="Calibri" w:hAnsi="Calibri"/>
                <w:szCs w:val="22"/>
              </w:rPr>
              <w:t>Having none of four housing problems</w:t>
            </w:r>
          </w:p>
        </w:tc>
        <w:tc>
          <w:tcPr>
            <w:cnfStyle w:val="000010000000" w:firstRow="0" w:lastRow="0" w:firstColumn="0" w:lastColumn="0" w:oddVBand="1" w:evenVBand="0" w:oddHBand="0" w:evenHBand="0" w:firstRowFirstColumn="0" w:firstRowLastColumn="0" w:lastRowFirstColumn="0" w:lastRowLastColumn="0"/>
            <w:tcW w:w="810" w:type="dxa"/>
          </w:tcPr>
          <w:p w14:paraId="1D6041B1" w14:textId="77777777" w:rsidR="009867E7" w:rsidRPr="00300C59" w:rsidRDefault="009867E7" w:rsidP="007C520D">
            <w:pPr>
              <w:keepNext/>
              <w:widowControl w:val="0"/>
              <w:spacing w:after="0" w:line="240" w:lineRule="auto"/>
              <w:rPr>
                <w:sz w:val="20"/>
              </w:rPr>
            </w:pPr>
            <w:r w:rsidRPr="00300C59">
              <w:rPr>
                <w:sz w:val="20"/>
              </w:rPr>
              <w:t>20,565</w:t>
            </w:r>
          </w:p>
        </w:tc>
        <w:tc>
          <w:tcPr>
            <w:tcW w:w="990" w:type="dxa"/>
          </w:tcPr>
          <w:p w14:paraId="10C4DB0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48,035</w:t>
            </w:r>
          </w:p>
        </w:tc>
        <w:tc>
          <w:tcPr>
            <w:cnfStyle w:val="000010000000" w:firstRow="0" w:lastRow="0" w:firstColumn="0" w:lastColumn="0" w:oddVBand="1" w:evenVBand="0" w:oddHBand="0" w:evenHBand="0" w:firstRowFirstColumn="0" w:firstRowLastColumn="0" w:lastRowFirstColumn="0" w:lastRowLastColumn="0"/>
            <w:tcW w:w="990" w:type="dxa"/>
          </w:tcPr>
          <w:p w14:paraId="6B143A97" w14:textId="77777777" w:rsidR="009867E7" w:rsidRPr="00300C59" w:rsidRDefault="009867E7" w:rsidP="007C520D">
            <w:pPr>
              <w:keepNext/>
              <w:widowControl w:val="0"/>
              <w:spacing w:after="0" w:line="240" w:lineRule="auto"/>
              <w:rPr>
                <w:sz w:val="20"/>
              </w:rPr>
            </w:pPr>
            <w:r w:rsidRPr="00300C59">
              <w:rPr>
                <w:sz w:val="20"/>
              </w:rPr>
              <w:t>73,680</w:t>
            </w:r>
          </w:p>
        </w:tc>
        <w:tc>
          <w:tcPr>
            <w:tcW w:w="1080" w:type="dxa"/>
          </w:tcPr>
          <w:p w14:paraId="0218ADE4"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37,675</w:t>
            </w:r>
          </w:p>
        </w:tc>
        <w:tc>
          <w:tcPr>
            <w:cnfStyle w:val="000100000000" w:firstRow="0" w:lastRow="0" w:firstColumn="0" w:lastColumn="1" w:oddVBand="0" w:evenVBand="0" w:oddHBand="0" w:evenHBand="0" w:firstRowFirstColumn="0" w:firstRowLastColumn="0" w:lastRowFirstColumn="0" w:lastRowLastColumn="0"/>
            <w:tcW w:w="924" w:type="dxa"/>
            <w:tcBorders>
              <w:right w:val="single" w:sz="4" w:space="0" w:color="4F81BD" w:themeColor="accent1"/>
            </w:tcBorders>
          </w:tcPr>
          <w:p w14:paraId="07D3C133" w14:textId="77777777" w:rsidR="009867E7" w:rsidRPr="00300C59" w:rsidRDefault="009867E7" w:rsidP="007C520D">
            <w:pPr>
              <w:keepNext/>
              <w:widowControl w:val="0"/>
              <w:spacing w:after="0" w:line="240" w:lineRule="auto"/>
              <w:rPr>
                <w:sz w:val="20"/>
              </w:rPr>
            </w:pPr>
            <w:r w:rsidRPr="00300C59">
              <w:rPr>
                <w:sz w:val="20"/>
              </w:rPr>
              <w:t>179,955</w:t>
            </w:r>
          </w:p>
        </w:tc>
      </w:tr>
      <w:tr w:rsidR="009867E7" w14:paraId="0ED9AF79" w14:textId="77777777" w:rsidTr="007C520D">
        <w:trPr>
          <w:trHeight w:val="530"/>
        </w:trPr>
        <w:tc>
          <w:tcPr>
            <w:cnfStyle w:val="001000000000" w:firstRow="0" w:lastRow="0" w:firstColumn="1" w:lastColumn="0" w:oddVBand="0" w:evenVBand="0" w:oddHBand="0" w:evenHBand="0" w:firstRowFirstColumn="0" w:firstRowLastColumn="0" w:lastRowFirstColumn="0" w:lastRowLastColumn="0"/>
            <w:tcW w:w="4495" w:type="dxa"/>
          </w:tcPr>
          <w:p w14:paraId="6EE4BFAD" w14:textId="77777777" w:rsidR="009867E7" w:rsidRPr="00300C59" w:rsidRDefault="009867E7" w:rsidP="007C520D">
            <w:pPr>
              <w:pStyle w:val="Caption"/>
              <w:keepNext/>
              <w:widowControl w:val="0"/>
              <w:rPr>
                <w:rFonts w:ascii="Calibri" w:hAnsi="Calibri"/>
                <w:szCs w:val="22"/>
              </w:rPr>
            </w:pPr>
            <w:r w:rsidRPr="00300C59">
              <w:rPr>
                <w:rFonts w:ascii="Calibri" w:hAnsi="Calibri"/>
                <w:szCs w:val="22"/>
              </w:rPr>
              <w:t>Household has negative income, but none of the other housing problems</w:t>
            </w:r>
          </w:p>
        </w:tc>
        <w:tc>
          <w:tcPr>
            <w:cnfStyle w:val="000010000000" w:firstRow="0" w:lastRow="0" w:firstColumn="0" w:lastColumn="0" w:oddVBand="1" w:evenVBand="0" w:oddHBand="0" w:evenHBand="0" w:firstRowFirstColumn="0" w:firstRowLastColumn="0" w:lastRowFirstColumn="0" w:lastRowLastColumn="0"/>
            <w:tcW w:w="810" w:type="dxa"/>
          </w:tcPr>
          <w:p w14:paraId="589A372C" w14:textId="77777777" w:rsidR="009867E7" w:rsidRPr="00300C59" w:rsidRDefault="009867E7" w:rsidP="007C520D">
            <w:pPr>
              <w:keepNext/>
              <w:widowControl w:val="0"/>
              <w:spacing w:after="0" w:line="240" w:lineRule="auto"/>
              <w:rPr>
                <w:sz w:val="20"/>
              </w:rPr>
            </w:pPr>
            <w:r w:rsidRPr="00300C59">
              <w:rPr>
                <w:sz w:val="20"/>
              </w:rPr>
              <w:t>5,830</w:t>
            </w:r>
          </w:p>
        </w:tc>
        <w:tc>
          <w:tcPr>
            <w:tcW w:w="990" w:type="dxa"/>
          </w:tcPr>
          <w:p w14:paraId="2F437F6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0</w:t>
            </w:r>
          </w:p>
        </w:tc>
        <w:tc>
          <w:tcPr>
            <w:cnfStyle w:val="000010000000" w:firstRow="0" w:lastRow="0" w:firstColumn="0" w:lastColumn="0" w:oddVBand="1" w:evenVBand="0" w:oddHBand="0" w:evenHBand="0" w:firstRowFirstColumn="0" w:firstRowLastColumn="0" w:lastRowFirstColumn="0" w:lastRowLastColumn="0"/>
            <w:tcW w:w="990" w:type="dxa"/>
          </w:tcPr>
          <w:p w14:paraId="4B7B8C40" w14:textId="77777777" w:rsidR="009867E7" w:rsidRPr="00300C59" w:rsidRDefault="009867E7" w:rsidP="007C520D">
            <w:pPr>
              <w:keepNext/>
              <w:widowControl w:val="0"/>
              <w:spacing w:after="0" w:line="240" w:lineRule="auto"/>
              <w:rPr>
                <w:sz w:val="20"/>
              </w:rPr>
            </w:pPr>
            <w:r w:rsidRPr="00300C59">
              <w:rPr>
                <w:sz w:val="20"/>
              </w:rPr>
              <w:t>0</w:t>
            </w:r>
          </w:p>
        </w:tc>
        <w:tc>
          <w:tcPr>
            <w:tcW w:w="1080" w:type="dxa"/>
          </w:tcPr>
          <w:p w14:paraId="5DC05A6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0</w:t>
            </w:r>
          </w:p>
        </w:tc>
        <w:tc>
          <w:tcPr>
            <w:cnfStyle w:val="000100000000" w:firstRow="0" w:lastRow="0" w:firstColumn="0" w:lastColumn="1" w:oddVBand="0" w:evenVBand="0" w:oddHBand="0" w:evenHBand="0" w:firstRowFirstColumn="0" w:firstRowLastColumn="0" w:lastRowFirstColumn="0" w:lastRowLastColumn="0"/>
            <w:tcW w:w="924" w:type="dxa"/>
            <w:tcBorders>
              <w:right w:val="single" w:sz="4" w:space="0" w:color="4F81BD" w:themeColor="accent1"/>
            </w:tcBorders>
          </w:tcPr>
          <w:p w14:paraId="3759E602" w14:textId="77777777" w:rsidR="009867E7" w:rsidRPr="00300C59" w:rsidRDefault="009867E7" w:rsidP="007C520D">
            <w:pPr>
              <w:keepNext/>
              <w:widowControl w:val="0"/>
              <w:spacing w:after="0" w:line="240" w:lineRule="auto"/>
              <w:rPr>
                <w:sz w:val="20"/>
              </w:rPr>
            </w:pPr>
            <w:r w:rsidRPr="00300C59">
              <w:rPr>
                <w:sz w:val="20"/>
              </w:rPr>
              <w:t>5,830</w:t>
            </w:r>
          </w:p>
        </w:tc>
      </w:tr>
    </w:tbl>
    <w:p w14:paraId="502D7924" w14:textId="77777777" w:rsidR="009867E7" w:rsidRDefault="009867E7" w:rsidP="009867E7">
      <w:pPr>
        <w:spacing w:after="0" w:line="240" w:lineRule="auto"/>
        <w:rPr>
          <w:i/>
          <w:sz w:val="18"/>
        </w:rPr>
      </w:pPr>
      <w:r w:rsidRPr="000D1D10">
        <w:rPr>
          <w:i/>
          <w:sz w:val="18"/>
        </w:rPr>
        <w:t>Source: 2009-2013 CHAS</w:t>
      </w:r>
    </w:p>
    <w:p w14:paraId="7B8D3F27" w14:textId="77777777" w:rsidR="009867E7" w:rsidRDefault="009867E7" w:rsidP="009867E7">
      <w:pPr>
        <w:spacing w:after="0" w:line="240" w:lineRule="auto"/>
        <w:rPr>
          <w:i/>
          <w:sz w:val="18"/>
        </w:rPr>
      </w:pPr>
    </w:p>
    <w:p w14:paraId="74BCBCA4" w14:textId="77777777" w:rsidR="009867E7" w:rsidRDefault="009867E7" w:rsidP="009867E7">
      <w:pPr>
        <w:spacing w:after="0" w:line="240" w:lineRule="auto"/>
        <w:rPr>
          <w:bCs/>
          <w:sz w:val="24"/>
          <w:szCs w:val="24"/>
        </w:rPr>
      </w:pPr>
      <w:r>
        <w:rPr>
          <w:b/>
          <w:sz w:val="24"/>
          <w:szCs w:val="24"/>
        </w:rPr>
        <w:t>Table 4.2 – Owner Housing Problems</w:t>
      </w:r>
      <w:r>
        <w:rPr>
          <w:bCs/>
          <w:sz w:val="24"/>
          <w:szCs w:val="24"/>
        </w:rPr>
        <w:t xml:space="preserve"> (Severe Housing Problems)</w:t>
      </w:r>
    </w:p>
    <w:p w14:paraId="079DDAFD" w14:textId="77777777" w:rsidR="009867E7" w:rsidRDefault="009867E7" w:rsidP="009867E7">
      <w:pPr>
        <w:spacing w:after="0" w:line="240" w:lineRule="auto"/>
        <w:rPr>
          <w:i/>
          <w:sz w:val="18"/>
        </w:rPr>
      </w:pPr>
    </w:p>
    <w:tbl>
      <w:tblPr>
        <w:tblStyle w:val="GridTable4-Accent1"/>
        <w:tblW w:w="5000" w:type="pct"/>
        <w:tblLook w:val="03A0" w:firstRow="1" w:lastRow="0" w:firstColumn="1" w:lastColumn="1" w:noHBand="1" w:noVBand="0"/>
      </w:tblPr>
      <w:tblGrid>
        <w:gridCol w:w="4485"/>
        <w:gridCol w:w="812"/>
        <w:gridCol w:w="992"/>
        <w:gridCol w:w="992"/>
        <w:gridCol w:w="1082"/>
        <w:gridCol w:w="987"/>
      </w:tblGrid>
      <w:tr w:rsidR="009867E7" w:rsidRPr="00300C59" w14:paraId="4021376C" w14:textId="77777777" w:rsidTr="007C520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485" w:type="dxa"/>
            <w:vMerge w:val="restart"/>
            <w:tcBorders>
              <w:right w:val="single" w:sz="4" w:space="0" w:color="95B3D7" w:themeColor="accent1" w:themeTint="99"/>
            </w:tcBorders>
          </w:tcPr>
          <w:p w14:paraId="4DE6D5AE" w14:textId="77777777" w:rsidR="009867E7" w:rsidRPr="00C8232C" w:rsidRDefault="009867E7" w:rsidP="007C520D">
            <w:pPr>
              <w:keepNext/>
              <w:widowControl w:val="0"/>
              <w:spacing w:after="0" w:line="240" w:lineRule="auto"/>
              <w:jc w:val="center"/>
              <w:rPr>
                <w:b w:val="0"/>
                <w:sz w:val="20"/>
                <w:szCs w:val="20"/>
              </w:rPr>
            </w:pPr>
          </w:p>
        </w:tc>
        <w:tc>
          <w:tcPr>
            <w:cnfStyle w:val="000100000000" w:firstRow="0" w:lastRow="0" w:firstColumn="0" w:lastColumn="1" w:oddVBand="0" w:evenVBand="0" w:oddHBand="0" w:evenHBand="0" w:firstRowFirstColumn="0" w:firstRowLastColumn="0" w:lastRowFirstColumn="0" w:lastRowLastColumn="0"/>
            <w:tcW w:w="4865" w:type="dxa"/>
            <w:gridSpan w:val="5"/>
            <w:tcBorders>
              <w:top w:val="double" w:sz="6" w:space="0" w:color="auto"/>
              <w:left w:val="single" w:sz="4" w:space="0" w:color="95B3D7" w:themeColor="accent1" w:themeTint="99"/>
              <w:bottom w:val="double" w:sz="6" w:space="0" w:color="auto"/>
            </w:tcBorders>
          </w:tcPr>
          <w:p w14:paraId="2BA04FC6" w14:textId="77777777" w:rsidR="009867E7" w:rsidRPr="00C8232C" w:rsidRDefault="009867E7" w:rsidP="007C520D">
            <w:pPr>
              <w:keepNext/>
              <w:widowControl w:val="0"/>
              <w:spacing w:after="0" w:line="240" w:lineRule="auto"/>
              <w:jc w:val="center"/>
              <w:rPr>
                <w:sz w:val="20"/>
                <w:szCs w:val="20"/>
              </w:rPr>
            </w:pPr>
            <w:r w:rsidRPr="00C8232C">
              <w:rPr>
                <w:szCs w:val="20"/>
              </w:rPr>
              <w:t>Owner</w:t>
            </w:r>
          </w:p>
        </w:tc>
      </w:tr>
      <w:tr w:rsidR="009867E7" w:rsidRPr="00300C59" w14:paraId="059477F4" w14:textId="77777777" w:rsidTr="007C520D">
        <w:trPr>
          <w:trHeight w:val="290"/>
        </w:trPr>
        <w:tc>
          <w:tcPr>
            <w:cnfStyle w:val="001000000000" w:firstRow="0" w:lastRow="0" w:firstColumn="1" w:lastColumn="0" w:oddVBand="0" w:evenVBand="0" w:oddHBand="0" w:evenHBand="0" w:firstRowFirstColumn="0" w:firstRowLastColumn="0" w:lastRowFirstColumn="0" w:lastRowLastColumn="0"/>
            <w:tcW w:w="4485" w:type="dxa"/>
            <w:vMerge/>
            <w:tcBorders>
              <w:top w:val="single" w:sz="4" w:space="0" w:color="4F81BD" w:themeColor="accent1"/>
              <w:left w:val="single" w:sz="4" w:space="0" w:color="4F81BD" w:themeColor="accent1"/>
              <w:bottom w:val="single" w:sz="4" w:space="0" w:color="4F81BD" w:themeColor="accent1"/>
              <w:right w:val="single" w:sz="4" w:space="0" w:color="95B3D7" w:themeColor="accent1" w:themeTint="99"/>
            </w:tcBorders>
            <w:shd w:val="clear" w:color="auto" w:fill="4F81BD" w:themeFill="accent1"/>
          </w:tcPr>
          <w:p w14:paraId="5557F191" w14:textId="77777777" w:rsidR="009867E7" w:rsidRPr="00C8232C" w:rsidRDefault="009867E7" w:rsidP="007C520D">
            <w:pPr>
              <w:keepNext/>
              <w:widowControl w:val="0"/>
              <w:spacing w:after="0" w:line="240" w:lineRule="auto"/>
              <w:jc w:val="center"/>
              <w:rPr>
                <w:b w:val="0"/>
                <w:color w:val="FFFFFF" w:themeColor="background1"/>
                <w:sz w:val="20"/>
                <w:szCs w:val="20"/>
              </w:rPr>
            </w:pPr>
          </w:p>
        </w:tc>
        <w:tc>
          <w:tcPr>
            <w:cnfStyle w:val="000010000000" w:firstRow="0" w:lastRow="0" w:firstColumn="0" w:lastColumn="0" w:oddVBand="1" w:evenVBand="0" w:oddHBand="0" w:evenHBand="0" w:firstRowFirstColumn="0" w:firstRowLastColumn="0" w:lastRowFirstColumn="0" w:lastRowLastColumn="0"/>
            <w:tcW w:w="812" w:type="dxa"/>
            <w:tcBorders>
              <w:top w:val="double" w:sz="6" w:space="0" w:color="auto"/>
              <w:left w:val="single" w:sz="4" w:space="0" w:color="95B3D7" w:themeColor="accent1" w:themeTint="99"/>
            </w:tcBorders>
            <w:shd w:val="clear" w:color="auto" w:fill="4F81BD" w:themeFill="accent1"/>
          </w:tcPr>
          <w:p w14:paraId="29DB1E85" w14:textId="77777777" w:rsidR="009867E7" w:rsidRPr="00C8232C" w:rsidRDefault="009867E7" w:rsidP="007C520D">
            <w:pPr>
              <w:keepNext/>
              <w:widowControl w:val="0"/>
              <w:spacing w:after="0" w:line="240" w:lineRule="auto"/>
              <w:jc w:val="center"/>
              <w:rPr>
                <w:b/>
                <w:color w:val="FFFFFF" w:themeColor="background1"/>
                <w:sz w:val="20"/>
                <w:szCs w:val="20"/>
              </w:rPr>
            </w:pPr>
            <w:r w:rsidRPr="00C8232C">
              <w:rPr>
                <w:b/>
                <w:color w:val="FFFFFF" w:themeColor="background1"/>
                <w:sz w:val="20"/>
                <w:szCs w:val="20"/>
              </w:rPr>
              <w:t>0-30% AMI</w:t>
            </w:r>
          </w:p>
        </w:tc>
        <w:tc>
          <w:tcPr>
            <w:tcW w:w="992" w:type="dxa"/>
            <w:tcBorders>
              <w:top w:val="double" w:sz="6" w:space="0" w:color="auto"/>
            </w:tcBorders>
            <w:shd w:val="clear" w:color="auto" w:fill="4F81BD" w:themeFill="accent1"/>
          </w:tcPr>
          <w:p w14:paraId="562E9BCC" w14:textId="77777777" w:rsidR="009867E7" w:rsidRPr="00C8232C"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C8232C">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92" w:type="dxa"/>
            <w:tcBorders>
              <w:top w:val="double" w:sz="6" w:space="0" w:color="auto"/>
            </w:tcBorders>
            <w:shd w:val="clear" w:color="auto" w:fill="4F81BD" w:themeFill="accent1"/>
          </w:tcPr>
          <w:p w14:paraId="551BC5E3" w14:textId="77777777" w:rsidR="009867E7" w:rsidRPr="00C8232C" w:rsidRDefault="009867E7" w:rsidP="007C520D">
            <w:pPr>
              <w:keepNext/>
              <w:widowControl w:val="0"/>
              <w:spacing w:after="0" w:line="240" w:lineRule="auto"/>
              <w:jc w:val="center"/>
              <w:rPr>
                <w:b/>
                <w:color w:val="FFFFFF" w:themeColor="background1"/>
                <w:sz w:val="20"/>
                <w:szCs w:val="20"/>
              </w:rPr>
            </w:pPr>
            <w:r w:rsidRPr="00C8232C">
              <w:rPr>
                <w:b/>
                <w:color w:val="FFFFFF" w:themeColor="background1"/>
                <w:sz w:val="20"/>
                <w:szCs w:val="20"/>
              </w:rPr>
              <w:t>&gt;50-80% AMI</w:t>
            </w:r>
          </w:p>
        </w:tc>
        <w:tc>
          <w:tcPr>
            <w:tcW w:w="1082" w:type="dxa"/>
            <w:tcBorders>
              <w:top w:val="double" w:sz="6" w:space="0" w:color="auto"/>
            </w:tcBorders>
            <w:shd w:val="clear" w:color="auto" w:fill="4F81BD" w:themeFill="accent1"/>
          </w:tcPr>
          <w:p w14:paraId="25837B12" w14:textId="77777777" w:rsidR="009867E7" w:rsidRPr="00C8232C"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C8232C">
              <w:rPr>
                <w:b/>
                <w:color w:val="FFFFFF" w:themeColor="background1"/>
                <w:sz w:val="20"/>
                <w:szCs w:val="20"/>
              </w:rPr>
              <w:t>&gt;80-100% AMI</w:t>
            </w:r>
          </w:p>
        </w:tc>
        <w:tc>
          <w:tcPr>
            <w:cnfStyle w:val="000100000000" w:firstRow="0" w:lastRow="0" w:firstColumn="0" w:lastColumn="1" w:oddVBand="0" w:evenVBand="0" w:oddHBand="0" w:evenHBand="0" w:firstRowFirstColumn="0" w:firstRowLastColumn="0" w:lastRowFirstColumn="0" w:lastRowLastColumn="0"/>
            <w:tcW w:w="987" w:type="dxa"/>
            <w:tcBorders>
              <w:top w:val="double" w:sz="6" w:space="0" w:color="auto"/>
            </w:tcBorders>
            <w:shd w:val="clear" w:color="auto" w:fill="4F81BD" w:themeFill="accent1"/>
          </w:tcPr>
          <w:p w14:paraId="401520B4" w14:textId="77777777" w:rsidR="009867E7" w:rsidRPr="00C8232C" w:rsidRDefault="009867E7" w:rsidP="007C520D">
            <w:pPr>
              <w:keepNext/>
              <w:widowControl w:val="0"/>
              <w:spacing w:after="0" w:line="240" w:lineRule="auto"/>
              <w:jc w:val="center"/>
              <w:rPr>
                <w:b w:val="0"/>
                <w:color w:val="FFFFFF" w:themeColor="background1"/>
                <w:sz w:val="20"/>
                <w:szCs w:val="20"/>
              </w:rPr>
            </w:pPr>
            <w:r w:rsidRPr="00C8232C">
              <w:rPr>
                <w:b w:val="0"/>
                <w:color w:val="FFFFFF" w:themeColor="background1"/>
                <w:sz w:val="20"/>
                <w:szCs w:val="20"/>
              </w:rPr>
              <w:t>Total</w:t>
            </w:r>
          </w:p>
        </w:tc>
      </w:tr>
      <w:tr w:rsidR="009867E7" w:rsidRPr="00300C59" w14:paraId="04953830" w14:textId="77777777" w:rsidTr="007C520D">
        <w:trPr>
          <w:trHeight w:val="287"/>
        </w:trPr>
        <w:tc>
          <w:tcPr>
            <w:cnfStyle w:val="001000000000" w:firstRow="0" w:lastRow="0" w:firstColumn="1" w:lastColumn="0" w:oddVBand="0" w:evenVBand="0" w:oddHBand="0" w:evenHBand="0" w:firstRowFirstColumn="0" w:firstRowLastColumn="0" w:lastRowFirstColumn="0" w:lastRowLastColumn="0"/>
            <w:tcW w:w="44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CA87F6" w14:textId="77777777" w:rsidR="009867E7" w:rsidRPr="00C8232C" w:rsidRDefault="009867E7" w:rsidP="007C520D">
            <w:pPr>
              <w:keepNext/>
              <w:widowControl w:val="0"/>
              <w:spacing w:after="0" w:line="240" w:lineRule="auto"/>
              <w:rPr>
                <w:b w:val="0"/>
                <w:sz w:val="20"/>
                <w:szCs w:val="20"/>
              </w:rPr>
            </w:pPr>
            <w:r w:rsidRPr="00C8232C">
              <w:rPr>
                <w:b w:val="0"/>
                <w:sz w:val="20"/>
                <w:szCs w:val="20"/>
              </w:rPr>
              <w:t>Having 1 or more of four housing problems</w:t>
            </w:r>
          </w:p>
        </w:tc>
        <w:tc>
          <w:tcPr>
            <w:cnfStyle w:val="000010000000" w:firstRow="0" w:lastRow="0" w:firstColumn="0" w:lastColumn="0" w:oddVBand="1" w:evenVBand="0" w:oddHBand="0" w:evenHBand="0" w:firstRowFirstColumn="0" w:firstRowLastColumn="0" w:lastRowFirstColumn="0" w:lastRowLastColumn="0"/>
            <w:tcW w:w="812" w:type="dxa"/>
            <w:tcBorders>
              <w:left w:val="single" w:sz="4" w:space="0" w:color="4F81BD" w:themeColor="accent1"/>
            </w:tcBorders>
          </w:tcPr>
          <w:p w14:paraId="13CEA450" w14:textId="77777777" w:rsidR="009867E7" w:rsidRPr="00C8232C" w:rsidRDefault="009867E7" w:rsidP="007C520D">
            <w:pPr>
              <w:keepNext/>
              <w:widowControl w:val="0"/>
              <w:spacing w:after="0" w:line="240" w:lineRule="auto"/>
              <w:rPr>
                <w:sz w:val="20"/>
                <w:szCs w:val="20"/>
              </w:rPr>
            </w:pPr>
            <w:r w:rsidRPr="00C8232C">
              <w:rPr>
                <w:sz w:val="20"/>
                <w:szCs w:val="20"/>
              </w:rPr>
              <w:t>24,135</w:t>
            </w:r>
          </w:p>
        </w:tc>
        <w:tc>
          <w:tcPr>
            <w:tcW w:w="992" w:type="dxa"/>
          </w:tcPr>
          <w:p w14:paraId="79825086" w14:textId="77777777" w:rsidR="009867E7" w:rsidRPr="00C8232C"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8232C">
              <w:rPr>
                <w:sz w:val="20"/>
                <w:szCs w:val="20"/>
              </w:rPr>
              <w:t>15,925</w:t>
            </w:r>
          </w:p>
        </w:tc>
        <w:tc>
          <w:tcPr>
            <w:cnfStyle w:val="000010000000" w:firstRow="0" w:lastRow="0" w:firstColumn="0" w:lastColumn="0" w:oddVBand="1" w:evenVBand="0" w:oddHBand="0" w:evenHBand="0" w:firstRowFirstColumn="0" w:firstRowLastColumn="0" w:lastRowFirstColumn="0" w:lastRowLastColumn="0"/>
            <w:tcW w:w="992" w:type="dxa"/>
          </w:tcPr>
          <w:p w14:paraId="17581F1E" w14:textId="77777777" w:rsidR="009867E7" w:rsidRPr="00C8232C" w:rsidRDefault="009867E7" w:rsidP="007C520D">
            <w:pPr>
              <w:keepNext/>
              <w:widowControl w:val="0"/>
              <w:spacing w:after="0" w:line="240" w:lineRule="auto"/>
              <w:rPr>
                <w:sz w:val="20"/>
                <w:szCs w:val="20"/>
              </w:rPr>
            </w:pPr>
            <w:r w:rsidRPr="00C8232C">
              <w:rPr>
                <w:sz w:val="20"/>
                <w:szCs w:val="20"/>
              </w:rPr>
              <w:t>12,635</w:t>
            </w:r>
          </w:p>
        </w:tc>
        <w:tc>
          <w:tcPr>
            <w:tcW w:w="1082" w:type="dxa"/>
          </w:tcPr>
          <w:p w14:paraId="2AAE6DE2" w14:textId="77777777" w:rsidR="009867E7" w:rsidRPr="00C8232C"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8232C">
              <w:rPr>
                <w:sz w:val="20"/>
                <w:szCs w:val="20"/>
              </w:rPr>
              <w:t>4,170</w:t>
            </w:r>
          </w:p>
        </w:tc>
        <w:tc>
          <w:tcPr>
            <w:cnfStyle w:val="000100000000" w:firstRow="0" w:lastRow="0" w:firstColumn="0" w:lastColumn="1" w:oddVBand="0" w:evenVBand="0" w:oddHBand="0" w:evenHBand="0" w:firstRowFirstColumn="0" w:firstRowLastColumn="0" w:lastRowFirstColumn="0" w:lastRowLastColumn="0"/>
            <w:tcW w:w="987" w:type="dxa"/>
          </w:tcPr>
          <w:p w14:paraId="00BA427C" w14:textId="77777777" w:rsidR="009867E7" w:rsidRPr="00C8232C" w:rsidRDefault="009867E7" w:rsidP="007C520D">
            <w:pPr>
              <w:keepNext/>
              <w:widowControl w:val="0"/>
              <w:spacing w:after="0" w:line="240" w:lineRule="auto"/>
              <w:rPr>
                <w:sz w:val="20"/>
                <w:szCs w:val="20"/>
              </w:rPr>
            </w:pPr>
            <w:r w:rsidRPr="00C8232C">
              <w:rPr>
                <w:sz w:val="20"/>
                <w:szCs w:val="20"/>
              </w:rPr>
              <w:t>56,865</w:t>
            </w:r>
          </w:p>
        </w:tc>
      </w:tr>
      <w:tr w:rsidR="009867E7" w:rsidRPr="00300C59" w14:paraId="1D0CE9D8" w14:textId="77777777" w:rsidTr="007C520D">
        <w:trPr>
          <w:trHeight w:val="350"/>
        </w:trPr>
        <w:tc>
          <w:tcPr>
            <w:cnfStyle w:val="001000000000" w:firstRow="0" w:lastRow="0" w:firstColumn="1" w:lastColumn="0" w:oddVBand="0" w:evenVBand="0" w:oddHBand="0" w:evenHBand="0" w:firstRowFirstColumn="0" w:firstRowLastColumn="0" w:lastRowFirstColumn="0" w:lastRowLastColumn="0"/>
            <w:tcW w:w="44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993233" w14:textId="77777777" w:rsidR="009867E7" w:rsidRPr="00C8232C" w:rsidRDefault="009867E7" w:rsidP="007C520D">
            <w:pPr>
              <w:keepNext/>
              <w:widowControl w:val="0"/>
              <w:spacing w:after="0" w:line="240" w:lineRule="auto"/>
              <w:rPr>
                <w:b w:val="0"/>
                <w:sz w:val="20"/>
                <w:szCs w:val="20"/>
              </w:rPr>
            </w:pPr>
            <w:r w:rsidRPr="00C8232C">
              <w:rPr>
                <w:b w:val="0"/>
                <w:sz w:val="20"/>
                <w:szCs w:val="20"/>
              </w:rPr>
              <w:t>Having none of four housing problems</w:t>
            </w:r>
          </w:p>
        </w:tc>
        <w:tc>
          <w:tcPr>
            <w:cnfStyle w:val="000010000000" w:firstRow="0" w:lastRow="0" w:firstColumn="0" w:lastColumn="0" w:oddVBand="1" w:evenVBand="0" w:oddHBand="0" w:evenHBand="0" w:firstRowFirstColumn="0" w:firstRowLastColumn="0" w:lastRowFirstColumn="0" w:lastRowLastColumn="0"/>
            <w:tcW w:w="812" w:type="dxa"/>
            <w:tcBorders>
              <w:left w:val="single" w:sz="4" w:space="0" w:color="4F81BD" w:themeColor="accent1"/>
            </w:tcBorders>
          </w:tcPr>
          <w:p w14:paraId="6F27ACAB" w14:textId="77777777" w:rsidR="009867E7" w:rsidRPr="00C8232C" w:rsidRDefault="009867E7" w:rsidP="007C520D">
            <w:pPr>
              <w:keepNext/>
              <w:widowControl w:val="0"/>
              <w:spacing w:after="0" w:line="240" w:lineRule="auto"/>
              <w:rPr>
                <w:sz w:val="20"/>
                <w:szCs w:val="20"/>
              </w:rPr>
            </w:pPr>
            <w:r w:rsidRPr="00C8232C">
              <w:rPr>
                <w:sz w:val="20"/>
                <w:szCs w:val="20"/>
              </w:rPr>
              <w:t>12,735</w:t>
            </w:r>
          </w:p>
        </w:tc>
        <w:tc>
          <w:tcPr>
            <w:tcW w:w="992" w:type="dxa"/>
          </w:tcPr>
          <w:p w14:paraId="60180A7D" w14:textId="77777777" w:rsidR="009867E7" w:rsidRPr="00C8232C"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8232C">
              <w:rPr>
                <w:sz w:val="20"/>
                <w:szCs w:val="20"/>
              </w:rPr>
              <w:t>44,955</w:t>
            </w:r>
          </w:p>
        </w:tc>
        <w:tc>
          <w:tcPr>
            <w:cnfStyle w:val="000010000000" w:firstRow="0" w:lastRow="0" w:firstColumn="0" w:lastColumn="0" w:oddVBand="1" w:evenVBand="0" w:oddHBand="0" w:evenHBand="0" w:firstRowFirstColumn="0" w:firstRowLastColumn="0" w:lastRowFirstColumn="0" w:lastRowLastColumn="0"/>
            <w:tcW w:w="992" w:type="dxa"/>
          </w:tcPr>
          <w:p w14:paraId="15574CAE" w14:textId="77777777" w:rsidR="009867E7" w:rsidRPr="00C8232C" w:rsidRDefault="009867E7" w:rsidP="007C520D">
            <w:pPr>
              <w:keepNext/>
              <w:widowControl w:val="0"/>
              <w:spacing w:after="0" w:line="240" w:lineRule="auto"/>
              <w:rPr>
                <w:sz w:val="20"/>
                <w:szCs w:val="20"/>
              </w:rPr>
            </w:pPr>
            <w:r w:rsidRPr="00C8232C">
              <w:rPr>
                <w:sz w:val="20"/>
                <w:szCs w:val="20"/>
              </w:rPr>
              <w:t>98,835</w:t>
            </w:r>
          </w:p>
        </w:tc>
        <w:tc>
          <w:tcPr>
            <w:tcW w:w="1082" w:type="dxa"/>
          </w:tcPr>
          <w:p w14:paraId="51257EEF" w14:textId="77777777" w:rsidR="009867E7" w:rsidRPr="00C8232C"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8232C">
              <w:rPr>
                <w:sz w:val="20"/>
                <w:szCs w:val="20"/>
              </w:rPr>
              <w:t>74,240</w:t>
            </w:r>
          </w:p>
        </w:tc>
        <w:tc>
          <w:tcPr>
            <w:cnfStyle w:val="000100000000" w:firstRow="0" w:lastRow="0" w:firstColumn="0" w:lastColumn="1" w:oddVBand="0" w:evenVBand="0" w:oddHBand="0" w:evenHBand="0" w:firstRowFirstColumn="0" w:firstRowLastColumn="0" w:lastRowFirstColumn="0" w:lastRowLastColumn="0"/>
            <w:tcW w:w="987" w:type="dxa"/>
          </w:tcPr>
          <w:p w14:paraId="26837ADB" w14:textId="77777777" w:rsidR="009867E7" w:rsidRPr="00C8232C" w:rsidRDefault="009867E7" w:rsidP="007C520D">
            <w:pPr>
              <w:keepNext/>
              <w:widowControl w:val="0"/>
              <w:spacing w:after="0" w:line="240" w:lineRule="auto"/>
              <w:rPr>
                <w:sz w:val="20"/>
                <w:szCs w:val="20"/>
              </w:rPr>
            </w:pPr>
            <w:r w:rsidRPr="00C8232C">
              <w:rPr>
                <w:sz w:val="20"/>
                <w:szCs w:val="20"/>
              </w:rPr>
              <w:t>230,765</w:t>
            </w:r>
          </w:p>
        </w:tc>
      </w:tr>
      <w:tr w:rsidR="009867E7" w:rsidRPr="00300C59" w14:paraId="403823D8" w14:textId="77777777" w:rsidTr="007C520D">
        <w:trPr>
          <w:trHeight w:val="530"/>
        </w:trPr>
        <w:tc>
          <w:tcPr>
            <w:cnfStyle w:val="001000000000" w:firstRow="0" w:lastRow="0" w:firstColumn="1" w:lastColumn="0" w:oddVBand="0" w:evenVBand="0" w:oddHBand="0" w:evenHBand="0" w:firstRowFirstColumn="0" w:firstRowLastColumn="0" w:lastRowFirstColumn="0" w:lastRowLastColumn="0"/>
            <w:tcW w:w="44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73C57C" w14:textId="77777777" w:rsidR="009867E7" w:rsidRPr="00C8232C" w:rsidRDefault="009867E7" w:rsidP="007C520D">
            <w:pPr>
              <w:keepNext/>
              <w:widowControl w:val="0"/>
              <w:spacing w:after="0" w:line="240" w:lineRule="auto"/>
              <w:rPr>
                <w:b w:val="0"/>
                <w:sz w:val="20"/>
                <w:szCs w:val="20"/>
              </w:rPr>
            </w:pPr>
            <w:r w:rsidRPr="00C8232C">
              <w:rPr>
                <w:b w:val="0"/>
                <w:sz w:val="20"/>
                <w:szCs w:val="20"/>
              </w:rPr>
              <w:t>Household has negative income, but none of the other housing problems</w:t>
            </w:r>
          </w:p>
        </w:tc>
        <w:tc>
          <w:tcPr>
            <w:cnfStyle w:val="000010000000" w:firstRow="0" w:lastRow="0" w:firstColumn="0" w:lastColumn="0" w:oddVBand="1" w:evenVBand="0" w:oddHBand="0" w:evenHBand="0" w:firstRowFirstColumn="0" w:firstRowLastColumn="0" w:lastRowFirstColumn="0" w:lastRowLastColumn="0"/>
            <w:tcW w:w="812" w:type="dxa"/>
            <w:tcBorders>
              <w:left w:val="single" w:sz="4" w:space="0" w:color="4F81BD" w:themeColor="accent1"/>
            </w:tcBorders>
          </w:tcPr>
          <w:p w14:paraId="5B6BDA7F" w14:textId="77777777" w:rsidR="009867E7" w:rsidRPr="00C8232C" w:rsidRDefault="009867E7" w:rsidP="007C520D">
            <w:pPr>
              <w:keepNext/>
              <w:widowControl w:val="0"/>
              <w:spacing w:after="0" w:line="240" w:lineRule="auto"/>
              <w:rPr>
                <w:sz w:val="20"/>
                <w:szCs w:val="20"/>
              </w:rPr>
            </w:pPr>
            <w:r w:rsidRPr="00C8232C">
              <w:rPr>
                <w:sz w:val="20"/>
                <w:szCs w:val="20"/>
              </w:rPr>
              <w:t>3,690</w:t>
            </w:r>
          </w:p>
        </w:tc>
        <w:tc>
          <w:tcPr>
            <w:tcW w:w="992" w:type="dxa"/>
          </w:tcPr>
          <w:p w14:paraId="53AA19AB" w14:textId="77777777" w:rsidR="009867E7" w:rsidRPr="00C8232C"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8232C">
              <w:rPr>
                <w:sz w:val="20"/>
                <w:szCs w:val="20"/>
              </w:rPr>
              <w:t>0</w:t>
            </w:r>
          </w:p>
        </w:tc>
        <w:tc>
          <w:tcPr>
            <w:cnfStyle w:val="000010000000" w:firstRow="0" w:lastRow="0" w:firstColumn="0" w:lastColumn="0" w:oddVBand="1" w:evenVBand="0" w:oddHBand="0" w:evenHBand="0" w:firstRowFirstColumn="0" w:firstRowLastColumn="0" w:lastRowFirstColumn="0" w:lastRowLastColumn="0"/>
            <w:tcW w:w="992" w:type="dxa"/>
          </w:tcPr>
          <w:p w14:paraId="3FA7A5AA" w14:textId="77777777" w:rsidR="009867E7" w:rsidRPr="00C8232C" w:rsidRDefault="009867E7" w:rsidP="007C520D">
            <w:pPr>
              <w:keepNext/>
              <w:widowControl w:val="0"/>
              <w:spacing w:after="0" w:line="240" w:lineRule="auto"/>
              <w:rPr>
                <w:sz w:val="20"/>
                <w:szCs w:val="20"/>
              </w:rPr>
            </w:pPr>
            <w:r w:rsidRPr="00C8232C">
              <w:rPr>
                <w:sz w:val="20"/>
                <w:szCs w:val="20"/>
              </w:rPr>
              <w:t>0</w:t>
            </w:r>
          </w:p>
        </w:tc>
        <w:tc>
          <w:tcPr>
            <w:tcW w:w="1082" w:type="dxa"/>
          </w:tcPr>
          <w:p w14:paraId="1D8B3DDB" w14:textId="77777777" w:rsidR="009867E7" w:rsidRPr="00C8232C"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8232C">
              <w:rPr>
                <w:sz w:val="20"/>
                <w:szCs w:val="20"/>
              </w:rPr>
              <w:t>0</w:t>
            </w:r>
          </w:p>
        </w:tc>
        <w:tc>
          <w:tcPr>
            <w:cnfStyle w:val="000100000000" w:firstRow="0" w:lastRow="0" w:firstColumn="0" w:lastColumn="1" w:oddVBand="0" w:evenVBand="0" w:oddHBand="0" w:evenHBand="0" w:firstRowFirstColumn="0" w:firstRowLastColumn="0" w:lastRowFirstColumn="0" w:lastRowLastColumn="0"/>
            <w:tcW w:w="987" w:type="dxa"/>
          </w:tcPr>
          <w:p w14:paraId="01D0BEE6" w14:textId="77777777" w:rsidR="009867E7" w:rsidRPr="00C8232C" w:rsidRDefault="009867E7" w:rsidP="007C520D">
            <w:pPr>
              <w:keepNext/>
              <w:widowControl w:val="0"/>
              <w:spacing w:after="0" w:line="240" w:lineRule="auto"/>
              <w:rPr>
                <w:sz w:val="20"/>
                <w:szCs w:val="20"/>
              </w:rPr>
            </w:pPr>
            <w:r w:rsidRPr="00C8232C">
              <w:rPr>
                <w:sz w:val="20"/>
                <w:szCs w:val="20"/>
              </w:rPr>
              <w:t>3,690</w:t>
            </w:r>
          </w:p>
        </w:tc>
      </w:tr>
    </w:tbl>
    <w:p w14:paraId="44C3E858" w14:textId="77777777" w:rsidR="009867E7" w:rsidRDefault="009867E7" w:rsidP="009867E7">
      <w:pPr>
        <w:spacing w:after="0" w:line="240" w:lineRule="auto"/>
        <w:rPr>
          <w:b/>
          <w:bCs/>
          <w:vanish/>
          <w:sz w:val="16"/>
          <w:szCs w:val="16"/>
        </w:rPr>
      </w:pPr>
      <w:r w:rsidRPr="000D1D10">
        <w:rPr>
          <w:i/>
          <w:sz w:val="18"/>
        </w:rPr>
        <w:t>Source: 2009-2013 CHAS</w:t>
      </w:r>
    </w:p>
    <w:p w14:paraId="2AB53E67" w14:textId="77777777" w:rsidR="009867E7" w:rsidRDefault="009867E7" w:rsidP="009867E7">
      <w:pPr>
        <w:rPr>
          <w:rFonts w:cs="Arial"/>
          <w:sz w:val="16"/>
          <w:szCs w:val="16"/>
        </w:rPr>
      </w:pPr>
    </w:p>
    <w:p w14:paraId="0627C55F" w14:textId="77777777" w:rsidR="009867E7" w:rsidRDefault="009867E7" w:rsidP="009867E7">
      <w:pPr>
        <w:keepNext/>
        <w:widowControl w:val="0"/>
        <w:rPr>
          <w:sz w:val="24"/>
          <w:szCs w:val="24"/>
        </w:rPr>
      </w:pPr>
      <w:r>
        <w:rPr>
          <w:b/>
          <w:sz w:val="24"/>
          <w:szCs w:val="24"/>
        </w:rPr>
        <w:t>Table 5 – Cost Burden &gt;30%</w:t>
      </w:r>
      <w:r>
        <w:rPr>
          <w:bCs/>
          <w:sz w:val="24"/>
          <w:szCs w:val="24"/>
        </w:rPr>
        <w:t xml:space="preserve"> </w:t>
      </w:r>
    </w:p>
    <w:tbl>
      <w:tblPr>
        <w:tblStyle w:val="GridTable4-Accent1"/>
        <w:tblW w:w="4685" w:type="pct"/>
        <w:tblLook w:val="02A0" w:firstRow="1" w:lastRow="0" w:firstColumn="1" w:lastColumn="0" w:noHBand="1" w:noVBand="0"/>
      </w:tblPr>
      <w:tblGrid>
        <w:gridCol w:w="1266"/>
        <w:gridCol w:w="913"/>
        <w:gridCol w:w="1041"/>
        <w:gridCol w:w="986"/>
        <w:gridCol w:w="875"/>
        <w:gridCol w:w="920"/>
        <w:gridCol w:w="1018"/>
        <w:gridCol w:w="969"/>
        <w:gridCol w:w="773"/>
      </w:tblGrid>
      <w:tr w:rsidR="009867E7" w14:paraId="798904DF" w14:textId="77777777" w:rsidTr="007C520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73" w:type="dxa"/>
            <w:vMerge w:val="restart"/>
          </w:tcPr>
          <w:p w14:paraId="3ECB79B8" w14:textId="77777777" w:rsidR="009867E7" w:rsidRPr="00300C59" w:rsidRDefault="009867E7" w:rsidP="007C520D">
            <w:pPr>
              <w:keepNext/>
              <w:widowControl w:val="0"/>
              <w:spacing w:after="0" w:line="240"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797" w:type="dxa"/>
            <w:gridSpan w:val="4"/>
            <w:tcBorders>
              <w:bottom w:val="double" w:sz="6" w:space="0" w:color="auto"/>
              <w:right w:val="double" w:sz="6" w:space="0" w:color="auto"/>
            </w:tcBorders>
          </w:tcPr>
          <w:p w14:paraId="1F096821" w14:textId="77777777" w:rsidR="009867E7" w:rsidRPr="00300C59" w:rsidRDefault="009867E7" w:rsidP="007C520D">
            <w:pPr>
              <w:keepNext/>
              <w:widowControl w:val="0"/>
              <w:spacing w:after="0" w:line="240" w:lineRule="auto"/>
              <w:jc w:val="center"/>
              <w:rPr>
                <w:sz w:val="20"/>
                <w:szCs w:val="20"/>
              </w:rPr>
            </w:pPr>
            <w:r w:rsidRPr="00300C59">
              <w:rPr>
                <w:bCs w:val="0"/>
                <w:sz w:val="20"/>
                <w:szCs w:val="20"/>
              </w:rPr>
              <w:t>Renter</w:t>
            </w:r>
          </w:p>
        </w:tc>
        <w:tc>
          <w:tcPr>
            <w:tcW w:w="3691" w:type="dxa"/>
            <w:gridSpan w:val="4"/>
            <w:tcBorders>
              <w:left w:val="double" w:sz="6" w:space="0" w:color="auto"/>
              <w:bottom w:val="double" w:sz="6" w:space="0" w:color="auto"/>
            </w:tcBorders>
          </w:tcPr>
          <w:p w14:paraId="46EC7D20"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00C59">
              <w:rPr>
                <w:bCs w:val="0"/>
                <w:sz w:val="20"/>
                <w:szCs w:val="20"/>
              </w:rPr>
              <w:t>Owner</w:t>
            </w:r>
          </w:p>
        </w:tc>
      </w:tr>
      <w:tr w:rsidR="009867E7" w14:paraId="0376D9A3" w14:textId="77777777" w:rsidTr="007C520D">
        <w:trPr>
          <w:trHeight w:val="567"/>
        </w:trPr>
        <w:tc>
          <w:tcPr>
            <w:cnfStyle w:val="001000000000" w:firstRow="0" w:lastRow="0" w:firstColumn="1" w:lastColumn="0" w:oddVBand="0" w:evenVBand="0" w:oddHBand="0" w:evenHBand="0" w:firstRowFirstColumn="0" w:firstRowLastColumn="0" w:lastRowFirstColumn="0" w:lastRowLastColumn="0"/>
            <w:tcW w:w="1273" w:type="dxa"/>
            <w:vMerge/>
          </w:tcPr>
          <w:p w14:paraId="188CCD75" w14:textId="77777777" w:rsidR="009867E7" w:rsidRPr="00300C59" w:rsidRDefault="009867E7" w:rsidP="007C520D">
            <w:pPr>
              <w:keepNext/>
              <w:widowControl w:val="0"/>
              <w:spacing w:after="0" w:line="240" w:lineRule="auto"/>
              <w:rPr>
                <w:sz w:val="20"/>
                <w:szCs w:val="20"/>
              </w:rPr>
            </w:pPr>
          </w:p>
        </w:tc>
        <w:tc>
          <w:tcPr>
            <w:cnfStyle w:val="000010000000" w:firstRow="0" w:lastRow="0" w:firstColumn="0" w:lastColumn="0" w:oddVBand="1" w:evenVBand="0" w:oddHBand="0" w:evenHBand="0" w:firstRowFirstColumn="0" w:firstRowLastColumn="0" w:lastRowFirstColumn="0" w:lastRowLastColumn="0"/>
            <w:tcW w:w="916" w:type="dxa"/>
            <w:tcBorders>
              <w:top w:val="double" w:sz="6" w:space="0" w:color="auto"/>
            </w:tcBorders>
            <w:shd w:val="clear" w:color="auto" w:fill="4F81BD" w:themeFill="accent1"/>
          </w:tcPr>
          <w:p w14:paraId="6CB2D173"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1046" w:type="dxa"/>
            <w:tcBorders>
              <w:top w:val="double" w:sz="6" w:space="0" w:color="auto"/>
            </w:tcBorders>
            <w:shd w:val="clear" w:color="auto" w:fill="4F81BD" w:themeFill="accent1"/>
          </w:tcPr>
          <w:p w14:paraId="231A21B7"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90" w:type="dxa"/>
            <w:tcBorders>
              <w:top w:val="double" w:sz="6" w:space="0" w:color="auto"/>
            </w:tcBorders>
            <w:shd w:val="clear" w:color="auto" w:fill="4F81BD" w:themeFill="accent1"/>
          </w:tcPr>
          <w:p w14:paraId="3C8C238D"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845" w:type="dxa"/>
            <w:tcBorders>
              <w:top w:val="double" w:sz="6" w:space="0" w:color="auto"/>
              <w:right w:val="double" w:sz="6" w:space="0" w:color="auto"/>
            </w:tcBorders>
            <w:shd w:val="clear" w:color="auto" w:fill="4F81BD" w:themeFill="accent1"/>
          </w:tcPr>
          <w:p w14:paraId="673CA94B"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Total</w:t>
            </w:r>
          </w:p>
        </w:tc>
        <w:tc>
          <w:tcPr>
            <w:cnfStyle w:val="000010000000" w:firstRow="0" w:lastRow="0" w:firstColumn="0" w:lastColumn="0" w:oddVBand="1" w:evenVBand="0" w:oddHBand="0" w:evenHBand="0" w:firstRowFirstColumn="0" w:firstRowLastColumn="0" w:lastRowFirstColumn="0" w:lastRowLastColumn="0"/>
            <w:tcW w:w="923" w:type="dxa"/>
            <w:tcBorders>
              <w:top w:val="double" w:sz="6" w:space="0" w:color="auto"/>
              <w:left w:val="double" w:sz="6" w:space="0" w:color="auto"/>
            </w:tcBorders>
            <w:shd w:val="clear" w:color="auto" w:fill="4F81BD" w:themeFill="accent1"/>
          </w:tcPr>
          <w:p w14:paraId="1D37909E"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1022" w:type="dxa"/>
            <w:tcBorders>
              <w:top w:val="double" w:sz="6" w:space="0" w:color="auto"/>
            </w:tcBorders>
            <w:shd w:val="clear" w:color="auto" w:fill="4F81BD" w:themeFill="accent1"/>
          </w:tcPr>
          <w:p w14:paraId="77B3C63A"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73" w:type="dxa"/>
            <w:tcBorders>
              <w:top w:val="double" w:sz="6" w:space="0" w:color="auto"/>
            </w:tcBorders>
            <w:shd w:val="clear" w:color="auto" w:fill="4F81BD" w:themeFill="accent1"/>
          </w:tcPr>
          <w:p w14:paraId="46C88E30"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773" w:type="dxa"/>
            <w:tcBorders>
              <w:top w:val="double" w:sz="6" w:space="0" w:color="auto"/>
            </w:tcBorders>
            <w:shd w:val="clear" w:color="auto" w:fill="4F81BD" w:themeFill="accent1"/>
          </w:tcPr>
          <w:p w14:paraId="1703AFAA"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Total</w:t>
            </w:r>
          </w:p>
        </w:tc>
      </w:tr>
      <w:tr w:rsidR="009867E7" w14:paraId="00D6CC2A" w14:textId="77777777" w:rsidTr="007C520D">
        <w:trPr>
          <w:trHeight w:val="489"/>
        </w:trPr>
        <w:tc>
          <w:tcPr>
            <w:cnfStyle w:val="001000000000" w:firstRow="0" w:lastRow="0" w:firstColumn="1" w:lastColumn="0" w:oddVBand="0" w:evenVBand="0" w:oddHBand="0" w:evenHBand="0" w:firstRowFirstColumn="0" w:firstRowLastColumn="0" w:lastRowFirstColumn="0" w:lastRowLastColumn="0"/>
            <w:tcW w:w="1273" w:type="dxa"/>
          </w:tcPr>
          <w:p w14:paraId="018803A2" w14:textId="77777777" w:rsidR="009867E7" w:rsidRPr="00300C59" w:rsidRDefault="009867E7" w:rsidP="007C520D">
            <w:pPr>
              <w:keepNext/>
              <w:widowControl w:val="0"/>
              <w:spacing w:after="0" w:line="240" w:lineRule="auto"/>
              <w:rPr>
                <w:b w:val="0"/>
                <w:sz w:val="20"/>
                <w:szCs w:val="20"/>
              </w:rPr>
            </w:pPr>
            <w:r w:rsidRPr="00300C59">
              <w:rPr>
                <w:b w:val="0"/>
                <w:sz w:val="20"/>
                <w:szCs w:val="20"/>
              </w:rPr>
              <w:t>Small Related</w:t>
            </w:r>
          </w:p>
        </w:tc>
        <w:tc>
          <w:tcPr>
            <w:cnfStyle w:val="000010000000" w:firstRow="0" w:lastRow="0" w:firstColumn="0" w:lastColumn="0" w:oddVBand="1" w:evenVBand="0" w:oddHBand="0" w:evenHBand="0" w:firstRowFirstColumn="0" w:firstRowLastColumn="0" w:lastRowFirstColumn="0" w:lastRowLastColumn="0"/>
            <w:tcW w:w="916" w:type="dxa"/>
          </w:tcPr>
          <w:p w14:paraId="5A0000EB" w14:textId="77777777" w:rsidR="009867E7" w:rsidRPr="00300C59" w:rsidRDefault="009867E7" w:rsidP="007C520D">
            <w:pPr>
              <w:keepNext/>
              <w:widowControl w:val="0"/>
              <w:spacing w:after="0" w:line="240" w:lineRule="auto"/>
              <w:rPr>
                <w:sz w:val="20"/>
                <w:szCs w:val="20"/>
              </w:rPr>
            </w:pPr>
            <w:r w:rsidRPr="00300C59">
              <w:rPr>
                <w:sz w:val="20"/>
                <w:szCs w:val="20"/>
              </w:rPr>
              <w:t>20,155</w:t>
            </w:r>
          </w:p>
        </w:tc>
        <w:tc>
          <w:tcPr>
            <w:tcW w:w="1046" w:type="dxa"/>
          </w:tcPr>
          <w:p w14:paraId="4D30118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17,310</w:t>
            </w:r>
          </w:p>
        </w:tc>
        <w:tc>
          <w:tcPr>
            <w:cnfStyle w:val="000010000000" w:firstRow="0" w:lastRow="0" w:firstColumn="0" w:lastColumn="0" w:oddVBand="1" w:evenVBand="0" w:oddHBand="0" w:evenHBand="0" w:firstRowFirstColumn="0" w:firstRowLastColumn="0" w:lastRowFirstColumn="0" w:lastRowLastColumn="0"/>
            <w:tcW w:w="990" w:type="dxa"/>
          </w:tcPr>
          <w:p w14:paraId="481CA13C" w14:textId="77777777" w:rsidR="009867E7" w:rsidRPr="00300C59" w:rsidRDefault="009867E7" w:rsidP="007C520D">
            <w:pPr>
              <w:keepNext/>
              <w:widowControl w:val="0"/>
              <w:spacing w:after="0" w:line="240" w:lineRule="auto"/>
              <w:rPr>
                <w:sz w:val="20"/>
                <w:szCs w:val="20"/>
              </w:rPr>
            </w:pPr>
            <w:r w:rsidRPr="00300C59">
              <w:rPr>
                <w:sz w:val="20"/>
                <w:szCs w:val="20"/>
              </w:rPr>
              <w:t>9,455</w:t>
            </w:r>
          </w:p>
        </w:tc>
        <w:tc>
          <w:tcPr>
            <w:tcW w:w="845" w:type="dxa"/>
            <w:tcBorders>
              <w:right w:val="double" w:sz="6" w:space="0" w:color="auto"/>
            </w:tcBorders>
          </w:tcPr>
          <w:p w14:paraId="0D62620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46,920</w:t>
            </w:r>
          </w:p>
        </w:tc>
        <w:tc>
          <w:tcPr>
            <w:cnfStyle w:val="000010000000" w:firstRow="0" w:lastRow="0" w:firstColumn="0" w:lastColumn="0" w:oddVBand="1" w:evenVBand="0" w:oddHBand="0" w:evenHBand="0" w:firstRowFirstColumn="0" w:firstRowLastColumn="0" w:lastRowFirstColumn="0" w:lastRowLastColumn="0"/>
            <w:tcW w:w="923" w:type="dxa"/>
            <w:tcBorders>
              <w:left w:val="double" w:sz="6" w:space="0" w:color="auto"/>
            </w:tcBorders>
          </w:tcPr>
          <w:p w14:paraId="12584BBE" w14:textId="77777777" w:rsidR="009867E7" w:rsidRPr="00300C59" w:rsidRDefault="009867E7" w:rsidP="007C520D">
            <w:pPr>
              <w:keepNext/>
              <w:widowControl w:val="0"/>
              <w:spacing w:after="0" w:line="240" w:lineRule="auto"/>
              <w:rPr>
                <w:sz w:val="20"/>
                <w:szCs w:val="20"/>
              </w:rPr>
            </w:pPr>
            <w:r w:rsidRPr="00300C59">
              <w:rPr>
                <w:sz w:val="20"/>
                <w:szCs w:val="20"/>
              </w:rPr>
              <w:t>8,875</w:t>
            </w:r>
          </w:p>
        </w:tc>
        <w:tc>
          <w:tcPr>
            <w:tcW w:w="1022" w:type="dxa"/>
          </w:tcPr>
          <w:p w14:paraId="605E624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9,465</w:t>
            </w:r>
          </w:p>
        </w:tc>
        <w:tc>
          <w:tcPr>
            <w:cnfStyle w:val="000010000000" w:firstRow="0" w:lastRow="0" w:firstColumn="0" w:lastColumn="0" w:oddVBand="1" w:evenVBand="0" w:oddHBand="0" w:evenHBand="0" w:firstRowFirstColumn="0" w:firstRowLastColumn="0" w:lastRowFirstColumn="0" w:lastRowLastColumn="0"/>
            <w:tcW w:w="973" w:type="dxa"/>
          </w:tcPr>
          <w:p w14:paraId="1FED4F15" w14:textId="77777777" w:rsidR="009867E7" w:rsidRPr="00300C59" w:rsidRDefault="009867E7" w:rsidP="007C520D">
            <w:pPr>
              <w:keepNext/>
              <w:widowControl w:val="0"/>
              <w:spacing w:after="0" w:line="240" w:lineRule="auto"/>
              <w:rPr>
                <w:sz w:val="20"/>
                <w:szCs w:val="20"/>
              </w:rPr>
            </w:pPr>
            <w:r w:rsidRPr="00300C59">
              <w:rPr>
                <w:sz w:val="20"/>
                <w:szCs w:val="20"/>
              </w:rPr>
              <w:t>14,900</w:t>
            </w:r>
          </w:p>
        </w:tc>
        <w:tc>
          <w:tcPr>
            <w:tcW w:w="773" w:type="dxa"/>
          </w:tcPr>
          <w:p w14:paraId="6DFF93D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33,240</w:t>
            </w:r>
          </w:p>
        </w:tc>
      </w:tr>
      <w:tr w:rsidR="009867E7" w14:paraId="369A448D" w14:textId="77777777" w:rsidTr="007C520D">
        <w:trPr>
          <w:trHeight w:val="489"/>
        </w:trPr>
        <w:tc>
          <w:tcPr>
            <w:cnfStyle w:val="001000000000" w:firstRow="0" w:lastRow="0" w:firstColumn="1" w:lastColumn="0" w:oddVBand="0" w:evenVBand="0" w:oddHBand="0" w:evenHBand="0" w:firstRowFirstColumn="0" w:firstRowLastColumn="0" w:lastRowFirstColumn="0" w:lastRowLastColumn="0"/>
            <w:tcW w:w="1273" w:type="dxa"/>
          </w:tcPr>
          <w:p w14:paraId="4B6317E3" w14:textId="77777777" w:rsidR="009867E7" w:rsidRPr="00300C59" w:rsidRDefault="009867E7" w:rsidP="007C520D">
            <w:pPr>
              <w:keepNext/>
              <w:widowControl w:val="0"/>
              <w:spacing w:after="0" w:line="240" w:lineRule="auto"/>
              <w:rPr>
                <w:b w:val="0"/>
                <w:sz w:val="20"/>
                <w:szCs w:val="20"/>
              </w:rPr>
            </w:pPr>
            <w:r w:rsidRPr="00300C59">
              <w:rPr>
                <w:b w:val="0"/>
                <w:sz w:val="20"/>
                <w:szCs w:val="20"/>
              </w:rPr>
              <w:t>Large Related</w:t>
            </w:r>
          </w:p>
        </w:tc>
        <w:tc>
          <w:tcPr>
            <w:cnfStyle w:val="000010000000" w:firstRow="0" w:lastRow="0" w:firstColumn="0" w:lastColumn="0" w:oddVBand="1" w:evenVBand="0" w:oddHBand="0" w:evenHBand="0" w:firstRowFirstColumn="0" w:firstRowLastColumn="0" w:lastRowFirstColumn="0" w:lastRowLastColumn="0"/>
            <w:tcW w:w="916" w:type="dxa"/>
          </w:tcPr>
          <w:p w14:paraId="339834E3" w14:textId="77777777" w:rsidR="009867E7" w:rsidRPr="00300C59" w:rsidRDefault="009867E7" w:rsidP="007C520D">
            <w:pPr>
              <w:keepNext/>
              <w:widowControl w:val="0"/>
              <w:spacing w:after="0" w:line="240" w:lineRule="auto"/>
              <w:rPr>
                <w:sz w:val="20"/>
                <w:szCs w:val="20"/>
              </w:rPr>
            </w:pPr>
            <w:r w:rsidRPr="00300C59">
              <w:rPr>
                <w:sz w:val="20"/>
                <w:szCs w:val="20"/>
              </w:rPr>
              <w:t>4,225</w:t>
            </w:r>
          </w:p>
        </w:tc>
        <w:tc>
          <w:tcPr>
            <w:tcW w:w="1046" w:type="dxa"/>
          </w:tcPr>
          <w:p w14:paraId="7131AA1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3,475</w:t>
            </w:r>
          </w:p>
        </w:tc>
        <w:tc>
          <w:tcPr>
            <w:cnfStyle w:val="000010000000" w:firstRow="0" w:lastRow="0" w:firstColumn="0" w:lastColumn="0" w:oddVBand="1" w:evenVBand="0" w:oddHBand="0" w:evenHBand="0" w:firstRowFirstColumn="0" w:firstRowLastColumn="0" w:lastRowFirstColumn="0" w:lastRowLastColumn="0"/>
            <w:tcW w:w="990" w:type="dxa"/>
          </w:tcPr>
          <w:p w14:paraId="195785C8" w14:textId="77777777" w:rsidR="009867E7" w:rsidRPr="00300C59" w:rsidRDefault="009867E7" w:rsidP="007C520D">
            <w:pPr>
              <w:keepNext/>
              <w:widowControl w:val="0"/>
              <w:spacing w:after="0" w:line="240" w:lineRule="auto"/>
              <w:rPr>
                <w:sz w:val="20"/>
                <w:szCs w:val="20"/>
              </w:rPr>
            </w:pPr>
            <w:r w:rsidRPr="00300C59">
              <w:rPr>
                <w:sz w:val="20"/>
                <w:szCs w:val="20"/>
              </w:rPr>
              <w:t>1,695</w:t>
            </w:r>
          </w:p>
        </w:tc>
        <w:tc>
          <w:tcPr>
            <w:tcW w:w="845" w:type="dxa"/>
            <w:tcBorders>
              <w:right w:val="double" w:sz="6" w:space="0" w:color="auto"/>
            </w:tcBorders>
          </w:tcPr>
          <w:p w14:paraId="4DB4178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9,395</w:t>
            </w:r>
          </w:p>
        </w:tc>
        <w:tc>
          <w:tcPr>
            <w:cnfStyle w:val="000010000000" w:firstRow="0" w:lastRow="0" w:firstColumn="0" w:lastColumn="0" w:oddVBand="1" w:evenVBand="0" w:oddHBand="0" w:evenHBand="0" w:firstRowFirstColumn="0" w:firstRowLastColumn="0" w:lastRowFirstColumn="0" w:lastRowLastColumn="0"/>
            <w:tcW w:w="923" w:type="dxa"/>
            <w:tcBorders>
              <w:left w:val="double" w:sz="6" w:space="0" w:color="auto"/>
            </w:tcBorders>
          </w:tcPr>
          <w:p w14:paraId="10F6A581" w14:textId="77777777" w:rsidR="009867E7" w:rsidRPr="00300C59" w:rsidRDefault="009867E7" w:rsidP="007C520D">
            <w:pPr>
              <w:keepNext/>
              <w:widowControl w:val="0"/>
              <w:spacing w:after="0" w:line="240" w:lineRule="auto"/>
              <w:rPr>
                <w:sz w:val="20"/>
                <w:szCs w:val="20"/>
              </w:rPr>
            </w:pPr>
            <w:r w:rsidRPr="00300C59">
              <w:rPr>
                <w:sz w:val="20"/>
                <w:szCs w:val="20"/>
              </w:rPr>
              <w:t>1,965</w:t>
            </w:r>
          </w:p>
        </w:tc>
        <w:tc>
          <w:tcPr>
            <w:tcW w:w="1022" w:type="dxa"/>
          </w:tcPr>
          <w:p w14:paraId="6138001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3,310</w:t>
            </w:r>
          </w:p>
        </w:tc>
        <w:tc>
          <w:tcPr>
            <w:cnfStyle w:val="000010000000" w:firstRow="0" w:lastRow="0" w:firstColumn="0" w:lastColumn="0" w:oddVBand="1" w:evenVBand="0" w:oddHBand="0" w:evenHBand="0" w:firstRowFirstColumn="0" w:firstRowLastColumn="0" w:lastRowFirstColumn="0" w:lastRowLastColumn="0"/>
            <w:tcW w:w="973" w:type="dxa"/>
          </w:tcPr>
          <w:p w14:paraId="3C6804A3" w14:textId="77777777" w:rsidR="009867E7" w:rsidRPr="00300C59" w:rsidRDefault="009867E7" w:rsidP="007C520D">
            <w:pPr>
              <w:keepNext/>
              <w:widowControl w:val="0"/>
              <w:spacing w:after="0" w:line="240" w:lineRule="auto"/>
              <w:rPr>
                <w:sz w:val="20"/>
                <w:szCs w:val="20"/>
              </w:rPr>
            </w:pPr>
            <w:r w:rsidRPr="00300C59">
              <w:rPr>
                <w:sz w:val="20"/>
                <w:szCs w:val="20"/>
              </w:rPr>
              <w:t>4,310</w:t>
            </w:r>
          </w:p>
        </w:tc>
        <w:tc>
          <w:tcPr>
            <w:tcW w:w="773" w:type="dxa"/>
          </w:tcPr>
          <w:p w14:paraId="7D86C75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9,585</w:t>
            </w:r>
          </w:p>
        </w:tc>
      </w:tr>
      <w:tr w:rsidR="009867E7" w14:paraId="1C9E7784" w14:textId="77777777" w:rsidTr="007C520D">
        <w:trPr>
          <w:trHeight w:val="244"/>
        </w:trPr>
        <w:tc>
          <w:tcPr>
            <w:cnfStyle w:val="001000000000" w:firstRow="0" w:lastRow="0" w:firstColumn="1" w:lastColumn="0" w:oddVBand="0" w:evenVBand="0" w:oddHBand="0" w:evenHBand="0" w:firstRowFirstColumn="0" w:firstRowLastColumn="0" w:lastRowFirstColumn="0" w:lastRowLastColumn="0"/>
            <w:tcW w:w="1273" w:type="dxa"/>
          </w:tcPr>
          <w:p w14:paraId="57449715" w14:textId="77777777" w:rsidR="009867E7" w:rsidRPr="00300C59" w:rsidRDefault="009867E7" w:rsidP="007C520D">
            <w:pPr>
              <w:keepNext/>
              <w:widowControl w:val="0"/>
              <w:spacing w:after="0" w:line="240" w:lineRule="auto"/>
              <w:rPr>
                <w:b w:val="0"/>
                <w:sz w:val="20"/>
                <w:szCs w:val="20"/>
              </w:rPr>
            </w:pPr>
            <w:r w:rsidRPr="00300C59">
              <w:rPr>
                <w:b w:val="0"/>
                <w:sz w:val="20"/>
                <w:szCs w:val="20"/>
              </w:rPr>
              <w:t>Elderly</w:t>
            </w:r>
          </w:p>
        </w:tc>
        <w:tc>
          <w:tcPr>
            <w:cnfStyle w:val="000010000000" w:firstRow="0" w:lastRow="0" w:firstColumn="0" w:lastColumn="0" w:oddVBand="1" w:evenVBand="0" w:oddHBand="0" w:evenHBand="0" w:firstRowFirstColumn="0" w:firstRowLastColumn="0" w:lastRowFirstColumn="0" w:lastRowLastColumn="0"/>
            <w:tcW w:w="916" w:type="dxa"/>
          </w:tcPr>
          <w:p w14:paraId="7D64F3DD" w14:textId="77777777" w:rsidR="009867E7" w:rsidRPr="00300C59" w:rsidRDefault="009867E7" w:rsidP="007C520D">
            <w:pPr>
              <w:keepNext/>
              <w:widowControl w:val="0"/>
              <w:spacing w:after="0" w:line="240" w:lineRule="auto"/>
              <w:rPr>
                <w:sz w:val="20"/>
                <w:szCs w:val="20"/>
              </w:rPr>
            </w:pPr>
            <w:r w:rsidRPr="00300C59">
              <w:rPr>
                <w:sz w:val="20"/>
                <w:szCs w:val="20"/>
              </w:rPr>
              <w:t>9,195</w:t>
            </w:r>
          </w:p>
        </w:tc>
        <w:tc>
          <w:tcPr>
            <w:tcW w:w="1046" w:type="dxa"/>
          </w:tcPr>
          <w:p w14:paraId="24EC736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9,665</w:t>
            </w:r>
          </w:p>
        </w:tc>
        <w:tc>
          <w:tcPr>
            <w:cnfStyle w:val="000010000000" w:firstRow="0" w:lastRow="0" w:firstColumn="0" w:lastColumn="0" w:oddVBand="1" w:evenVBand="0" w:oddHBand="0" w:evenHBand="0" w:firstRowFirstColumn="0" w:firstRowLastColumn="0" w:lastRowFirstColumn="0" w:lastRowLastColumn="0"/>
            <w:tcW w:w="990" w:type="dxa"/>
          </w:tcPr>
          <w:p w14:paraId="1E14E61B" w14:textId="77777777" w:rsidR="009867E7" w:rsidRPr="00300C59" w:rsidRDefault="009867E7" w:rsidP="007C520D">
            <w:pPr>
              <w:keepNext/>
              <w:widowControl w:val="0"/>
              <w:spacing w:after="0" w:line="240" w:lineRule="auto"/>
              <w:rPr>
                <w:sz w:val="20"/>
                <w:szCs w:val="20"/>
              </w:rPr>
            </w:pPr>
            <w:r w:rsidRPr="00300C59">
              <w:rPr>
                <w:sz w:val="20"/>
                <w:szCs w:val="20"/>
              </w:rPr>
              <w:t>5,340</w:t>
            </w:r>
          </w:p>
        </w:tc>
        <w:tc>
          <w:tcPr>
            <w:tcW w:w="845" w:type="dxa"/>
            <w:tcBorders>
              <w:right w:val="double" w:sz="6" w:space="0" w:color="auto"/>
            </w:tcBorders>
          </w:tcPr>
          <w:p w14:paraId="22CC548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24,200</w:t>
            </w:r>
          </w:p>
        </w:tc>
        <w:tc>
          <w:tcPr>
            <w:cnfStyle w:val="000010000000" w:firstRow="0" w:lastRow="0" w:firstColumn="0" w:lastColumn="0" w:oddVBand="1" w:evenVBand="0" w:oddHBand="0" w:evenHBand="0" w:firstRowFirstColumn="0" w:firstRowLastColumn="0" w:lastRowFirstColumn="0" w:lastRowLastColumn="0"/>
            <w:tcW w:w="923" w:type="dxa"/>
            <w:tcBorders>
              <w:left w:val="double" w:sz="6" w:space="0" w:color="auto"/>
            </w:tcBorders>
          </w:tcPr>
          <w:p w14:paraId="13D48EA6" w14:textId="77777777" w:rsidR="009867E7" w:rsidRPr="00300C59" w:rsidRDefault="009867E7" w:rsidP="007C520D">
            <w:pPr>
              <w:keepNext/>
              <w:widowControl w:val="0"/>
              <w:spacing w:after="0" w:line="240" w:lineRule="auto"/>
              <w:rPr>
                <w:sz w:val="20"/>
                <w:szCs w:val="20"/>
              </w:rPr>
            </w:pPr>
            <w:r w:rsidRPr="00300C59">
              <w:rPr>
                <w:sz w:val="20"/>
                <w:szCs w:val="20"/>
              </w:rPr>
              <w:t>13,055</w:t>
            </w:r>
          </w:p>
        </w:tc>
        <w:tc>
          <w:tcPr>
            <w:tcW w:w="1022" w:type="dxa"/>
          </w:tcPr>
          <w:p w14:paraId="5C713F9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13,330</w:t>
            </w:r>
          </w:p>
        </w:tc>
        <w:tc>
          <w:tcPr>
            <w:cnfStyle w:val="000010000000" w:firstRow="0" w:lastRow="0" w:firstColumn="0" w:lastColumn="0" w:oddVBand="1" w:evenVBand="0" w:oddHBand="0" w:evenHBand="0" w:firstRowFirstColumn="0" w:firstRowLastColumn="0" w:lastRowFirstColumn="0" w:lastRowLastColumn="0"/>
            <w:tcW w:w="973" w:type="dxa"/>
          </w:tcPr>
          <w:p w14:paraId="7FA129B1" w14:textId="77777777" w:rsidR="009867E7" w:rsidRPr="00300C59" w:rsidRDefault="009867E7" w:rsidP="007C520D">
            <w:pPr>
              <w:keepNext/>
              <w:widowControl w:val="0"/>
              <w:spacing w:after="0" w:line="240" w:lineRule="auto"/>
              <w:rPr>
                <w:sz w:val="20"/>
                <w:szCs w:val="20"/>
              </w:rPr>
            </w:pPr>
            <w:r w:rsidRPr="00300C59">
              <w:rPr>
                <w:sz w:val="20"/>
                <w:szCs w:val="20"/>
              </w:rPr>
              <w:t>10,625</w:t>
            </w:r>
          </w:p>
        </w:tc>
        <w:tc>
          <w:tcPr>
            <w:tcW w:w="773" w:type="dxa"/>
          </w:tcPr>
          <w:p w14:paraId="64C9611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37,010</w:t>
            </w:r>
          </w:p>
        </w:tc>
      </w:tr>
      <w:tr w:rsidR="009867E7" w14:paraId="17D0B2FE" w14:textId="77777777" w:rsidTr="007C520D">
        <w:trPr>
          <w:trHeight w:val="244"/>
        </w:trPr>
        <w:tc>
          <w:tcPr>
            <w:cnfStyle w:val="001000000000" w:firstRow="0" w:lastRow="0" w:firstColumn="1" w:lastColumn="0" w:oddVBand="0" w:evenVBand="0" w:oddHBand="0" w:evenHBand="0" w:firstRowFirstColumn="0" w:firstRowLastColumn="0" w:lastRowFirstColumn="0" w:lastRowLastColumn="0"/>
            <w:tcW w:w="1273" w:type="dxa"/>
          </w:tcPr>
          <w:p w14:paraId="065BB35C" w14:textId="77777777" w:rsidR="009867E7" w:rsidRPr="00300C59" w:rsidRDefault="009867E7" w:rsidP="007C520D">
            <w:pPr>
              <w:keepNext/>
              <w:widowControl w:val="0"/>
              <w:spacing w:after="0" w:line="240" w:lineRule="auto"/>
              <w:rPr>
                <w:b w:val="0"/>
                <w:sz w:val="20"/>
                <w:szCs w:val="20"/>
              </w:rPr>
            </w:pPr>
            <w:r w:rsidRPr="00300C59">
              <w:rPr>
                <w:b w:val="0"/>
                <w:sz w:val="20"/>
                <w:szCs w:val="20"/>
              </w:rPr>
              <w:t>Other</w:t>
            </w:r>
          </w:p>
        </w:tc>
        <w:tc>
          <w:tcPr>
            <w:cnfStyle w:val="000010000000" w:firstRow="0" w:lastRow="0" w:firstColumn="0" w:lastColumn="0" w:oddVBand="1" w:evenVBand="0" w:oddHBand="0" w:evenHBand="0" w:firstRowFirstColumn="0" w:firstRowLastColumn="0" w:lastRowFirstColumn="0" w:lastRowLastColumn="0"/>
            <w:tcW w:w="916" w:type="dxa"/>
          </w:tcPr>
          <w:p w14:paraId="06FC90F0" w14:textId="77777777" w:rsidR="009867E7" w:rsidRPr="00300C59" w:rsidRDefault="009867E7" w:rsidP="007C520D">
            <w:pPr>
              <w:keepNext/>
              <w:widowControl w:val="0"/>
              <w:spacing w:after="0" w:line="240" w:lineRule="auto"/>
              <w:rPr>
                <w:sz w:val="20"/>
                <w:szCs w:val="20"/>
              </w:rPr>
            </w:pPr>
            <w:r w:rsidRPr="00300C59">
              <w:rPr>
                <w:sz w:val="20"/>
                <w:szCs w:val="20"/>
              </w:rPr>
              <w:t>29,825</w:t>
            </w:r>
          </w:p>
        </w:tc>
        <w:tc>
          <w:tcPr>
            <w:tcW w:w="1046" w:type="dxa"/>
          </w:tcPr>
          <w:p w14:paraId="225109B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16,970</w:t>
            </w:r>
          </w:p>
        </w:tc>
        <w:tc>
          <w:tcPr>
            <w:cnfStyle w:val="000010000000" w:firstRow="0" w:lastRow="0" w:firstColumn="0" w:lastColumn="0" w:oddVBand="1" w:evenVBand="0" w:oddHBand="0" w:evenHBand="0" w:firstRowFirstColumn="0" w:firstRowLastColumn="0" w:lastRowFirstColumn="0" w:lastRowLastColumn="0"/>
            <w:tcW w:w="990" w:type="dxa"/>
          </w:tcPr>
          <w:p w14:paraId="19EEE370" w14:textId="77777777" w:rsidR="009867E7" w:rsidRPr="00300C59" w:rsidRDefault="009867E7" w:rsidP="007C520D">
            <w:pPr>
              <w:keepNext/>
              <w:widowControl w:val="0"/>
              <w:spacing w:after="0" w:line="240" w:lineRule="auto"/>
              <w:rPr>
                <w:sz w:val="20"/>
                <w:szCs w:val="20"/>
              </w:rPr>
            </w:pPr>
            <w:r w:rsidRPr="00300C59">
              <w:rPr>
                <w:sz w:val="20"/>
                <w:szCs w:val="20"/>
              </w:rPr>
              <w:t>9,995</w:t>
            </w:r>
          </w:p>
        </w:tc>
        <w:tc>
          <w:tcPr>
            <w:tcW w:w="845" w:type="dxa"/>
            <w:tcBorders>
              <w:right w:val="double" w:sz="6" w:space="0" w:color="auto"/>
            </w:tcBorders>
          </w:tcPr>
          <w:p w14:paraId="7C98025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56,790</w:t>
            </w:r>
          </w:p>
        </w:tc>
        <w:tc>
          <w:tcPr>
            <w:cnfStyle w:val="000010000000" w:firstRow="0" w:lastRow="0" w:firstColumn="0" w:lastColumn="0" w:oddVBand="1" w:evenVBand="0" w:oddHBand="0" w:evenHBand="0" w:firstRowFirstColumn="0" w:firstRowLastColumn="0" w:lastRowFirstColumn="0" w:lastRowLastColumn="0"/>
            <w:tcW w:w="923" w:type="dxa"/>
            <w:tcBorders>
              <w:left w:val="double" w:sz="6" w:space="0" w:color="auto"/>
            </w:tcBorders>
          </w:tcPr>
          <w:p w14:paraId="6E9FE9AD" w14:textId="77777777" w:rsidR="009867E7" w:rsidRPr="00300C59" w:rsidRDefault="009867E7" w:rsidP="007C520D">
            <w:pPr>
              <w:keepNext/>
              <w:widowControl w:val="0"/>
              <w:spacing w:after="0" w:line="240" w:lineRule="auto"/>
              <w:rPr>
                <w:sz w:val="20"/>
                <w:szCs w:val="20"/>
              </w:rPr>
            </w:pPr>
            <w:r w:rsidRPr="00300C59">
              <w:rPr>
                <w:sz w:val="20"/>
                <w:szCs w:val="20"/>
              </w:rPr>
              <w:t>7,375</w:t>
            </w:r>
          </w:p>
        </w:tc>
        <w:tc>
          <w:tcPr>
            <w:tcW w:w="1022" w:type="dxa"/>
          </w:tcPr>
          <w:p w14:paraId="07D472B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5,655</w:t>
            </w:r>
          </w:p>
        </w:tc>
        <w:tc>
          <w:tcPr>
            <w:cnfStyle w:val="000010000000" w:firstRow="0" w:lastRow="0" w:firstColumn="0" w:lastColumn="0" w:oddVBand="1" w:evenVBand="0" w:oddHBand="0" w:evenHBand="0" w:firstRowFirstColumn="0" w:firstRowLastColumn="0" w:lastRowFirstColumn="0" w:lastRowLastColumn="0"/>
            <w:tcW w:w="973" w:type="dxa"/>
          </w:tcPr>
          <w:p w14:paraId="7C424486" w14:textId="77777777" w:rsidR="009867E7" w:rsidRPr="00300C59" w:rsidRDefault="009867E7" w:rsidP="007C520D">
            <w:pPr>
              <w:keepNext/>
              <w:widowControl w:val="0"/>
              <w:spacing w:after="0" w:line="240" w:lineRule="auto"/>
              <w:rPr>
                <w:sz w:val="20"/>
                <w:szCs w:val="20"/>
              </w:rPr>
            </w:pPr>
            <w:r w:rsidRPr="00300C59">
              <w:rPr>
                <w:sz w:val="20"/>
                <w:szCs w:val="20"/>
              </w:rPr>
              <w:t>6,790</w:t>
            </w:r>
          </w:p>
        </w:tc>
        <w:tc>
          <w:tcPr>
            <w:tcW w:w="773" w:type="dxa"/>
          </w:tcPr>
          <w:p w14:paraId="154BCBA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19,820</w:t>
            </w:r>
          </w:p>
        </w:tc>
      </w:tr>
      <w:tr w:rsidR="009867E7" w14:paraId="1BF662A0" w14:textId="77777777" w:rsidTr="007C520D">
        <w:trPr>
          <w:trHeight w:val="489"/>
        </w:trPr>
        <w:tc>
          <w:tcPr>
            <w:cnfStyle w:val="001000000000" w:firstRow="0" w:lastRow="0" w:firstColumn="1" w:lastColumn="0" w:oddVBand="0" w:evenVBand="0" w:oddHBand="0" w:evenHBand="0" w:firstRowFirstColumn="0" w:firstRowLastColumn="0" w:lastRowFirstColumn="0" w:lastRowLastColumn="0"/>
            <w:tcW w:w="1273" w:type="dxa"/>
          </w:tcPr>
          <w:p w14:paraId="3C6F6E46" w14:textId="77777777" w:rsidR="009867E7" w:rsidRPr="00300C59" w:rsidRDefault="009867E7" w:rsidP="007C520D">
            <w:pPr>
              <w:keepNext/>
              <w:widowControl w:val="0"/>
              <w:spacing w:after="0" w:line="240" w:lineRule="auto"/>
              <w:rPr>
                <w:b w:val="0"/>
                <w:sz w:val="20"/>
                <w:szCs w:val="20"/>
              </w:rPr>
            </w:pPr>
            <w:r w:rsidRPr="00300C59">
              <w:rPr>
                <w:b w:val="0"/>
                <w:sz w:val="20"/>
                <w:szCs w:val="20"/>
              </w:rPr>
              <w:t>Total need by income</w:t>
            </w:r>
          </w:p>
        </w:tc>
        <w:tc>
          <w:tcPr>
            <w:cnfStyle w:val="000010000000" w:firstRow="0" w:lastRow="0" w:firstColumn="0" w:lastColumn="0" w:oddVBand="1" w:evenVBand="0" w:oddHBand="0" w:evenHBand="0" w:firstRowFirstColumn="0" w:firstRowLastColumn="0" w:lastRowFirstColumn="0" w:lastRowLastColumn="0"/>
            <w:tcW w:w="916" w:type="dxa"/>
          </w:tcPr>
          <w:p w14:paraId="19E64F85" w14:textId="77777777" w:rsidR="009867E7" w:rsidRPr="00300C59" w:rsidRDefault="009867E7" w:rsidP="007C520D">
            <w:pPr>
              <w:keepNext/>
              <w:widowControl w:val="0"/>
              <w:spacing w:after="0" w:line="240" w:lineRule="auto"/>
              <w:rPr>
                <w:sz w:val="20"/>
                <w:szCs w:val="20"/>
              </w:rPr>
            </w:pPr>
            <w:r w:rsidRPr="00300C59">
              <w:rPr>
                <w:sz w:val="20"/>
                <w:szCs w:val="20"/>
              </w:rPr>
              <w:t>63,400</w:t>
            </w:r>
          </w:p>
        </w:tc>
        <w:tc>
          <w:tcPr>
            <w:tcW w:w="1046" w:type="dxa"/>
          </w:tcPr>
          <w:p w14:paraId="33855DD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47,420</w:t>
            </w:r>
          </w:p>
        </w:tc>
        <w:tc>
          <w:tcPr>
            <w:cnfStyle w:val="000010000000" w:firstRow="0" w:lastRow="0" w:firstColumn="0" w:lastColumn="0" w:oddVBand="1" w:evenVBand="0" w:oddHBand="0" w:evenHBand="0" w:firstRowFirstColumn="0" w:firstRowLastColumn="0" w:lastRowFirstColumn="0" w:lastRowLastColumn="0"/>
            <w:tcW w:w="990" w:type="dxa"/>
          </w:tcPr>
          <w:p w14:paraId="1E6E91C6" w14:textId="77777777" w:rsidR="009867E7" w:rsidRPr="00300C59" w:rsidRDefault="009867E7" w:rsidP="007C520D">
            <w:pPr>
              <w:keepNext/>
              <w:widowControl w:val="0"/>
              <w:spacing w:after="0" w:line="240" w:lineRule="auto"/>
              <w:rPr>
                <w:sz w:val="20"/>
                <w:szCs w:val="20"/>
              </w:rPr>
            </w:pPr>
            <w:r w:rsidRPr="00300C59">
              <w:rPr>
                <w:sz w:val="20"/>
                <w:szCs w:val="20"/>
              </w:rPr>
              <w:t>26,485</w:t>
            </w:r>
          </w:p>
        </w:tc>
        <w:tc>
          <w:tcPr>
            <w:tcW w:w="845" w:type="dxa"/>
            <w:tcBorders>
              <w:right w:val="double" w:sz="6" w:space="0" w:color="auto"/>
            </w:tcBorders>
          </w:tcPr>
          <w:p w14:paraId="12DB0C0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137,305</w:t>
            </w:r>
          </w:p>
        </w:tc>
        <w:tc>
          <w:tcPr>
            <w:cnfStyle w:val="000010000000" w:firstRow="0" w:lastRow="0" w:firstColumn="0" w:lastColumn="0" w:oddVBand="1" w:evenVBand="0" w:oddHBand="0" w:evenHBand="0" w:firstRowFirstColumn="0" w:firstRowLastColumn="0" w:lastRowFirstColumn="0" w:lastRowLastColumn="0"/>
            <w:tcW w:w="923" w:type="dxa"/>
            <w:tcBorders>
              <w:left w:val="double" w:sz="6" w:space="0" w:color="auto"/>
            </w:tcBorders>
          </w:tcPr>
          <w:p w14:paraId="78696419" w14:textId="77777777" w:rsidR="009867E7" w:rsidRPr="00300C59" w:rsidRDefault="009867E7" w:rsidP="007C520D">
            <w:pPr>
              <w:keepNext/>
              <w:widowControl w:val="0"/>
              <w:spacing w:after="0" w:line="240" w:lineRule="auto"/>
              <w:rPr>
                <w:sz w:val="20"/>
                <w:szCs w:val="20"/>
              </w:rPr>
            </w:pPr>
            <w:r w:rsidRPr="00300C59">
              <w:rPr>
                <w:sz w:val="20"/>
                <w:szCs w:val="20"/>
              </w:rPr>
              <w:t>31,270</w:t>
            </w:r>
          </w:p>
        </w:tc>
        <w:tc>
          <w:tcPr>
            <w:tcW w:w="1022" w:type="dxa"/>
          </w:tcPr>
          <w:p w14:paraId="7E32011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31,760</w:t>
            </w:r>
          </w:p>
        </w:tc>
        <w:tc>
          <w:tcPr>
            <w:cnfStyle w:val="000010000000" w:firstRow="0" w:lastRow="0" w:firstColumn="0" w:lastColumn="0" w:oddVBand="1" w:evenVBand="0" w:oddHBand="0" w:evenHBand="0" w:firstRowFirstColumn="0" w:firstRowLastColumn="0" w:lastRowFirstColumn="0" w:lastRowLastColumn="0"/>
            <w:tcW w:w="973" w:type="dxa"/>
          </w:tcPr>
          <w:p w14:paraId="5F60289E" w14:textId="77777777" w:rsidR="009867E7" w:rsidRPr="00300C59" w:rsidRDefault="009867E7" w:rsidP="007C520D">
            <w:pPr>
              <w:keepNext/>
              <w:widowControl w:val="0"/>
              <w:spacing w:after="0" w:line="240" w:lineRule="auto"/>
              <w:rPr>
                <w:sz w:val="20"/>
                <w:szCs w:val="20"/>
              </w:rPr>
            </w:pPr>
            <w:r w:rsidRPr="00300C59">
              <w:rPr>
                <w:sz w:val="20"/>
                <w:szCs w:val="20"/>
              </w:rPr>
              <w:t>36,625</w:t>
            </w:r>
          </w:p>
        </w:tc>
        <w:tc>
          <w:tcPr>
            <w:tcW w:w="773" w:type="dxa"/>
          </w:tcPr>
          <w:p w14:paraId="070312D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99,655</w:t>
            </w:r>
          </w:p>
        </w:tc>
      </w:tr>
    </w:tbl>
    <w:p w14:paraId="56326785" w14:textId="77777777" w:rsidR="009867E7" w:rsidRPr="000D1D10" w:rsidRDefault="009867E7" w:rsidP="009867E7">
      <w:pPr>
        <w:spacing w:after="0" w:line="240" w:lineRule="auto"/>
        <w:rPr>
          <w:i/>
          <w:vanish/>
          <w:sz w:val="18"/>
        </w:rPr>
      </w:pPr>
      <w:r>
        <w:rPr>
          <w:i/>
          <w:sz w:val="18"/>
        </w:rPr>
        <w:t>Source: 2009-2013 CHAS</w:t>
      </w:r>
    </w:p>
    <w:p w14:paraId="66BA3986" w14:textId="77777777" w:rsidR="009867E7" w:rsidRDefault="009867E7" w:rsidP="009867E7">
      <w:pPr>
        <w:spacing w:after="0" w:line="240" w:lineRule="auto"/>
        <w:rPr>
          <w:b/>
          <w:bCs/>
          <w:vanish/>
          <w:sz w:val="16"/>
          <w:szCs w:val="16"/>
        </w:rPr>
      </w:pPr>
    </w:p>
    <w:p w14:paraId="113DAC37" w14:textId="77777777" w:rsidR="009867E7" w:rsidRDefault="009867E7" w:rsidP="009867E7"/>
    <w:p w14:paraId="060467FE" w14:textId="77777777" w:rsidR="009867E7" w:rsidRDefault="009867E7" w:rsidP="009867E7">
      <w:pPr>
        <w:keepNext/>
        <w:widowControl w:val="0"/>
        <w:rPr>
          <w:sz w:val="24"/>
          <w:szCs w:val="24"/>
        </w:rPr>
      </w:pPr>
      <w:r>
        <w:rPr>
          <w:b/>
          <w:sz w:val="24"/>
          <w:szCs w:val="24"/>
        </w:rPr>
        <w:t>Table 6 – Cost Burden &gt;50%</w:t>
      </w:r>
      <w:r>
        <w:rPr>
          <w:bCs/>
          <w:sz w:val="24"/>
          <w:szCs w:val="24"/>
        </w:rPr>
        <w:t xml:space="preserve"> (Severe cost burden)</w:t>
      </w:r>
    </w:p>
    <w:tbl>
      <w:tblPr>
        <w:tblStyle w:val="GridTable4-Accent1"/>
        <w:tblW w:w="4709" w:type="pct"/>
        <w:tblLook w:val="02A0" w:firstRow="1" w:lastRow="0" w:firstColumn="1" w:lastColumn="0" w:noHBand="1" w:noVBand="0"/>
      </w:tblPr>
      <w:tblGrid>
        <w:gridCol w:w="1385"/>
        <w:gridCol w:w="938"/>
        <w:gridCol w:w="950"/>
        <w:gridCol w:w="952"/>
        <w:gridCol w:w="891"/>
        <w:gridCol w:w="950"/>
        <w:gridCol w:w="949"/>
        <w:gridCol w:w="990"/>
        <w:gridCol w:w="801"/>
      </w:tblGrid>
      <w:tr w:rsidR="009867E7" w14:paraId="4F3E5448" w14:textId="77777777" w:rsidTr="007C520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5" w:type="dxa"/>
            <w:vMerge w:val="restart"/>
          </w:tcPr>
          <w:p w14:paraId="72161C9D" w14:textId="77777777" w:rsidR="009867E7" w:rsidRPr="00300C59" w:rsidRDefault="009867E7" w:rsidP="007C520D">
            <w:pPr>
              <w:keepNext/>
              <w:widowControl w:val="0"/>
              <w:spacing w:after="0" w:line="240" w:lineRule="auto"/>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731" w:type="dxa"/>
            <w:gridSpan w:val="4"/>
            <w:tcBorders>
              <w:bottom w:val="double" w:sz="6" w:space="0" w:color="auto"/>
              <w:right w:val="double" w:sz="6" w:space="0" w:color="auto"/>
            </w:tcBorders>
          </w:tcPr>
          <w:p w14:paraId="5554ACB8" w14:textId="77777777" w:rsidR="009867E7" w:rsidRPr="00300C59" w:rsidRDefault="009867E7" w:rsidP="007C520D">
            <w:pPr>
              <w:keepNext/>
              <w:widowControl w:val="0"/>
              <w:spacing w:after="0" w:line="240" w:lineRule="auto"/>
              <w:jc w:val="center"/>
              <w:rPr>
                <w:sz w:val="20"/>
                <w:szCs w:val="20"/>
              </w:rPr>
            </w:pPr>
            <w:r w:rsidRPr="00300C59">
              <w:rPr>
                <w:bCs w:val="0"/>
                <w:sz w:val="20"/>
                <w:szCs w:val="20"/>
              </w:rPr>
              <w:t>Renter</w:t>
            </w:r>
          </w:p>
        </w:tc>
        <w:tc>
          <w:tcPr>
            <w:tcW w:w="3690" w:type="dxa"/>
            <w:gridSpan w:val="4"/>
            <w:tcBorders>
              <w:left w:val="double" w:sz="6" w:space="0" w:color="auto"/>
              <w:bottom w:val="double" w:sz="6" w:space="0" w:color="auto"/>
            </w:tcBorders>
          </w:tcPr>
          <w:p w14:paraId="2C72E816"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00C59">
              <w:rPr>
                <w:bCs w:val="0"/>
                <w:sz w:val="20"/>
                <w:szCs w:val="20"/>
              </w:rPr>
              <w:t>Owner</w:t>
            </w:r>
          </w:p>
        </w:tc>
      </w:tr>
      <w:tr w:rsidR="009867E7" w14:paraId="4FD86125" w14:textId="77777777" w:rsidTr="007C520D">
        <w:trPr>
          <w:trHeight w:val="513"/>
        </w:trPr>
        <w:tc>
          <w:tcPr>
            <w:cnfStyle w:val="001000000000" w:firstRow="0" w:lastRow="0" w:firstColumn="1" w:lastColumn="0" w:oddVBand="0" w:evenVBand="0" w:oddHBand="0" w:evenHBand="0" w:firstRowFirstColumn="0" w:firstRowLastColumn="0" w:lastRowFirstColumn="0" w:lastRowLastColumn="0"/>
            <w:tcW w:w="1385" w:type="dxa"/>
            <w:vMerge/>
          </w:tcPr>
          <w:p w14:paraId="25342227" w14:textId="77777777" w:rsidR="009867E7" w:rsidRPr="00300C59" w:rsidRDefault="009867E7" w:rsidP="007C520D">
            <w:pPr>
              <w:keepNext/>
              <w:widowControl w:val="0"/>
              <w:spacing w:after="0" w:line="240" w:lineRule="auto"/>
              <w:rPr>
                <w:sz w:val="20"/>
                <w:szCs w:val="20"/>
              </w:rPr>
            </w:pPr>
          </w:p>
        </w:tc>
        <w:tc>
          <w:tcPr>
            <w:cnfStyle w:val="000010000000" w:firstRow="0" w:lastRow="0" w:firstColumn="0" w:lastColumn="0" w:oddVBand="1" w:evenVBand="0" w:oddHBand="0" w:evenHBand="0" w:firstRowFirstColumn="0" w:firstRowLastColumn="0" w:lastRowFirstColumn="0" w:lastRowLastColumn="0"/>
            <w:tcW w:w="938" w:type="dxa"/>
            <w:tcBorders>
              <w:top w:val="double" w:sz="6" w:space="0" w:color="auto"/>
            </w:tcBorders>
            <w:shd w:val="clear" w:color="auto" w:fill="4F81BD" w:themeFill="accent1"/>
          </w:tcPr>
          <w:p w14:paraId="5C0EFD65"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950" w:type="dxa"/>
            <w:tcBorders>
              <w:top w:val="double" w:sz="6" w:space="0" w:color="auto"/>
            </w:tcBorders>
            <w:shd w:val="clear" w:color="auto" w:fill="4F81BD" w:themeFill="accent1"/>
          </w:tcPr>
          <w:p w14:paraId="461BF39E"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52" w:type="dxa"/>
            <w:tcBorders>
              <w:top w:val="double" w:sz="6" w:space="0" w:color="auto"/>
            </w:tcBorders>
            <w:shd w:val="clear" w:color="auto" w:fill="4F81BD" w:themeFill="accent1"/>
          </w:tcPr>
          <w:p w14:paraId="395DCBC4"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891" w:type="dxa"/>
            <w:tcBorders>
              <w:top w:val="double" w:sz="6" w:space="0" w:color="auto"/>
              <w:right w:val="double" w:sz="6" w:space="0" w:color="auto"/>
            </w:tcBorders>
            <w:shd w:val="clear" w:color="auto" w:fill="4F81BD" w:themeFill="accent1"/>
          </w:tcPr>
          <w:p w14:paraId="5E5EF019"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Total</w:t>
            </w:r>
          </w:p>
        </w:tc>
        <w:tc>
          <w:tcPr>
            <w:cnfStyle w:val="000010000000" w:firstRow="0" w:lastRow="0" w:firstColumn="0" w:lastColumn="0" w:oddVBand="1" w:evenVBand="0" w:oddHBand="0" w:evenHBand="0" w:firstRowFirstColumn="0" w:firstRowLastColumn="0" w:lastRowFirstColumn="0" w:lastRowLastColumn="0"/>
            <w:tcW w:w="950" w:type="dxa"/>
            <w:tcBorders>
              <w:top w:val="double" w:sz="6" w:space="0" w:color="auto"/>
              <w:left w:val="double" w:sz="6" w:space="0" w:color="auto"/>
            </w:tcBorders>
            <w:shd w:val="clear" w:color="auto" w:fill="4F81BD" w:themeFill="accent1"/>
          </w:tcPr>
          <w:p w14:paraId="7B2DDD60"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949" w:type="dxa"/>
            <w:tcBorders>
              <w:top w:val="double" w:sz="6" w:space="0" w:color="auto"/>
            </w:tcBorders>
            <w:shd w:val="clear" w:color="auto" w:fill="4F81BD" w:themeFill="accent1"/>
          </w:tcPr>
          <w:p w14:paraId="2992941A"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990" w:type="dxa"/>
            <w:tcBorders>
              <w:top w:val="double" w:sz="6" w:space="0" w:color="auto"/>
            </w:tcBorders>
            <w:shd w:val="clear" w:color="auto" w:fill="4F81BD" w:themeFill="accent1"/>
          </w:tcPr>
          <w:p w14:paraId="77487665"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801" w:type="dxa"/>
            <w:tcBorders>
              <w:top w:val="double" w:sz="6" w:space="0" w:color="auto"/>
            </w:tcBorders>
            <w:shd w:val="clear" w:color="auto" w:fill="4F81BD" w:themeFill="accent1"/>
          </w:tcPr>
          <w:p w14:paraId="31F2EF70"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Total</w:t>
            </w:r>
          </w:p>
        </w:tc>
      </w:tr>
      <w:tr w:rsidR="009867E7" w14:paraId="4722118D" w14:textId="77777777" w:rsidTr="007C520D">
        <w:trPr>
          <w:trHeight w:val="496"/>
        </w:trPr>
        <w:tc>
          <w:tcPr>
            <w:cnfStyle w:val="001000000000" w:firstRow="0" w:lastRow="0" w:firstColumn="1" w:lastColumn="0" w:oddVBand="0" w:evenVBand="0" w:oddHBand="0" w:evenHBand="0" w:firstRowFirstColumn="0" w:firstRowLastColumn="0" w:lastRowFirstColumn="0" w:lastRowLastColumn="0"/>
            <w:tcW w:w="1385" w:type="dxa"/>
          </w:tcPr>
          <w:p w14:paraId="3B13B0E4" w14:textId="77777777" w:rsidR="009867E7" w:rsidRPr="00300C59" w:rsidRDefault="009867E7" w:rsidP="007C520D">
            <w:pPr>
              <w:keepNext/>
              <w:widowControl w:val="0"/>
              <w:spacing w:after="0" w:line="240" w:lineRule="auto"/>
              <w:rPr>
                <w:b w:val="0"/>
                <w:sz w:val="20"/>
                <w:szCs w:val="20"/>
              </w:rPr>
            </w:pPr>
            <w:r w:rsidRPr="00300C59">
              <w:rPr>
                <w:b w:val="0"/>
                <w:sz w:val="20"/>
                <w:szCs w:val="20"/>
              </w:rPr>
              <w:t>Small Related</w:t>
            </w:r>
          </w:p>
        </w:tc>
        <w:tc>
          <w:tcPr>
            <w:cnfStyle w:val="000010000000" w:firstRow="0" w:lastRow="0" w:firstColumn="0" w:lastColumn="0" w:oddVBand="1" w:evenVBand="0" w:oddHBand="0" w:evenHBand="0" w:firstRowFirstColumn="0" w:firstRowLastColumn="0" w:lastRowFirstColumn="0" w:lastRowLastColumn="0"/>
            <w:tcW w:w="938" w:type="dxa"/>
          </w:tcPr>
          <w:p w14:paraId="7D75FC9B" w14:textId="77777777" w:rsidR="009867E7" w:rsidRPr="00300C59" w:rsidRDefault="009867E7" w:rsidP="007C520D">
            <w:pPr>
              <w:keepNext/>
              <w:widowControl w:val="0"/>
              <w:spacing w:after="0" w:line="240" w:lineRule="auto"/>
              <w:rPr>
                <w:sz w:val="20"/>
                <w:szCs w:val="20"/>
              </w:rPr>
            </w:pPr>
            <w:r w:rsidRPr="00300C59">
              <w:rPr>
                <w:sz w:val="20"/>
                <w:szCs w:val="20"/>
              </w:rPr>
              <w:t>17,125</w:t>
            </w:r>
          </w:p>
        </w:tc>
        <w:tc>
          <w:tcPr>
            <w:tcW w:w="950" w:type="dxa"/>
          </w:tcPr>
          <w:p w14:paraId="3268C81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5,095</w:t>
            </w:r>
          </w:p>
        </w:tc>
        <w:tc>
          <w:tcPr>
            <w:cnfStyle w:val="000010000000" w:firstRow="0" w:lastRow="0" w:firstColumn="0" w:lastColumn="0" w:oddVBand="1" w:evenVBand="0" w:oddHBand="0" w:evenHBand="0" w:firstRowFirstColumn="0" w:firstRowLastColumn="0" w:lastRowFirstColumn="0" w:lastRowLastColumn="0"/>
            <w:tcW w:w="952" w:type="dxa"/>
          </w:tcPr>
          <w:p w14:paraId="78D0BE8B" w14:textId="77777777" w:rsidR="009867E7" w:rsidRPr="00300C59" w:rsidRDefault="009867E7" w:rsidP="007C520D">
            <w:pPr>
              <w:keepNext/>
              <w:widowControl w:val="0"/>
              <w:spacing w:after="0" w:line="240" w:lineRule="auto"/>
              <w:rPr>
                <w:sz w:val="20"/>
                <w:szCs w:val="20"/>
              </w:rPr>
            </w:pPr>
            <w:r w:rsidRPr="00300C59">
              <w:rPr>
                <w:sz w:val="20"/>
                <w:szCs w:val="20"/>
              </w:rPr>
              <w:t>485</w:t>
            </w:r>
          </w:p>
        </w:tc>
        <w:tc>
          <w:tcPr>
            <w:tcW w:w="891" w:type="dxa"/>
            <w:tcBorders>
              <w:right w:val="double" w:sz="6" w:space="0" w:color="auto"/>
            </w:tcBorders>
          </w:tcPr>
          <w:p w14:paraId="7B2AD06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22,705</w:t>
            </w:r>
          </w:p>
        </w:tc>
        <w:tc>
          <w:tcPr>
            <w:cnfStyle w:val="000010000000" w:firstRow="0" w:lastRow="0" w:firstColumn="0" w:lastColumn="0" w:oddVBand="1" w:evenVBand="0" w:oddHBand="0" w:evenHBand="0" w:firstRowFirstColumn="0" w:firstRowLastColumn="0" w:lastRowFirstColumn="0" w:lastRowLastColumn="0"/>
            <w:tcW w:w="950" w:type="dxa"/>
            <w:tcBorders>
              <w:left w:val="double" w:sz="6" w:space="0" w:color="auto"/>
            </w:tcBorders>
          </w:tcPr>
          <w:p w14:paraId="348B0891" w14:textId="77777777" w:rsidR="009867E7" w:rsidRPr="00300C59" w:rsidRDefault="009867E7" w:rsidP="007C520D">
            <w:pPr>
              <w:keepNext/>
              <w:widowControl w:val="0"/>
              <w:spacing w:after="0" w:line="240" w:lineRule="auto"/>
              <w:rPr>
                <w:sz w:val="20"/>
                <w:szCs w:val="20"/>
              </w:rPr>
            </w:pPr>
            <w:r w:rsidRPr="00300C59">
              <w:rPr>
                <w:sz w:val="20"/>
                <w:szCs w:val="20"/>
              </w:rPr>
              <w:t>7,320</w:t>
            </w:r>
          </w:p>
        </w:tc>
        <w:tc>
          <w:tcPr>
            <w:tcW w:w="949" w:type="dxa"/>
          </w:tcPr>
          <w:p w14:paraId="54D47F3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4,675</w:t>
            </w:r>
          </w:p>
        </w:tc>
        <w:tc>
          <w:tcPr>
            <w:cnfStyle w:val="000010000000" w:firstRow="0" w:lastRow="0" w:firstColumn="0" w:lastColumn="0" w:oddVBand="1" w:evenVBand="0" w:oddHBand="0" w:evenHBand="0" w:firstRowFirstColumn="0" w:firstRowLastColumn="0" w:lastRowFirstColumn="0" w:lastRowLastColumn="0"/>
            <w:tcW w:w="990" w:type="dxa"/>
          </w:tcPr>
          <w:p w14:paraId="772120F7" w14:textId="77777777" w:rsidR="009867E7" w:rsidRPr="00300C59" w:rsidRDefault="009867E7" w:rsidP="007C520D">
            <w:pPr>
              <w:keepNext/>
              <w:widowControl w:val="0"/>
              <w:spacing w:after="0" w:line="240" w:lineRule="auto"/>
              <w:rPr>
                <w:sz w:val="20"/>
                <w:szCs w:val="20"/>
              </w:rPr>
            </w:pPr>
            <w:r w:rsidRPr="00300C59">
              <w:rPr>
                <w:sz w:val="20"/>
                <w:szCs w:val="20"/>
              </w:rPr>
              <w:t>3,515</w:t>
            </w:r>
          </w:p>
        </w:tc>
        <w:tc>
          <w:tcPr>
            <w:tcW w:w="801" w:type="dxa"/>
          </w:tcPr>
          <w:p w14:paraId="4CFAA894"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15,510</w:t>
            </w:r>
          </w:p>
        </w:tc>
      </w:tr>
      <w:tr w:rsidR="009867E7" w14:paraId="5BCF35BB" w14:textId="77777777" w:rsidTr="007C520D">
        <w:trPr>
          <w:trHeight w:val="496"/>
        </w:trPr>
        <w:tc>
          <w:tcPr>
            <w:cnfStyle w:val="001000000000" w:firstRow="0" w:lastRow="0" w:firstColumn="1" w:lastColumn="0" w:oddVBand="0" w:evenVBand="0" w:oddHBand="0" w:evenHBand="0" w:firstRowFirstColumn="0" w:firstRowLastColumn="0" w:lastRowFirstColumn="0" w:lastRowLastColumn="0"/>
            <w:tcW w:w="1385" w:type="dxa"/>
          </w:tcPr>
          <w:p w14:paraId="01083B9F" w14:textId="77777777" w:rsidR="009867E7" w:rsidRPr="00300C59" w:rsidRDefault="009867E7" w:rsidP="007C520D">
            <w:pPr>
              <w:keepNext/>
              <w:widowControl w:val="0"/>
              <w:spacing w:after="0" w:line="240" w:lineRule="auto"/>
              <w:rPr>
                <w:b w:val="0"/>
                <w:sz w:val="20"/>
                <w:szCs w:val="20"/>
              </w:rPr>
            </w:pPr>
            <w:r w:rsidRPr="00300C59">
              <w:rPr>
                <w:b w:val="0"/>
                <w:sz w:val="20"/>
                <w:szCs w:val="20"/>
              </w:rPr>
              <w:t>Large Related</w:t>
            </w:r>
          </w:p>
        </w:tc>
        <w:tc>
          <w:tcPr>
            <w:cnfStyle w:val="000010000000" w:firstRow="0" w:lastRow="0" w:firstColumn="0" w:lastColumn="0" w:oddVBand="1" w:evenVBand="0" w:oddHBand="0" w:evenHBand="0" w:firstRowFirstColumn="0" w:firstRowLastColumn="0" w:lastRowFirstColumn="0" w:lastRowLastColumn="0"/>
            <w:tcW w:w="938" w:type="dxa"/>
          </w:tcPr>
          <w:p w14:paraId="33E3FDBB" w14:textId="77777777" w:rsidR="009867E7" w:rsidRPr="00300C59" w:rsidRDefault="009867E7" w:rsidP="007C520D">
            <w:pPr>
              <w:keepNext/>
              <w:widowControl w:val="0"/>
              <w:spacing w:after="0" w:line="240" w:lineRule="auto"/>
              <w:rPr>
                <w:sz w:val="20"/>
                <w:szCs w:val="20"/>
              </w:rPr>
            </w:pPr>
            <w:r w:rsidRPr="00300C59">
              <w:rPr>
                <w:sz w:val="20"/>
                <w:szCs w:val="20"/>
              </w:rPr>
              <w:t>3,440</w:t>
            </w:r>
          </w:p>
        </w:tc>
        <w:tc>
          <w:tcPr>
            <w:tcW w:w="950" w:type="dxa"/>
          </w:tcPr>
          <w:p w14:paraId="4C89C6E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660</w:t>
            </w:r>
          </w:p>
        </w:tc>
        <w:tc>
          <w:tcPr>
            <w:cnfStyle w:val="000010000000" w:firstRow="0" w:lastRow="0" w:firstColumn="0" w:lastColumn="0" w:oddVBand="1" w:evenVBand="0" w:oddHBand="0" w:evenHBand="0" w:firstRowFirstColumn="0" w:firstRowLastColumn="0" w:lastRowFirstColumn="0" w:lastRowLastColumn="0"/>
            <w:tcW w:w="952" w:type="dxa"/>
          </w:tcPr>
          <w:p w14:paraId="5CA05456" w14:textId="77777777" w:rsidR="009867E7" w:rsidRPr="00300C59" w:rsidRDefault="009867E7" w:rsidP="007C520D">
            <w:pPr>
              <w:keepNext/>
              <w:widowControl w:val="0"/>
              <w:spacing w:after="0" w:line="240" w:lineRule="auto"/>
              <w:rPr>
                <w:sz w:val="20"/>
                <w:szCs w:val="20"/>
              </w:rPr>
            </w:pPr>
            <w:r w:rsidRPr="00300C59">
              <w:rPr>
                <w:sz w:val="20"/>
                <w:szCs w:val="20"/>
              </w:rPr>
              <w:t>115</w:t>
            </w:r>
          </w:p>
        </w:tc>
        <w:tc>
          <w:tcPr>
            <w:tcW w:w="891" w:type="dxa"/>
            <w:tcBorders>
              <w:right w:val="double" w:sz="6" w:space="0" w:color="auto"/>
            </w:tcBorders>
          </w:tcPr>
          <w:p w14:paraId="0DD0434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4,215</w:t>
            </w:r>
          </w:p>
        </w:tc>
        <w:tc>
          <w:tcPr>
            <w:cnfStyle w:val="000010000000" w:firstRow="0" w:lastRow="0" w:firstColumn="0" w:lastColumn="0" w:oddVBand="1" w:evenVBand="0" w:oddHBand="0" w:evenHBand="0" w:firstRowFirstColumn="0" w:firstRowLastColumn="0" w:lastRowFirstColumn="0" w:lastRowLastColumn="0"/>
            <w:tcW w:w="950" w:type="dxa"/>
            <w:tcBorders>
              <w:left w:val="double" w:sz="6" w:space="0" w:color="auto"/>
            </w:tcBorders>
          </w:tcPr>
          <w:p w14:paraId="09B0F08E" w14:textId="77777777" w:rsidR="009867E7" w:rsidRPr="00300C59" w:rsidRDefault="009867E7" w:rsidP="007C520D">
            <w:pPr>
              <w:keepNext/>
              <w:widowControl w:val="0"/>
              <w:spacing w:after="0" w:line="240" w:lineRule="auto"/>
              <w:rPr>
                <w:sz w:val="20"/>
                <w:szCs w:val="20"/>
              </w:rPr>
            </w:pPr>
            <w:r w:rsidRPr="00300C59">
              <w:rPr>
                <w:sz w:val="20"/>
                <w:szCs w:val="20"/>
              </w:rPr>
              <w:t>1,520</w:t>
            </w:r>
          </w:p>
        </w:tc>
        <w:tc>
          <w:tcPr>
            <w:tcW w:w="949" w:type="dxa"/>
          </w:tcPr>
          <w:p w14:paraId="64092631"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1,385</w:t>
            </w:r>
          </w:p>
        </w:tc>
        <w:tc>
          <w:tcPr>
            <w:cnfStyle w:val="000010000000" w:firstRow="0" w:lastRow="0" w:firstColumn="0" w:lastColumn="0" w:oddVBand="1" w:evenVBand="0" w:oddHBand="0" w:evenHBand="0" w:firstRowFirstColumn="0" w:firstRowLastColumn="0" w:lastRowFirstColumn="0" w:lastRowLastColumn="0"/>
            <w:tcW w:w="990" w:type="dxa"/>
          </w:tcPr>
          <w:p w14:paraId="4E0AFEE4" w14:textId="77777777" w:rsidR="009867E7" w:rsidRPr="00300C59" w:rsidRDefault="009867E7" w:rsidP="007C520D">
            <w:pPr>
              <w:keepNext/>
              <w:widowControl w:val="0"/>
              <w:spacing w:after="0" w:line="240" w:lineRule="auto"/>
              <w:rPr>
                <w:sz w:val="20"/>
                <w:szCs w:val="20"/>
              </w:rPr>
            </w:pPr>
            <w:r w:rsidRPr="00300C59">
              <w:rPr>
                <w:sz w:val="20"/>
                <w:szCs w:val="20"/>
              </w:rPr>
              <w:t>750</w:t>
            </w:r>
          </w:p>
        </w:tc>
        <w:tc>
          <w:tcPr>
            <w:tcW w:w="801" w:type="dxa"/>
          </w:tcPr>
          <w:p w14:paraId="16E1498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3,655</w:t>
            </w:r>
          </w:p>
        </w:tc>
      </w:tr>
      <w:tr w:rsidR="009867E7" w14:paraId="1B16CA0C" w14:textId="77777777" w:rsidTr="007C520D">
        <w:trPr>
          <w:trHeight w:val="248"/>
        </w:trPr>
        <w:tc>
          <w:tcPr>
            <w:cnfStyle w:val="001000000000" w:firstRow="0" w:lastRow="0" w:firstColumn="1" w:lastColumn="0" w:oddVBand="0" w:evenVBand="0" w:oddHBand="0" w:evenHBand="0" w:firstRowFirstColumn="0" w:firstRowLastColumn="0" w:lastRowFirstColumn="0" w:lastRowLastColumn="0"/>
            <w:tcW w:w="1385" w:type="dxa"/>
          </w:tcPr>
          <w:p w14:paraId="374D37C7" w14:textId="77777777" w:rsidR="009867E7" w:rsidRPr="00300C59" w:rsidRDefault="009867E7" w:rsidP="007C520D">
            <w:pPr>
              <w:keepNext/>
              <w:widowControl w:val="0"/>
              <w:spacing w:after="0" w:line="240" w:lineRule="auto"/>
              <w:rPr>
                <w:b w:val="0"/>
                <w:sz w:val="20"/>
                <w:szCs w:val="20"/>
              </w:rPr>
            </w:pPr>
            <w:r w:rsidRPr="00300C59">
              <w:rPr>
                <w:b w:val="0"/>
                <w:sz w:val="20"/>
                <w:szCs w:val="20"/>
              </w:rPr>
              <w:t>Elderly</w:t>
            </w:r>
          </w:p>
        </w:tc>
        <w:tc>
          <w:tcPr>
            <w:cnfStyle w:val="000010000000" w:firstRow="0" w:lastRow="0" w:firstColumn="0" w:lastColumn="0" w:oddVBand="1" w:evenVBand="0" w:oddHBand="0" w:evenHBand="0" w:firstRowFirstColumn="0" w:firstRowLastColumn="0" w:lastRowFirstColumn="0" w:lastRowLastColumn="0"/>
            <w:tcW w:w="938" w:type="dxa"/>
          </w:tcPr>
          <w:p w14:paraId="286195E6" w14:textId="77777777" w:rsidR="009867E7" w:rsidRPr="00300C59" w:rsidRDefault="009867E7" w:rsidP="007C520D">
            <w:pPr>
              <w:keepNext/>
              <w:widowControl w:val="0"/>
              <w:spacing w:after="0" w:line="240" w:lineRule="auto"/>
              <w:rPr>
                <w:sz w:val="20"/>
                <w:szCs w:val="20"/>
              </w:rPr>
            </w:pPr>
            <w:r w:rsidRPr="00300C59">
              <w:rPr>
                <w:sz w:val="20"/>
                <w:szCs w:val="20"/>
              </w:rPr>
              <w:t>6,340</w:t>
            </w:r>
          </w:p>
        </w:tc>
        <w:tc>
          <w:tcPr>
            <w:tcW w:w="950" w:type="dxa"/>
          </w:tcPr>
          <w:p w14:paraId="42C072C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4,490</w:t>
            </w:r>
          </w:p>
        </w:tc>
        <w:tc>
          <w:tcPr>
            <w:cnfStyle w:val="000010000000" w:firstRow="0" w:lastRow="0" w:firstColumn="0" w:lastColumn="0" w:oddVBand="1" w:evenVBand="0" w:oddHBand="0" w:evenHBand="0" w:firstRowFirstColumn="0" w:firstRowLastColumn="0" w:lastRowFirstColumn="0" w:lastRowLastColumn="0"/>
            <w:tcW w:w="952" w:type="dxa"/>
          </w:tcPr>
          <w:p w14:paraId="6BFFBDB7" w14:textId="77777777" w:rsidR="009867E7" w:rsidRPr="00300C59" w:rsidRDefault="009867E7" w:rsidP="007C520D">
            <w:pPr>
              <w:keepNext/>
              <w:widowControl w:val="0"/>
              <w:spacing w:after="0" w:line="240" w:lineRule="auto"/>
              <w:rPr>
                <w:sz w:val="20"/>
                <w:szCs w:val="20"/>
              </w:rPr>
            </w:pPr>
            <w:r w:rsidRPr="00300C59">
              <w:rPr>
                <w:sz w:val="20"/>
                <w:szCs w:val="20"/>
              </w:rPr>
              <w:t>1,455</w:t>
            </w:r>
          </w:p>
        </w:tc>
        <w:tc>
          <w:tcPr>
            <w:tcW w:w="891" w:type="dxa"/>
            <w:tcBorders>
              <w:right w:val="double" w:sz="6" w:space="0" w:color="auto"/>
            </w:tcBorders>
          </w:tcPr>
          <w:p w14:paraId="4D1E00A1"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12,285</w:t>
            </w:r>
          </w:p>
        </w:tc>
        <w:tc>
          <w:tcPr>
            <w:cnfStyle w:val="000010000000" w:firstRow="0" w:lastRow="0" w:firstColumn="0" w:lastColumn="0" w:oddVBand="1" w:evenVBand="0" w:oddHBand="0" w:evenHBand="0" w:firstRowFirstColumn="0" w:firstRowLastColumn="0" w:lastRowFirstColumn="0" w:lastRowLastColumn="0"/>
            <w:tcW w:w="950" w:type="dxa"/>
            <w:tcBorders>
              <w:left w:val="double" w:sz="6" w:space="0" w:color="auto"/>
            </w:tcBorders>
          </w:tcPr>
          <w:p w14:paraId="130AF0BD" w14:textId="77777777" w:rsidR="009867E7" w:rsidRPr="00300C59" w:rsidRDefault="009867E7" w:rsidP="007C520D">
            <w:pPr>
              <w:keepNext/>
              <w:widowControl w:val="0"/>
              <w:spacing w:after="0" w:line="240" w:lineRule="auto"/>
              <w:rPr>
                <w:sz w:val="20"/>
                <w:szCs w:val="20"/>
              </w:rPr>
            </w:pPr>
            <w:r w:rsidRPr="00300C59">
              <w:rPr>
                <w:sz w:val="20"/>
                <w:szCs w:val="20"/>
              </w:rPr>
              <w:t>8,560</w:t>
            </w:r>
          </w:p>
        </w:tc>
        <w:tc>
          <w:tcPr>
            <w:tcW w:w="949" w:type="dxa"/>
          </w:tcPr>
          <w:p w14:paraId="25C24AB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4,600</w:t>
            </w:r>
          </w:p>
        </w:tc>
        <w:tc>
          <w:tcPr>
            <w:cnfStyle w:val="000010000000" w:firstRow="0" w:lastRow="0" w:firstColumn="0" w:lastColumn="0" w:oddVBand="1" w:evenVBand="0" w:oddHBand="0" w:evenHBand="0" w:firstRowFirstColumn="0" w:firstRowLastColumn="0" w:lastRowFirstColumn="0" w:lastRowLastColumn="0"/>
            <w:tcW w:w="990" w:type="dxa"/>
          </w:tcPr>
          <w:p w14:paraId="29BA2AD3" w14:textId="77777777" w:rsidR="009867E7" w:rsidRPr="00300C59" w:rsidRDefault="009867E7" w:rsidP="007C520D">
            <w:pPr>
              <w:keepNext/>
              <w:widowControl w:val="0"/>
              <w:spacing w:after="0" w:line="240" w:lineRule="auto"/>
              <w:rPr>
                <w:sz w:val="20"/>
                <w:szCs w:val="20"/>
              </w:rPr>
            </w:pPr>
            <w:r w:rsidRPr="00300C59">
              <w:rPr>
                <w:sz w:val="20"/>
                <w:szCs w:val="20"/>
              </w:rPr>
              <w:t>3,000</w:t>
            </w:r>
          </w:p>
        </w:tc>
        <w:tc>
          <w:tcPr>
            <w:tcW w:w="801" w:type="dxa"/>
          </w:tcPr>
          <w:p w14:paraId="6609A54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16,160</w:t>
            </w:r>
          </w:p>
        </w:tc>
      </w:tr>
      <w:tr w:rsidR="009867E7" w14:paraId="12C17CA6" w14:textId="77777777" w:rsidTr="007C520D">
        <w:trPr>
          <w:trHeight w:val="248"/>
        </w:trPr>
        <w:tc>
          <w:tcPr>
            <w:cnfStyle w:val="001000000000" w:firstRow="0" w:lastRow="0" w:firstColumn="1" w:lastColumn="0" w:oddVBand="0" w:evenVBand="0" w:oddHBand="0" w:evenHBand="0" w:firstRowFirstColumn="0" w:firstRowLastColumn="0" w:lastRowFirstColumn="0" w:lastRowLastColumn="0"/>
            <w:tcW w:w="1385" w:type="dxa"/>
          </w:tcPr>
          <w:p w14:paraId="5451F0BF" w14:textId="77777777" w:rsidR="009867E7" w:rsidRPr="00300C59" w:rsidRDefault="009867E7" w:rsidP="007C520D">
            <w:pPr>
              <w:keepNext/>
              <w:widowControl w:val="0"/>
              <w:spacing w:after="0" w:line="240" w:lineRule="auto"/>
              <w:rPr>
                <w:b w:val="0"/>
                <w:sz w:val="20"/>
                <w:szCs w:val="20"/>
              </w:rPr>
            </w:pPr>
            <w:r w:rsidRPr="00300C59">
              <w:rPr>
                <w:b w:val="0"/>
                <w:sz w:val="20"/>
                <w:szCs w:val="20"/>
              </w:rPr>
              <w:t>Other</w:t>
            </w:r>
          </w:p>
        </w:tc>
        <w:tc>
          <w:tcPr>
            <w:cnfStyle w:val="000010000000" w:firstRow="0" w:lastRow="0" w:firstColumn="0" w:lastColumn="0" w:oddVBand="1" w:evenVBand="0" w:oddHBand="0" w:evenHBand="0" w:firstRowFirstColumn="0" w:firstRowLastColumn="0" w:lastRowFirstColumn="0" w:lastRowLastColumn="0"/>
            <w:tcW w:w="938" w:type="dxa"/>
          </w:tcPr>
          <w:p w14:paraId="668DA6AD" w14:textId="77777777" w:rsidR="009867E7" w:rsidRPr="00300C59" w:rsidRDefault="009867E7" w:rsidP="007C520D">
            <w:pPr>
              <w:keepNext/>
              <w:widowControl w:val="0"/>
              <w:spacing w:after="0" w:line="240" w:lineRule="auto"/>
              <w:rPr>
                <w:sz w:val="20"/>
                <w:szCs w:val="20"/>
              </w:rPr>
            </w:pPr>
            <w:r w:rsidRPr="00300C59">
              <w:rPr>
                <w:sz w:val="20"/>
                <w:szCs w:val="20"/>
              </w:rPr>
              <w:t>25,555</w:t>
            </w:r>
          </w:p>
        </w:tc>
        <w:tc>
          <w:tcPr>
            <w:tcW w:w="950" w:type="dxa"/>
          </w:tcPr>
          <w:p w14:paraId="63402C2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5,215</w:t>
            </w:r>
          </w:p>
        </w:tc>
        <w:tc>
          <w:tcPr>
            <w:cnfStyle w:val="000010000000" w:firstRow="0" w:lastRow="0" w:firstColumn="0" w:lastColumn="0" w:oddVBand="1" w:evenVBand="0" w:oddHBand="0" w:evenHBand="0" w:firstRowFirstColumn="0" w:firstRowLastColumn="0" w:lastRowFirstColumn="0" w:lastRowLastColumn="0"/>
            <w:tcW w:w="952" w:type="dxa"/>
          </w:tcPr>
          <w:p w14:paraId="2FEA2D22" w14:textId="77777777" w:rsidR="009867E7" w:rsidRPr="00300C59" w:rsidRDefault="009867E7" w:rsidP="007C520D">
            <w:pPr>
              <w:keepNext/>
              <w:widowControl w:val="0"/>
              <w:spacing w:after="0" w:line="240" w:lineRule="auto"/>
              <w:rPr>
                <w:sz w:val="20"/>
                <w:szCs w:val="20"/>
              </w:rPr>
            </w:pPr>
            <w:r w:rsidRPr="00300C59">
              <w:rPr>
                <w:sz w:val="20"/>
                <w:szCs w:val="20"/>
              </w:rPr>
              <w:t>1,110</w:t>
            </w:r>
          </w:p>
        </w:tc>
        <w:tc>
          <w:tcPr>
            <w:tcW w:w="891" w:type="dxa"/>
            <w:tcBorders>
              <w:right w:val="double" w:sz="6" w:space="0" w:color="auto"/>
            </w:tcBorders>
          </w:tcPr>
          <w:p w14:paraId="45D232D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31,880</w:t>
            </w:r>
          </w:p>
        </w:tc>
        <w:tc>
          <w:tcPr>
            <w:cnfStyle w:val="000010000000" w:firstRow="0" w:lastRow="0" w:firstColumn="0" w:lastColumn="0" w:oddVBand="1" w:evenVBand="0" w:oddHBand="0" w:evenHBand="0" w:firstRowFirstColumn="0" w:firstRowLastColumn="0" w:lastRowFirstColumn="0" w:lastRowLastColumn="0"/>
            <w:tcW w:w="950" w:type="dxa"/>
            <w:tcBorders>
              <w:left w:val="double" w:sz="6" w:space="0" w:color="auto"/>
            </w:tcBorders>
          </w:tcPr>
          <w:p w14:paraId="2BF53281" w14:textId="77777777" w:rsidR="009867E7" w:rsidRPr="00300C59" w:rsidRDefault="009867E7" w:rsidP="007C520D">
            <w:pPr>
              <w:keepNext/>
              <w:widowControl w:val="0"/>
              <w:spacing w:after="0" w:line="240" w:lineRule="auto"/>
              <w:rPr>
                <w:sz w:val="20"/>
                <w:szCs w:val="20"/>
              </w:rPr>
            </w:pPr>
            <w:r w:rsidRPr="00300C59">
              <w:rPr>
                <w:sz w:val="20"/>
                <w:szCs w:val="20"/>
              </w:rPr>
              <w:t>6,050</w:t>
            </w:r>
          </w:p>
        </w:tc>
        <w:tc>
          <w:tcPr>
            <w:tcW w:w="949" w:type="dxa"/>
          </w:tcPr>
          <w:p w14:paraId="789F54E1"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3,120</w:t>
            </w:r>
          </w:p>
        </w:tc>
        <w:tc>
          <w:tcPr>
            <w:cnfStyle w:val="000010000000" w:firstRow="0" w:lastRow="0" w:firstColumn="0" w:lastColumn="0" w:oddVBand="1" w:evenVBand="0" w:oddHBand="0" w:evenHBand="0" w:firstRowFirstColumn="0" w:firstRowLastColumn="0" w:lastRowFirstColumn="0" w:lastRowLastColumn="0"/>
            <w:tcW w:w="990" w:type="dxa"/>
          </w:tcPr>
          <w:p w14:paraId="138829A9" w14:textId="77777777" w:rsidR="009867E7" w:rsidRPr="00300C59" w:rsidRDefault="009867E7" w:rsidP="007C520D">
            <w:pPr>
              <w:keepNext/>
              <w:widowControl w:val="0"/>
              <w:spacing w:after="0" w:line="240" w:lineRule="auto"/>
              <w:rPr>
                <w:sz w:val="20"/>
                <w:szCs w:val="20"/>
              </w:rPr>
            </w:pPr>
            <w:r w:rsidRPr="00300C59">
              <w:rPr>
                <w:sz w:val="20"/>
                <w:szCs w:val="20"/>
              </w:rPr>
              <w:t>1,845</w:t>
            </w:r>
          </w:p>
        </w:tc>
        <w:tc>
          <w:tcPr>
            <w:tcW w:w="801" w:type="dxa"/>
          </w:tcPr>
          <w:p w14:paraId="69B2FDD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11,015</w:t>
            </w:r>
          </w:p>
        </w:tc>
      </w:tr>
      <w:tr w:rsidR="009867E7" w14:paraId="161D8BEB" w14:textId="77777777" w:rsidTr="007C520D">
        <w:trPr>
          <w:trHeight w:val="496"/>
        </w:trPr>
        <w:tc>
          <w:tcPr>
            <w:cnfStyle w:val="001000000000" w:firstRow="0" w:lastRow="0" w:firstColumn="1" w:lastColumn="0" w:oddVBand="0" w:evenVBand="0" w:oddHBand="0" w:evenHBand="0" w:firstRowFirstColumn="0" w:firstRowLastColumn="0" w:lastRowFirstColumn="0" w:lastRowLastColumn="0"/>
            <w:tcW w:w="1385" w:type="dxa"/>
          </w:tcPr>
          <w:p w14:paraId="23D7A7BA" w14:textId="77777777" w:rsidR="009867E7" w:rsidRPr="00300C59" w:rsidRDefault="009867E7" w:rsidP="007C520D">
            <w:pPr>
              <w:keepNext/>
              <w:widowControl w:val="0"/>
              <w:spacing w:after="0" w:line="240" w:lineRule="auto"/>
              <w:rPr>
                <w:b w:val="0"/>
                <w:sz w:val="20"/>
                <w:szCs w:val="20"/>
              </w:rPr>
            </w:pPr>
            <w:r w:rsidRPr="00300C59">
              <w:rPr>
                <w:b w:val="0"/>
                <w:sz w:val="20"/>
                <w:szCs w:val="20"/>
              </w:rPr>
              <w:t>Total need by income</w:t>
            </w:r>
          </w:p>
        </w:tc>
        <w:tc>
          <w:tcPr>
            <w:cnfStyle w:val="000010000000" w:firstRow="0" w:lastRow="0" w:firstColumn="0" w:lastColumn="0" w:oddVBand="1" w:evenVBand="0" w:oddHBand="0" w:evenHBand="0" w:firstRowFirstColumn="0" w:firstRowLastColumn="0" w:lastRowFirstColumn="0" w:lastRowLastColumn="0"/>
            <w:tcW w:w="938" w:type="dxa"/>
          </w:tcPr>
          <w:p w14:paraId="234A3F9F" w14:textId="77777777" w:rsidR="009867E7" w:rsidRPr="00300C59" w:rsidRDefault="009867E7" w:rsidP="007C520D">
            <w:pPr>
              <w:keepNext/>
              <w:widowControl w:val="0"/>
              <w:spacing w:after="0" w:line="240" w:lineRule="auto"/>
              <w:rPr>
                <w:sz w:val="20"/>
                <w:szCs w:val="20"/>
              </w:rPr>
            </w:pPr>
            <w:r w:rsidRPr="00300C59">
              <w:rPr>
                <w:sz w:val="20"/>
                <w:szCs w:val="20"/>
              </w:rPr>
              <w:t>52,460</w:t>
            </w:r>
          </w:p>
        </w:tc>
        <w:tc>
          <w:tcPr>
            <w:tcW w:w="950" w:type="dxa"/>
          </w:tcPr>
          <w:p w14:paraId="72778150"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15,460</w:t>
            </w:r>
          </w:p>
        </w:tc>
        <w:tc>
          <w:tcPr>
            <w:cnfStyle w:val="000010000000" w:firstRow="0" w:lastRow="0" w:firstColumn="0" w:lastColumn="0" w:oddVBand="1" w:evenVBand="0" w:oddHBand="0" w:evenHBand="0" w:firstRowFirstColumn="0" w:firstRowLastColumn="0" w:lastRowFirstColumn="0" w:lastRowLastColumn="0"/>
            <w:tcW w:w="952" w:type="dxa"/>
          </w:tcPr>
          <w:p w14:paraId="6DA8CFFF" w14:textId="77777777" w:rsidR="009867E7" w:rsidRPr="00300C59" w:rsidRDefault="009867E7" w:rsidP="007C520D">
            <w:pPr>
              <w:keepNext/>
              <w:widowControl w:val="0"/>
              <w:spacing w:after="0" w:line="240" w:lineRule="auto"/>
              <w:rPr>
                <w:sz w:val="20"/>
                <w:szCs w:val="20"/>
              </w:rPr>
            </w:pPr>
            <w:r w:rsidRPr="00300C59">
              <w:rPr>
                <w:sz w:val="20"/>
                <w:szCs w:val="20"/>
              </w:rPr>
              <w:t>3,165</w:t>
            </w:r>
          </w:p>
        </w:tc>
        <w:tc>
          <w:tcPr>
            <w:tcW w:w="891" w:type="dxa"/>
            <w:tcBorders>
              <w:right w:val="double" w:sz="6" w:space="0" w:color="auto"/>
            </w:tcBorders>
          </w:tcPr>
          <w:p w14:paraId="0040663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71,085</w:t>
            </w:r>
          </w:p>
        </w:tc>
        <w:tc>
          <w:tcPr>
            <w:cnfStyle w:val="000010000000" w:firstRow="0" w:lastRow="0" w:firstColumn="0" w:lastColumn="0" w:oddVBand="1" w:evenVBand="0" w:oddHBand="0" w:evenHBand="0" w:firstRowFirstColumn="0" w:firstRowLastColumn="0" w:lastRowFirstColumn="0" w:lastRowLastColumn="0"/>
            <w:tcW w:w="950" w:type="dxa"/>
            <w:tcBorders>
              <w:left w:val="double" w:sz="6" w:space="0" w:color="auto"/>
            </w:tcBorders>
          </w:tcPr>
          <w:p w14:paraId="419F350F" w14:textId="77777777" w:rsidR="009867E7" w:rsidRPr="00300C59" w:rsidRDefault="009867E7" w:rsidP="007C520D">
            <w:pPr>
              <w:keepNext/>
              <w:widowControl w:val="0"/>
              <w:spacing w:after="0" w:line="240" w:lineRule="auto"/>
              <w:rPr>
                <w:sz w:val="20"/>
                <w:szCs w:val="20"/>
              </w:rPr>
            </w:pPr>
            <w:r w:rsidRPr="00300C59">
              <w:rPr>
                <w:sz w:val="20"/>
                <w:szCs w:val="20"/>
              </w:rPr>
              <w:t>23,450</w:t>
            </w:r>
          </w:p>
        </w:tc>
        <w:tc>
          <w:tcPr>
            <w:tcW w:w="949" w:type="dxa"/>
          </w:tcPr>
          <w:p w14:paraId="13C366C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13,780</w:t>
            </w:r>
          </w:p>
        </w:tc>
        <w:tc>
          <w:tcPr>
            <w:cnfStyle w:val="000010000000" w:firstRow="0" w:lastRow="0" w:firstColumn="0" w:lastColumn="0" w:oddVBand="1" w:evenVBand="0" w:oddHBand="0" w:evenHBand="0" w:firstRowFirstColumn="0" w:firstRowLastColumn="0" w:lastRowFirstColumn="0" w:lastRowLastColumn="0"/>
            <w:tcW w:w="990" w:type="dxa"/>
          </w:tcPr>
          <w:p w14:paraId="4A4BB358" w14:textId="77777777" w:rsidR="009867E7" w:rsidRPr="00300C59" w:rsidRDefault="009867E7" w:rsidP="007C520D">
            <w:pPr>
              <w:keepNext/>
              <w:widowControl w:val="0"/>
              <w:spacing w:after="0" w:line="240" w:lineRule="auto"/>
              <w:rPr>
                <w:sz w:val="20"/>
                <w:szCs w:val="20"/>
              </w:rPr>
            </w:pPr>
            <w:r w:rsidRPr="00300C59">
              <w:rPr>
                <w:sz w:val="20"/>
                <w:szCs w:val="20"/>
              </w:rPr>
              <w:t>9,110</w:t>
            </w:r>
          </w:p>
        </w:tc>
        <w:tc>
          <w:tcPr>
            <w:tcW w:w="801" w:type="dxa"/>
          </w:tcPr>
          <w:p w14:paraId="552C0DE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46,340</w:t>
            </w:r>
          </w:p>
        </w:tc>
      </w:tr>
    </w:tbl>
    <w:p w14:paraId="068D70AB" w14:textId="77777777" w:rsidR="009867E7" w:rsidRPr="000D1D10" w:rsidRDefault="009867E7" w:rsidP="009867E7">
      <w:pPr>
        <w:spacing w:after="0" w:line="240" w:lineRule="auto"/>
        <w:rPr>
          <w:i/>
          <w:vanish/>
          <w:sz w:val="18"/>
        </w:rPr>
      </w:pPr>
      <w:r>
        <w:rPr>
          <w:i/>
          <w:sz w:val="18"/>
        </w:rPr>
        <w:t>Source: 2009-2013 CHAS</w:t>
      </w:r>
    </w:p>
    <w:p w14:paraId="7B280FBB" w14:textId="77777777" w:rsidR="009867E7" w:rsidRDefault="009867E7" w:rsidP="009867E7">
      <w:pPr>
        <w:spacing w:after="0" w:line="240" w:lineRule="auto"/>
        <w:rPr>
          <w:b/>
          <w:bCs/>
          <w:vanish/>
          <w:sz w:val="16"/>
          <w:szCs w:val="16"/>
        </w:rPr>
      </w:pPr>
    </w:p>
    <w:p w14:paraId="4AF0814E" w14:textId="77777777" w:rsidR="009867E7" w:rsidRDefault="009867E7" w:rsidP="009867E7"/>
    <w:p w14:paraId="079D574B" w14:textId="77777777" w:rsidR="009867E7" w:rsidRDefault="009867E7" w:rsidP="009867E7">
      <w:pPr>
        <w:keepNext/>
        <w:widowControl w:val="0"/>
        <w:rPr>
          <w:sz w:val="24"/>
          <w:szCs w:val="24"/>
        </w:rPr>
      </w:pPr>
      <w:r>
        <w:rPr>
          <w:b/>
          <w:sz w:val="24"/>
          <w:szCs w:val="24"/>
        </w:rPr>
        <w:t>Table 7 – Crowding Information</w:t>
      </w:r>
      <w:r>
        <w:rPr>
          <w:bCs/>
          <w:sz w:val="24"/>
          <w:szCs w:val="24"/>
        </w:rPr>
        <w:t xml:space="preserve"> </w:t>
      </w:r>
    </w:p>
    <w:tbl>
      <w:tblPr>
        <w:tblStyle w:val="GridTable4-Accent1"/>
        <w:tblW w:w="5000" w:type="pct"/>
        <w:tblLook w:val="02A0" w:firstRow="1" w:lastRow="0" w:firstColumn="1" w:lastColumn="0" w:noHBand="1" w:noVBand="0"/>
      </w:tblPr>
      <w:tblGrid>
        <w:gridCol w:w="1511"/>
        <w:gridCol w:w="784"/>
        <w:gridCol w:w="784"/>
        <w:gridCol w:w="784"/>
        <w:gridCol w:w="785"/>
        <w:gridCol w:w="857"/>
        <w:gridCol w:w="682"/>
        <w:gridCol w:w="810"/>
        <w:gridCol w:w="784"/>
        <w:gridCol w:w="806"/>
        <w:gridCol w:w="763"/>
      </w:tblGrid>
      <w:tr w:rsidR="009867E7" w14:paraId="63464B35"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vMerge w:val="restart"/>
          </w:tcPr>
          <w:p w14:paraId="3A2A9670" w14:textId="77777777" w:rsidR="009867E7" w:rsidRPr="00300C59" w:rsidRDefault="009867E7" w:rsidP="007C520D">
            <w:pPr>
              <w:pStyle w:val="Caption"/>
              <w:keepNext/>
              <w:widowControl w:val="0"/>
              <w:jc w:val="cente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5289" w:type="dxa"/>
            <w:gridSpan w:val="5"/>
            <w:tcBorders>
              <w:bottom w:val="double" w:sz="6" w:space="0" w:color="auto"/>
              <w:right w:val="double" w:sz="6" w:space="0" w:color="auto"/>
            </w:tcBorders>
          </w:tcPr>
          <w:p w14:paraId="0EDA1763" w14:textId="77777777" w:rsidR="009867E7" w:rsidRPr="00300C59" w:rsidRDefault="009867E7" w:rsidP="007C520D">
            <w:pPr>
              <w:keepNext/>
              <w:widowControl w:val="0"/>
              <w:spacing w:after="0" w:line="240" w:lineRule="auto"/>
              <w:jc w:val="center"/>
              <w:rPr>
                <w:sz w:val="20"/>
                <w:szCs w:val="20"/>
              </w:rPr>
            </w:pPr>
            <w:r w:rsidRPr="00300C59">
              <w:rPr>
                <w:bCs w:val="0"/>
                <w:sz w:val="20"/>
                <w:szCs w:val="20"/>
              </w:rPr>
              <w:t>Renter</w:t>
            </w:r>
          </w:p>
        </w:tc>
        <w:tc>
          <w:tcPr>
            <w:tcW w:w="5279" w:type="dxa"/>
            <w:gridSpan w:val="5"/>
            <w:tcBorders>
              <w:left w:val="double" w:sz="6" w:space="0" w:color="auto"/>
              <w:bottom w:val="double" w:sz="6" w:space="0" w:color="auto"/>
            </w:tcBorders>
          </w:tcPr>
          <w:p w14:paraId="5FBFFC7E"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300C59">
              <w:rPr>
                <w:bCs w:val="0"/>
                <w:sz w:val="20"/>
                <w:szCs w:val="20"/>
              </w:rPr>
              <w:t>Owner</w:t>
            </w:r>
          </w:p>
        </w:tc>
      </w:tr>
      <w:tr w:rsidR="009867E7" w14:paraId="6E9AD8E5" w14:textId="77777777" w:rsidTr="007C520D">
        <w:tc>
          <w:tcPr>
            <w:cnfStyle w:val="001000000000" w:firstRow="0" w:lastRow="0" w:firstColumn="1" w:lastColumn="0" w:oddVBand="0" w:evenVBand="0" w:oddHBand="0" w:evenHBand="0" w:firstRowFirstColumn="0" w:firstRowLastColumn="0" w:lastRowFirstColumn="0" w:lastRowLastColumn="0"/>
            <w:tcW w:w="2382" w:type="dxa"/>
            <w:vMerge/>
          </w:tcPr>
          <w:p w14:paraId="1AC01D80" w14:textId="77777777" w:rsidR="009867E7" w:rsidRPr="00300C59" w:rsidRDefault="009867E7" w:rsidP="007C520D">
            <w:pPr>
              <w:pStyle w:val="Caption"/>
              <w:keepNext/>
              <w:widowControl w:val="0"/>
              <w:jc w:val="center"/>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057" w:type="dxa"/>
            <w:tcBorders>
              <w:top w:val="double" w:sz="6" w:space="0" w:color="auto"/>
            </w:tcBorders>
            <w:shd w:val="clear" w:color="auto" w:fill="4F81BD" w:themeFill="accent1"/>
          </w:tcPr>
          <w:p w14:paraId="57388AE5"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0-30% AMI</w:t>
            </w:r>
          </w:p>
        </w:tc>
        <w:tc>
          <w:tcPr>
            <w:tcW w:w="1056" w:type="dxa"/>
            <w:tcBorders>
              <w:top w:val="double" w:sz="6" w:space="0" w:color="auto"/>
            </w:tcBorders>
            <w:shd w:val="clear" w:color="auto" w:fill="4F81BD" w:themeFill="accent1"/>
          </w:tcPr>
          <w:p w14:paraId="2F355367"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&gt;30-50% AMI</w:t>
            </w:r>
          </w:p>
        </w:tc>
        <w:tc>
          <w:tcPr>
            <w:cnfStyle w:val="000010000000" w:firstRow="0" w:lastRow="0" w:firstColumn="0" w:lastColumn="0" w:oddVBand="1" w:evenVBand="0" w:oddHBand="0" w:evenHBand="0" w:firstRowFirstColumn="0" w:firstRowLastColumn="0" w:lastRowFirstColumn="0" w:lastRowLastColumn="0"/>
            <w:tcW w:w="1056" w:type="dxa"/>
            <w:tcBorders>
              <w:top w:val="double" w:sz="6" w:space="0" w:color="auto"/>
            </w:tcBorders>
            <w:shd w:val="clear" w:color="auto" w:fill="4F81BD" w:themeFill="accent1"/>
          </w:tcPr>
          <w:p w14:paraId="2BCD5296"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&gt;50-80% AMI</w:t>
            </w:r>
          </w:p>
        </w:tc>
        <w:tc>
          <w:tcPr>
            <w:tcW w:w="1058" w:type="dxa"/>
            <w:tcBorders>
              <w:top w:val="double" w:sz="6" w:space="0" w:color="auto"/>
            </w:tcBorders>
            <w:shd w:val="clear" w:color="auto" w:fill="4F81BD" w:themeFill="accent1"/>
          </w:tcPr>
          <w:p w14:paraId="7EE618DC"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&gt;80-100% AMI</w:t>
            </w:r>
          </w:p>
        </w:tc>
        <w:tc>
          <w:tcPr>
            <w:cnfStyle w:val="000010000000" w:firstRow="0" w:lastRow="0" w:firstColumn="0" w:lastColumn="0" w:oddVBand="1" w:evenVBand="0" w:oddHBand="0" w:evenHBand="0" w:firstRowFirstColumn="0" w:firstRowLastColumn="0" w:lastRowFirstColumn="0" w:lastRowLastColumn="0"/>
            <w:tcW w:w="1062" w:type="dxa"/>
            <w:tcBorders>
              <w:top w:val="double" w:sz="6" w:space="0" w:color="auto"/>
              <w:right w:val="double" w:sz="6" w:space="0" w:color="auto"/>
            </w:tcBorders>
            <w:shd w:val="clear" w:color="auto" w:fill="4F81BD" w:themeFill="accent1"/>
          </w:tcPr>
          <w:p w14:paraId="5C549DFD"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Total</w:t>
            </w:r>
          </w:p>
        </w:tc>
        <w:tc>
          <w:tcPr>
            <w:tcW w:w="964" w:type="dxa"/>
            <w:tcBorders>
              <w:top w:val="double" w:sz="6" w:space="0" w:color="auto"/>
              <w:left w:val="double" w:sz="6" w:space="0" w:color="auto"/>
            </w:tcBorders>
            <w:shd w:val="clear" w:color="auto" w:fill="4F81BD" w:themeFill="accent1"/>
          </w:tcPr>
          <w:p w14:paraId="353DECAB"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0-30% AMI</w:t>
            </w:r>
          </w:p>
        </w:tc>
        <w:tc>
          <w:tcPr>
            <w:cnfStyle w:val="000010000000" w:firstRow="0" w:lastRow="0" w:firstColumn="0" w:lastColumn="0" w:oddVBand="1" w:evenVBand="0" w:oddHBand="0" w:evenHBand="0" w:firstRowFirstColumn="0" w:firstRowLastColumn="0" w:lastRowFirstColumn="0" w:lastRowLastColumn="0"/>
            <w:tcW w:w="1144" w:type="dxa"/>
            <w:tcBorders>
              <w:top w:val="double" w:sz="6" w:space="0" w:color="auto"/>
            </w:tcBorders>
            <w:shd w:val="clear" w:color="auto" w:fill="4F81BD" w:themeFill="accent1"/>
          </w:tcPr>
          <w:p w14:paraId="23AD3C55"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&gt;30-50% AMI</w:t>
            </w:r>
          </w:p>
        </w:tc>
        <w:tc>
          <w:tcPr>
            <w:tcW w:w="1056" w:type="dxa"/>
            <w:tcBorders>
              <w:top w:val="double" w:sz="6" w:space="0" w:color="auto"/>
            </w:tcBorders>
            <w:shd w:val="clear" w:color="auto" w:fill="4F81BD" w:themeFill="accent1"/>
          </w:tcPr>
          <w:p w14:paraId="47F0450C"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&gt;50-80% AMI</w:t>
            </w:r>
          </w:p>
        </w:tc>
        <w:tc>
          <w:tcPr>
            <w:cnfStyle w:val="000010000000" w:firstRow="0" w:lastRow="0" w:firstColumn="0" w:lastColumn="0" w:oddVBand="1" w:evenVBand="0" w:oddHBand="0" w:evenHBand="0" w:firstRowFirstColumn="0" w:firstRowLastColumn="0" w:lastRowFirstColumn="0" w:lastRowLastColumn="0"/>
            <w:tcW w:w="1130" w:type="dxa"/>
            <w:tcBorders>
              <w:top w:val="double" w:sz="6" w:space="0" w:color="auto"/>
            </w:tcBorders>
            <w:shd w:val="clear" w:color="auto" w:fill="4F81BD" w:themeFill="accent1"/>
          </w:tcPr>
          <w:p w14:paraId="6795B1BA" w14:textId="77777777" w:rsidR="009867E7" w:rsidRPr="00300C59" w:rsidRDefault="009867E7" w:rsidP="007C520D">
            <w:pPr>
              <w:keepNext/>
              <w:widowControl w:val="0"/>
              <w:spacing w:after="0" w:line="240" w:lineRule="auto"/>
              <w:jc w:val="center"/>
              <w:rPr>
                <w:b/>
                <w:color w:val="FFFFFF" w:themeColor="background1"/>
                <w:sz w:val="20"/>
                <w:szCs w:val="20"/>
              </w:rPr>
            </w:pPr>
            <w:r w:rsidRPr="00300C59">
              <w:rPr>
                <w:b/>
                <w:color w:val="FFFFFF" w:themeColor="background1"/>
                <w:sz w:val="20"/>
                <w:szCs w:val="20"/>
              </w:rPr>
              <w:t>&gt;80-100% AMI</w:t>
            </w:r>
          </w:p>
        </w:tc>
        <w:tc>
          <w:tcPr>
            <w:tcW w:w="985" w:type="dxa"/>
            <w:tcBorders>
              <w:top w:val="double" w:sz="6" w:space="0" w:color="auto"/>
            </w:tcBorders>
            <w:shd w:val="clear" w:color="auto" w:fill="4F81BD" w:themeFill="accent1"/>
          </w:tcPr>
          <w:p w14:paraId="74D01AA3"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300C59">
              <w:rPr>
                <w:b/>
                <w:color w:val="FFFFFF" w:themeColor="background1"/>
                <w:sz w:val="20"/>
                <w:szCs w:val="20"/>
              </w:rPr>
              <w:t>Total</w:t>
            </w:r>
          </w:p>
        </w:tc>
      </w:tr>
      <w:tr w:rsidR="009867E7" w14:paraId="477C9937" w14:textId="77777777" w:rsidTr="007C520D">
        <w:tc>
          <w:tcPr>
            <w:cnfStyle w:val="001000000000" w:firstRow="0" w:lastRow="0" w:firstColumn="1" w:lastColumn="0" w:oddVBand="0" w:evenVBand="0" w:oddHBand="0" w:evenHBand="0" w:firstRowFirstColumn="0" w:firstRowLastColumn="0" w:lastRowFirstColumn="0" w:lastRowLastColumn="0"/>
            <w:tcW w:w="2382" w:type="dxa"/>
          </w:tcPr>
          <w:p w14:paraId="457FC8CB" w14:textId="77777777" w:rsidR="009867E7" w:rsidRPr="00300C59" w:rsidRDefault="009867E7" w:rsidP="007C520D">
            <w:pPr>
              <w:keepNext/>
              <w:widowControl w:val="0"/>
              <w:spacing w:after="0" w:line="240" w:lineRule="auto"/>
              <w:rPr>
                <w:b w:val="0"/>
                <w:sz w:val="20"/>
                <w:szCs w:val="20"/>
              </w:rPr>
            </w:pPr>
            <w:r w:rsidRPr="00300C59">
              <w:rPr>
                <w:b w:val="0"/>
                <w:sz w:val="20"/>
                <w:szCs w:val="20"/>
              </w:rPr>
              <w:t>Single family households</w:t>
            </w:r>
          </w:p>
        </w:tc>
        <w:tc>
          <w:tcPr>
            <w:cnfStyle w:val="000010000000" w:firstRow="0" w:lastRow="0" w:firstColumn="0" w:lastColumn="0" w:oddVBand="1" w:evenVBand="0" w:oddHBand="0" w:evenHBand="0" w:firstRowFirstColumn="0" w:firstRowLastColumn="0" w:lastRowFirstColumn="0" w:lastRowLastColumn="0"/>
            <w:tcW w:w="1057" w:type="dxa"/>
          </w:tcPr>
          <w:p w14:paraId="5246FA79" w14:textId="77777777" w:rsidR="009867E7" w:rsidRPr="00300C59" w:rsidRDefault="009867E7" w:rsidP="007C520D">
            <w:pPr>
              <w:keepNext/>
              <w:widowControl w:val="0"/>
              <w:spacing w:after="0" w:line="240" w:lineRule="auto"/>
              <w:rPr>
                <w:sz w:val="20"/>
                <w:szCs w:val="20"/>
              </w:rPr>
            </w:pPr>
            <w:r w:rsidRPr="00300C59">
              <w:rPr>
                <w:sz w:val="20"/>
                <w:szCs w:val="20"/>
              </w:rPr>
              <w:t>3,105</w:t>
            </w:r>
          </w:p>
        </w:tc>
        <w:tc>
          <w:tcPr>
            <w:tcW w:w="1056" w:type="dxa"/>
          </w:tcPr>
          <w:p w14:paraId="0803CEE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2,540</w:t>
            </w:r>
          </w:p>
        </w:tc>
        <w:tc>
          <w:tcPr>
            <w:cnfStyle w:val="000010000000" w:firstRow="0" w:lastRow="0" w:firstColumn="0" w:lastColumn="0" w:oddVBand="1" w:evenVBand="0" w:oddHBand="0" w:evenHBand="0" w:firstRowFirstColumn="0" w:firstRowLastColumn="0" w:lastRowFirstColumn="0" w:lastRowLastColumn="0"/>
            <w:tcW w:w="1056" w:type="dxa"/>
          </w:tcPr>
          <w:p w14:paraId="1525FAD8" w14:textId="77777777" w:rsidR="009867E7" w:rsidRPr="00300C59" w:rsidRDefault="009867E7" w:rsidP="007C520D">
            <w:pPr>
              <w:keepNext/>
              <w:widowControl w:val="0"/>
              <w:spacing w:after="0" w:line="240" w:lineRule="auto"/>
              <w:rPr>
                <w:sz w:val="20"/>
                <w:szCs w:val="20"/>
              </w:rPr>
            </w:pPr>
            <w:r w:rsidRPr="00300C59">
              <w:rPr>
                <w:sz w:val="20"/>
                <w:szCs w:val="20"/>
              </w:rPr>
              <w:t>2,595</w:t>
            </w:r>
          </w:p>
        </w:tc>
        <w:tc>
          <w:tcPr>
            <w:tcW w:w="1058" w:type="dxa"/>
          </w:tcPr>
          <w:p w14:paraId="6D14F26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1,150</w:t>
            </w:r>
          </w:p>
        </w:tc>
        <w:tc>
          <w:tcPr>
            <w:cnfStyle w:val="000010000000" w:firstRow="0" w:lastRow="0" w:firstColumn="0" w:lastColumn="0" w:oddVBand="1" w:evenVBand="0" w:oddHBand="0" w:evenHBand="0" w:firstRowFirstColumn="0" w:firstRowLastColumn="0" w:lastRowFirstColumn="0" w:lastRowLastColumn="0"/>
            <w:tcW w:w="1062" w:type="dxa"/>
            <w:tcBorders>
              <w:right w:val="double" w:sz="6" w:space="0" w:color="auto"/>
            </w:tcBorders>
          </w:tcPr>
          <w:p w14:paraId="57A453A0" w14:textId="77777777" w:rsidR="009867E7" w:rsidRPr="00300C59" w:rsidRDefault="009867E7" w:rsidP="007C520D">
            <w:pPr>
              <w:keepNext/>
              <w:widowControl w:val="0"/>
              <w:spacing w:after="0" w:line="240" w:lineRule="auto"/>
              <w:rPr>
                <w:sz w:val="20"/>
                <w:szCs w:val="20"/>
              </w:rPr>
            </w:pPr>
            <w:r w:rsidRPr="00300C59">
              <w:rPr>
                <w:sz w:val="20"/>
                <w:szCs w:val="20"/>
              </w:rPr>
              <w:t>9,390</w:t>
            </w:r>
          </w:p>
        </w:tc>
        <w:tc>
          <w:tcPr>
            <w:tcW w:w="964" w:type="dxa"/>
            <w:tcBorders>
              <w:left w:val="double" w:sz="6" w:space="0" w:color="auto"/>
            </w:tcBorders>
          </w:tcPr>
          <w:p w14:paraId="562904DB"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690</w:t>
            </w:r>
          </w:p>
        </w:tc>
        <w:tc>
          <w:tcPr>
            <w:cnfStyle w:val="000010000000" w:firstRow="0" w:lastRow="0" w:firstColumn="0" w:lastColumn="0" w:oddVBand="1" w:evenVBand="0" w:oddHBand="0" w:evenHBand="0" w:firstRowFirstColumn="0" w:firstRowLastColumn="0" w:lastRowFirstColumn="0" w:lastRowLastColumn="0"/>
            <w:tcW w:w="1144" w:type="dxa"/>
          </w:tcPr>
          <w:p w14:paraId="7EAC1654" w14:textId="77777777" w:rsidR="009867E7" w:rsidRPr="00300C59" w:rsidRDefault="009867E7" w:rsidP="007C520D">
            <w:pPr>
              <w:keepNext/>
              <w:widowControl w:val="0"/>
              <w:spacing w:after="0" w:line="240" w:lineRule="auto"/>
              <w:rPr>
                <w:sz w:val="20"/>
                <w:szCs w:val="20"/>
              </w:rPr>
            </w:pPr>
            <w:r w:rsidRPr="00300C59">
              <w:rPr>
                <w:sz w:val="20"/>
                <w:szCs w:val="20"/>
              </w:rPr>
              <w:t>1,295</w:t>
            </w:r>
          </w:p>
        </w:tc>
        <w:tc>
          <w:tcPr>
            <w:tcW w:w="1056" w:type="dxa"/>
          </w:tcPr>
          <w:p w14:paraId="2AE18D60"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2,070</w:t>
            </w:r>
          </w:p>
        </w:tc>
        <w:tc>
          <w:tcPr>
            <w:cnfStyle w:val="000010000000" w:firstRow="0" w:lastRow="0" w:firstColumn="0" w:lastColumn="0" w:oddVBand="1" w:evenVBand="0" w:oddHBand="0" w:evenHBand="0" w:firstRowFirstColumn="0" w:firstRowLastColumn="0" w:lastRowFirstColumn="0" w:lastRowLastColumn="0"/>
            <w:tcW w:w="1130" w:type="dxa"/>
          </w:tcPr>
          <w:p w14:paraId="29F97544" w14:textId="77777777" w:rsidR="009867E7" w:rsidRPr="00300C59" w:rsidRDefault="009867E7" w:rsidP="007C520D">
            <w:pPr>
              <w:keepNext/>
              <w:widowControl w:val="0"/>
              <w:spacing w:after="0" w:line="240" w:lineRule="auto"/>
              <w:rPr>
                <w:sz w:val="20"/>
                <w:szCs w:val="20"/>
              </w:rPr>
            </w:pPr>
            <w:r w:rsidRPr="00300C59">
              <w:rPr>
                <w:sz w:val="20"/>
                <w:szCs w:val="20"/>
              </w:rPr>
              <w:t>955</w:t>
            </w:r>
          </w:p>
        </w:tc>
        <w:tc>
          <w:tcPr>
            <w:tcW w:w="985" w:type="dxa"/>
          </w:tcPr>
          <w:p w14:paraId="62147FE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5,010</w:t>
            </w:r>
          </w:p>
        </w:tc>
      </w:tr>
      <w:tr w:rsidR="009867E7" w14:paraId="01864003" w14:textId="77777777" w:rsidTr="007C520D">
        <w:tc>
          <w:tcPr>
            <w:cnfStyle w:val="001000000000" w:firstRow="0" w:lastRow="0" w:firstColumn="1" w:lastColumn="0" w:oddVBand="0" w:evenVBand="0" w:oddHBand="0" w:evenHBand="0" w:firstRowFirstColumn="0" w:firstRowLastColumn="0" w:lastRowFirstColumn="0" w:lastRowLastColumn="0"/>
            <w:tcW w:w="2382" w:type="dxa"/>
          </w:tcPr>
          <w:p w14:paraId="120E9EF6" w14:textId="77777777" w:rsidR="009867E7" w:rsidRPr="00300C59" w:rsidRDefault="009867E7" w:rsidP="007C520D">
            <w:pPr>
              <w:keepNext/>
              <w:widowControl w:val="0"/>
              <w:spacing w:after="0" w:line="240" w:lineRule="auto"/>
              <w:rPr>
                <w:b w:val="0"/>
                <w:sz w:val="20"/>
                <w:szCs w:val="20"/>
              </w:rPr>
            </w:pPr>
            <w:r w:rsidRPr="00300C59">
              <w:rPr>
                <w:b w:val="0"/>
                <w:sz w:val="20"/>
                <w:szCs w:val="20"/>
              </w:rPr>
              <w:t>Multiple, unrelated family households</w:t>
            </w:r>
          </w:p>
        </w:tc>
        <w:tc>
          <w:tcPr>
            <w:cnfStyle w:val="000010000000" w:firstRow="0" w:lastRow="0" w:firstColumn="0" w:lastColumn="0" w:oddVBand="1" w:evenVBand="0" w:oddHBand="0" w:evenHBand="0" w:firstRowFirstColumn="0" w:firstRowLastColumn="0" w:lastRowFirstColumn="0" w:lastRowLastColumn="0"/>
            <w:tcW w:w="1057" w:type="dxa"/>
          </w:tcPr>
          <w:p w14:paraId="55F4FDE3" w14:textId="77777777" w:rsidR="009867E7" w:rsidRPr="00300C59" w:rsidRDefault="009867E7" w:rsidP="007C520D">
            <w:pPr>
              <w:keepNext/>
              <w:widowControl w:val="0"/>
              <w:spacing w:after="0" w:line="240" w:lineRule="auto"/>
              <w:rPr>
                <w:sz w:val="20"/>
                <w:szCs w:val="20"/>
              </w:rPr>
            </w:pPr>
            <w:r w:rsidRPr="00300C59">
              <w:rPr>
                <w:sz w:val="20"/>
                <w:szCs w:val="20"/>
              </w:rPr>
              <w:t>140</w:t>
            </w:r>
          </w:p>
        </w:tc>
        <w:tc>
          <w:tcPr>
            <w:tcW w:w="1056" w:type="dxa"/>
          </w:tcPr>
          <w:p w14:paraId="32BCC1F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450</w:t>
            </w:r>
          </w:p>
        </w:tc>
        <w:tc>
          <w:tcPr>
            <w:cnfStyle w:val="000010000000" w:firstRow="0" w:lastRow="0" w:firstColumn="0" w:lastColumn="0" w:oddVBand="1" w:evenVBand="0" w:oddHBand="0" w:evenHBand="0" w:firstRowFirstColumn="0" w:firstRowLastColumn="0" w:lastRowFirstColumn="0" w:lastRowLastColumn="0"/>
            <w:tcW w:w="1056" w:type="dxa"/>
          </w:tcPr>
          <w:p w14:paraId="0E6AB631" w14:textId="77777777" w:rsidR="009867E7" w:rsidRPr="00300C59" w:rsidRDefault="009867E7" w:rsidP="007C520D">
            <w:pPr>
              <w:keepNext/>
              <w:widowControl w:val="0"/>
              <w:spacing w:after="0" w:line="240" w:lineRule="auto"/>
              <w:rPr>
                <w:sz w:val="20"/>
                <w:szCs w:val="20"/>
              </w:rPr>
            </w:pPr>
            <w:r w:rsidRPr="00300C59">
              <w:rPr>
                <w:sz w:val="20"/>
                <w:szCs w:val="20"/>
              </w:rPr>
              <w:t>260</w:t>
            </w:r>
          </w:p>
        </w:tc>
        <w:tc>
          <w:tcPr>
            <w:tcW w:w="1058" w:type="dxa"/>
          </w:tcPr>
          <w:p w14:paraId="2EDC40E1"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170</w:t>
            </w:r>
          </w:p>
        </w:tc>
        <w:tc>
          <w:tcPr>
            <w:cnfStyle w:val="000010000000" w:firstRow="0" w:lastRow="0" w:firstColumn="0" w:lastColumn="0" w:oddVBand="1" w:evenVBand="0" w:oddHBand="0" w:evenHBand="0" w:firstRowFirstColumn="0" w:firstRowLastColumn="0" w:lastRowFirstColumn="0" w:lastRowLastColumn="0"/>
            <w:tcW w:w="1062" w:type="dxa"/>
            <w:tcBorders>
              <w:right w:val="double" w:sz="6" w:space="0" w:color="auto"/>
            </w:tcBorders>
          </w:tcPr>
          <w:p w14:paraId="52B1D1BA" w14:textId="77777777" w:rsidR="009867E7" w:rsidRPr="00300C59" w:rsidRDefault="009867E7" w:rsidP="007C520D">
            <w:pPr>
              <w:keepNext/>
              <w:widowControl w:val="0"/>
              <w:spacing w:after="0" w:line="240" w:lineRule="auto"/>
              <w:rPr>
                <w:sz w:val="20"/>
                <w:szCs w:val="20"/>
              </w:rPr>
            </w:pPr>
            <w:r w:rsidRPr="00300C59">
              <w:rPr>
                <w:sz w:val="20"/>
                <w:szCs w:val="20"/>
              </w:rPr>
              <w:t>1,020</w:t>
            </w:r>
          </w:p>
        </w:tc>
        <w:tc>
          <w:tcPr>
            <w:tcW w:w="964" w:type="dxa"/>
            <w:tcBorders>
              <w:left w:val="double" w:sz="6" w:space="0" w:color="auto"/>
            </w:tcBorders>
          </w:tcPr>
          <w:p w14:paraId="0AC7AC2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135</w:t>
            </w:r>
          </w:p>
        </w:tc>
        <w:tc>
          <w:tcPr>
            <w:cnfStyle w:val="000010000000" w:firstRow="0" w:lastRow="0" w:firstColumn="0" w:lastColumn="0" w:oddVBand="1" w:evenVBand="0" w:oddHBand="0" w:evenHBand="0" w:firstRowFirstColumn="0" w:firstRowLastColumn="0" w:lastRowFirstColumn="0" w:lastRowLastColumn="0"/>
            <w:tcW w:w="1144" w:type="dxa"/>
          </w:tcPr>
          <w:p w14:paraId="292531DC" w14:textId="77777777" w:rsidR="009867E7" w:rsidRPr="00300C59" w:rsidRDefault="009867E7" w:rsidP="007C520D">
            <w:pPr>
              <w:keepNext/>
              <w:widowControl w:val="0"/>
              <w:spacing w:after="0" w:line="240" w:lineRule="auto"/>
              <w:rPr>
                <w:sz w:val="20"/>
                <w:szCs w:val="20"/>
              </w:rPr>
            </w:pPr>
            <w:r w:rsidRPr="00300C59">
              <w:rPr>
                <w:sz w:val="20"/>
                <w:szCs w:val="20"/>
              </w:rPr>
              <w:t>350</w:t>
            </w:r>
          </w:p>
        </w:tc>
        <w:tc>
          <w:tcPr>
            <w:tcW w:w="1056" w:type="dxa"/>
          </w:tcPr>
          <w:p w14:paraId="12F693E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605</w:t>
            </w:r>
          </w:p>
        </w:tc>
        <w:tc>
          <w:tcPr>
            <w:cnfStyle w:val="000010000000" w:firstRow="0" w:lastRow="0" w:firstColumn="0" w:lastColumn="0" w:oddVBand="1" w:evenVBand="0" w:oddHBand="0" w:evenHBand="0" w:firstRowFirstColumn="0" w:firstRowLastColumn="0" w:lastRowFirstColumn="0" w:lastRowLastColumn="0"/>
            <w:tcW w:w="1130" w:type="dxa"/>
          </w:tcPr>
          <w:p w14:paraId="1894A344" w14:textId="77777777" w:rsidR="009867E7" w:rsidRPr="00300C59" w:rsidRDefault="009867E7" w:rsidP="007C520D">
            <w:pPr>
              <w:keepNext/>
              <w:widowControl w:val="0"/>
              <w:spacing w:after="0" w:line="240" w:lineRule="auto"/>
              <w:rPr>
                <w:sz w:val="20"/>
                <w:szCs w:val="20"/>
              </w:rPr>
            </w:pPr>
            <w:r w:rsidRPr="00300C59">
              <w:rPr>
                <w:sz w:val="20"/>
                <w:szCs w:val="20"/>
              </w:rPr>
              <w:t>340</w:t>
            </w:r>
          </w:p>
        </w:tc>
        <w:tc>
          <w:tcPr>
            <w:tcW w:w="985" w:type="dxa"/>
          </w:tcPr>
          <w:p w14:paraId="194830D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1,430</w:t>
            </w:r>
          </w:p>
        </w:tc>
      </w:tr>
      <w:tr w:rsidR="009867E7" w14:paraId="1215C130" w14:textId="77777777" w:rsidTr="007C520D">
        <w:tc>
          <w:tcPr>
            <w:cnfStyle w:val="001000000000" w:firstRow="0" w:lastRow="0" w:firstColumn="1" w:lastColumn="0" w:oddVBand="0" w:evenVBand="0" w:oddHBand="0" w:evenHBand="0" w:firstRowFirstColumn="0" w:firstRowLastColumn="0" w:lastRowFirstColumn="0" w:lastRowLastColumn="0"/>
            <w:tcW w:w="2382" w:type="dxa"/>
          </w:tcPr>
          <w:p w14:paraId="16526465" w14:textId="77777777" w:rsidR="009867E7" w:rsidRPr="00300C59" w:rsidRDefault="009867E7" w:rsidP="007C520D">
            <w:pPr>
              <w:keepNext/>
              <w:widowControl w:val="0"/>
              <w:spacing w:after="0" w:line="240" w:lineRule="auto"/>
              <w:rPr>
                <w:b w:val="0"/>
                <w:sz w:val="20"/>
                <w:szCs w:val="20"/>
              </w:rPr>
            </w:pPr>
            <w:r w:rsidRPr="00300C59">
              <w:rPr>
                <w:b w:val="0"/>
                <w:sz w:val="20"/>
                <w:szCs w:val="20"/>
              </w:rPr>
              <w:t>Other, non-family households</w:t>
            </w:r>
          </w:p>
        </w:tc>
        <w:tc>
          <w:tcPr>
            <w:cnfStyle w:val="000010000000" w:firstRow="0" w:lastRow="0" w:firstColumn="0" w:lastColumn="0" w:oddVBand="1" w:evenVBand="0" w:oddHBand="0" w:evenHBand="0" w:firstRowFirstColumn="0" w:firstRowLastColumn="0" w:lastRowFirstColumn="0" w:lastRowLastColumn="0"/>
            <w:tcW w:w="1057" w:type="dxa"/>
          </w:tcPr>
          <w:p w14:paraId="71E23E19" w14:textId="77777777" w:rsidR="009867E7" w:rsidRPr="00300C59" w:rsidRDefault="009867E7" w:rsidP="007C520D">
            <w:pPr>
              <w:keepNext/>
              <w:widowControl w:val="0"/>
              <w:spacing w:after="0" w:line="240" w:lineRule="auto"/>
              <w:rPr>
                <w:sz w:val="20"/>
                <w:szCs w:val="20"/>
              </w:rPr>
            </w:pPr>
            <w:r w:rsidRPr="00300C59">
              <w:rPr>
                <w:sz w:val="20"/>
                <w:szCs w:val="20"/>
              </w:rPr>
              <w:t>790</w:t>
            </w:r>
          </w:p>
        </w:tc>
        <w:tc>
          <w:tcPr>
            <w:tcW w:w="1056" w:type="dxa"/>
          </w:tcPr>
          <w:p w14:paraId="0F752E6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285</w:t>
            </w:r>
          </w:p>
        </w:tc>
        <w:tc>
          <w:tcPr>
            <w:cnfStyle w:val="000010000000" w:firstRow="0" w:lastRow="0" w:firstColumn="0" w:lastColumn="0" w:oddVBand="1" w:evenVBand="0" w:oddHBand="0" w:evenHBand="0" w:firstRowFirstColumn="0" w:firstRowLastColumn="0" w:lastRowFirstColumn="0" w:lastRowLastColumn="0"/>
            <w:tcW w:w="1056" w:type="dxa"/>
          </w:tcPr>
          <w:p w14:paraId="1D81AABE" w14:textId="77777777" w:rsidR="009867E7" w:rsidRPr="00300C59" w:rsidRDefault="009867E7" w:rsidP="007C520D">
            <w:pPr>
              <w:keepNext/>
              <w:widowControl w:val="0"/>
              <w:spacing w:after="0" w:line="240" w:lineRule="auto"/>
              <w:rPr>
                <w:sz w:val="20"/>
                <w:szCs w:val="20"/>
              </w:rPr>
            </w:pPr>
            <w:r w:rsidRPr="00300C59">
              <w:rPr>
                <w:sz w:val="20"/>
                <w:szCs w:val="20"/>
              </w:rPr>
              <w:t>535</w:t>
            </w:r>
          </w:p>
        </w:tc>
        <w:tc>
          <w:tcPr>
            <w:tcW w:w="1058" w:type="dxa"/>
          </w:tcPr>
          <w:p w14:paraId="127FEA8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185</w:t>
            </w:r>
          </w:p>
        </w:tc>
        <w:tc>
          <w:tcPr>
            <w:cnfStyle w:val="000010000000" w:firstRow="0" w:lastRow="0" w:firstColumn="0" w:lastColumn="0" w:oddVBand="1" w:evenVBand="0" w:oddHBand="0" w:evenHBand="0" w:firstRowFirstColumn="0" w:firstRowLastColumn="0" w:lastRowFirstColumn="0" w:lastRowLastColumn="0"/>
            <w:tcW w:w="1062" w:type="dxa"/>
            <w:tcBorders>
              <w:right w:val="double" w:sz="6" w:space="0" w:color="auto"/>
            </w:tcBorders>
          </w:tcPr>
          <w:p w14:paraId="50551D07" w14:textId="77777777" w:rsidR="009867E7" w:rsidRPr="00300C59" w:rsidRDefault="009867E7" w:rsidP="007C520D">
            <w:pPr>
              <w:keepNext/>
              <w:widowControl w:val="0"/>
              <w:spacing w:after="0" w:line="240" w:lineRule="auto"/>
              <w:rPr>
                <w:sz w:val="20"/>
                <w:szCs w:val="20"/>
              </w:rPr>
            </w:pPr>
            <w:r w:rsidRPr="00300C59">
              <w:rPr>
                <w:sz w:val="20"/>
                <w:szCs w:val="20"/>
              </w:rPr>
              <w:t>1,795</w:t>
            </w:r>
          </w:p>
        </w:tc>
        <w:tc>
          <w:tcPr>
            <w:tcW w:w="964" w:type="dxa"/>
            <w:tcBorders>
              <w:left w:val="double" w:sz="6" w:space="0" w:color="auto"/>
            </w:tcBorders>
          </w:tcPr>
          <w:p w14:paraId="6C47632B"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25</w:t>
            </w:r>
          </w:p>
        </w:tc>
        <w:tc>
          <w:tcPr>
            <w:cnfStyle w:val="000010000000" w:firstRow="0" w:lastRow="0" w:firstColumn="0" w:lastColumn="0" w:oddVBand="1" w:evenVBand="0" w:oddHBand="0" w:evenHBand="0" w:firstRowFirstColumn="0" w:firstRowLastColumn="0" w:lastRowFirstColumn="0" w:lastRowLastColumn="0"/>
            <w:tcW w:w="1144" w:type="dxa"/>
          </w:tcPr>
          <w:p w14:paraId="09B4495B" w14:textId="77777777" w:rsidR="009867E7" w:rsidRPr="00300C59" w:rsidRDefault="009867E7" w:rsidP="007C520D">
            <w:pPr>
              <w:keepNext/>
              <w:widowControl w:val="0"/>
              <w:spacing w:after="0" w:line="240" w:lineRule="auto"/>
              <w:rPr>
                <w:sz w:val="20"/>
                <w:szCs w:val="20"/>
              </w:rPr>
            </w:pPr>
            <w:r w:rsidRPr="00300C59">
              <w:rPr>
                <w:sz w:val="20"/>
                <w:szCs w:val="20"/>
              </w:rPr>
              <w:t>40</w:t>
            </w:r>
          </w:p>
        </w:tc>
        <w:tc>
          <w:tcPr>
            <w:tcW w:w="1056" w:type="dxa"/>
          </w:tcPr>
          <w:p w14:paraId="646EEEB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0</w:t>
            </w:r>
          </w:p>
        </w:tc>
        <w:tc>
          <w:tcPr>
            <w:cnfStyle w:val="000010000000" w:firstRow="0" w:lastRow="0" w:firstColumn="0" w:lastColumn="0" w:oddVBand="1" w:evenVBand="0" w:oddHBand="0" w:evenHBand="0" w:firstRowFirstColumn="0" w:firstRowLastColumn="0" w:lastRowFirstColumn="0" w:lastRowLastColumn="0"/>
            <w:tcW w:w="1130" w:type="dxa"/>
          </w:tcPr>
          <w:p w14:paraId="0EC8C756" w14:textId="77777777" w:rsidR="009867E7" w:rsidRPr="00300C59" w:rsidRDefault="009867E7" w:rsidP="007C520D">
            <w:pPr>
              <w:keepNext/>
              <w:widowControl w:val="0"/>
              <w:spacing w:after="0" w:line="240" w:lineRule="auto"/>
              <w:rPr>
                <w:sz w:val="20"/>
                <w:szCs w:val="20"/>
              </w:rPr>
            </w:pPr>
            <w:r w:rsidRPr="00300C59">
              <w:rPr>
                <w:sz w:val="20"/>
                <w:szCs w:val="20"/>
              </w:rPr>
              <w:t>0</w:t>
            </w:r>
          </w:p>
        </w:tc>
        <w:tc>
          <w:tcPr>
            <w:tcW w:w="985" w:type="dxa"/>
          </w:tcPr>
          <w:p w14:paraId="4793F47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65</w:t>
            </w:r>
          </w:p>
        </w:tc>
      </w:tr>
      <w:tr w:rsidR="009867E7" w14:paraId="1EF82910" w14:textId="77777777" w:rsidTr="007C520D">
        <w:tc>
          <w:tcPr>
            <w:cnfStyle w:val="001000000000" w:firstRow="0" w:lastRow="0" w:firstColumn="1" w:lastColumn="0" w:oddVBand="0" w:evenVBand="0" w:oddHBand="0" w:evenHBand="0" w:firstRowFirstColumn="0" w:firstRowLastColumn="0" w:lastRowFirstColumn="0" w:lastRowLastColumn="0"/>
            <w:tcW w:w="2382" w:type="dxa"/>
          </w:tcPr>
          <w:p w14:paraId="67A10702" w14:textId="77777777" w:rsidR="009867E7" w:rsidRPr="00300C59" w:rsidRDefault="009867E7" w:rsidP="007C520D">
            <w:pPr>
              <w:keepNext/>
              <w:widowControl w:val="0"/>
              <w:spacing w:after="0" w:line="240" w:lineRule="auto"/>
              <w:rPr>
                <w:b w:val="0"/>
                <w:sz w:val="20"/>
                <w:szCs w:val="20"/>
              </w:rPr>
            </w:pPr>
            <w:r w:rsidRPr="00300C59">
              <w:rPr>
                <w:b w:val="0"/>
                <w:sz w:val="20"/>
                <w:szCs w:val="20"/>
              </w:rPr>
              <w:t>Total need by income</w:t>
            </w:r>
          </w:p>
        </w:tc>
        <w:tc>
          <w:tcPr>
            <w:cnfStyle w:val="000010000000" w:firstRow="0" w:lastRow="0" w:firstColumn="0" w:lastColumn="0" w:oddVBand="1" w:evenVBand="0" w:oddHBand="0" w:evenHBand="0" w:firstRowFirstColumn="0" w:firstRowLastColumn="0" w:lastRowFirstColumn="0" w:lastRowLastColumn="0"/>
            <w:tcW w:w="1057" w:type="dxa"/>
          </w:tcPr>
          <w:p w14:paraId="2796B6E3" w14:textId="77777777" w:rsidR="009867E7" w:rsidRPr="00300C59" w:rsidRDefault="009867E7" w:rsidP="007C520D">
            <w:pPr>
              <w:keepNext/>
              <w:widowControl w:val="0"/>
              <w:spacing w:after="0" w:line="240" w:lineRule="auto"/>
              <w:rPr>
                <w:sz w:val="20"/>
                <w:szCs w:val="20"/>
              </w:rPr>
            </w:pPr>
            <w:r w:rsidRPr="00300C59">
              <w:rPr>
                <w:sz w:val="20"/>
                <w:szCs w:val="20"/>
              </w:rPr>
              <w:t>4,035</w:t>
            </w:r>
          </w:p>
        </w:tc>
        <w:tc>
          <w:tcPr>
            <w:tcW w:w="1056" w:type="dxa"/>
          </w:tcPr>
          <w:p w14:paraId="5BF2F02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3,275</w:t>
            </w:r>
          </w:p>
        </w:tc>
        <w:tc>
          <w:tcPr>
            <w:cnfStyle w:val="000010000000" w:firstRow="0" w:lastRow="0" w:firstColumn="0" w:lastColumn="0" w:oddVBand="1" w:evenVBand="0" w:oddHBand="0" w:evenHBand="0" w:firstRowFirstColumn="0" w:firstRowLastColumn="0" w:lastRowFirstColumn="0" w:lastRowLastColumn="0"/>
            <w:tcW w:w="1056" w:type="dxa"/>
          </w:tcPr>
          <w:p w14:paraId="11F462F6" w14:textId="77777777" w:rsidR="009867E7" w:rsidRPr="00300C59" w:rsidRDefault="009867E7" w:rsidP="007C520D">
            <w:pPr>
              <w:keepNext/>
              <w:widowControl w:val="0"/>
              <w:spacing w:after="0" w:line="240" w:lineRule="auto"/>
              <w:rPr>
                <w:sz w:val="20"/>
                <w:szCs w:val="20"/>
              </w:rPr>
            </w:pPr>
            <w:r w:rsidRPr="00300C59">
              <w:rPr>
                <w:sz w:val="20"/>
                <w:szCs w:val="20"/>
              </w:rPr>
              <w:t>3,390</w:t>
            </w:r>
          </w:p>
        </w:tc>
        <w:tc>
          <w:tcPr>
            <w:tcW w:w="1058" w:type="dxa"/>
          </w:tcPr>
          <w:p w14:paraId="678539D4"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1,505</w:t>
            </w:r>
          </w:p>
        </w:tc>
        <w:tc>
          <w:tcPr>
            <w:cnfStyle w:val="000010000000" w:firstRow="0" w:lastRow="0" w:firstColumn="0" w:lastColumn="0" w:oddVBand="1" w:evenVBand="0" w:oddHBand="0" w:evenHBand="0" w:firstRowFirstColumn="0" w:firstRowLastColumn="0" w:lastRowFirstColumn="0" w:lastRowLastColumn="0"/>
            <w:tcW w:w="1062" w:type="dxa"/>
            <w:tcBorders>
              <w:right w:val="double" w:sz="6" w:space="0" w:color="auto"/>
            </w:tcBorders>
          </w:tcPr>
          <w:p w14:paraId="7D085846" w14:textId="77777777" w:rsidR="009867E7" w:rsidRPr="00300C59" w:rsidRDefault="009867E7" w:rsidP="007C520D">
            <w:pPr>
              <w:keepNext/>
              <w:widowControl w:val="0"/>
              <w:spacing w:after="0" w:line="240" w:lineRule="auto"/>
              <w:rPr>
                <w:sz w:val="20"/>
                <w:szCs w:val="20"/>
              </w:rPr>
            </w:pPr>
            <w:r w:rsidRPr="00300C59">
              <w:rPr>
                <w:sz w:val="20"/>
                <w:szCs w:val="20"/>
              </w:rPr>
              <w:t>12,205</w:t>
            </w:r>
          </w:p>
        </w:tc>
        <w:tc>
          <w:tcPr>
            <w:tcW w:w="964" w:type="dxa"/>
            <w:tcBorders>
              <w:left w:val="double" w:sz="6" w:space="0" w:color="auto"/>
            </w:tcBorders>
          </w:tcPr>
          <w:p w14:paraId="442F629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850</w:t>
            </w:r>
          </w:p>
        </w:tc>
        <w:tc>
          <w:tcPr>
            <w:cnfStyle w:val="000010000000" w:firstRow="0" w:lastRow="0" w:firstColumn="0" w:lastColumn="0" w:oddVBand="1" w:evenVBand="0" w:oddHBand="0" w:evenHBand="0" w:firstRowFirstColumn="0" w:firstRowLastColumn="0" w:lastRowFirstColumn="0" w:lastRowLastColumn="0"/>
            <w:tcW w:w="1144" w:type="dxa"/>
          </w:tcPr>
          <w:p w14:paraId="68E67A72" w14:textId="77777777" w:rsidR="009867E7" w:rsidRPr="00300C59" w:rsidRDefault="009867E7" w:rsidP="007C520D">
            <w:pPr>
              <w:keepNext/>
              <w:widowControl w:val="0"/>
              <w:spacing w:after="0" w:line="240" w:lineRule="auto"/>
              <w:rPr>
                <w:sz w:val="20"/>
                <w:szCs w:val="20"/>
              </w:rPr>
            </w:pPr>
            <w:r w:rsidRPr="00300C59">
              <w:rPr>
                <w:sz w:val="20"/>
                <w:szCs w:val="20"/>
              </w:rPr>
              <w:t>1,685</w:t>
            </w:r>
          </w:p>
        </w:tc>
        <w:tc>
          <w:tcPr>
            <w:tcW w:w="1056" w:type="dxa"/>
          </w:tcPr>
          <w:p w14:paraId="6CF452B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2,675</w:t>
            </w:r>
          </w:p>
        </w:tc>
        <w:tc>
          <w:tcPr>
            <w:cnfStyle w:val="000010000000" w:firstRow="0" w:lastRow="0" w:firstColumn="0" w:lastColumn="0" w:oddVBand="1" w:evenVBand="0" w:oddHBand="0" w:evenHBand="0" w:firstRowFirstColumn="0" w:firstRowLastColumn="0" w:lastRowFirstColumn="0" w:lastRowLastColumn="0"/>
            <w:tcW w:w="1130" w:type="dxa"/>
          </w:tcPr>
          <w:p w14:paraId="7415EE26" w14:textId="77777777" w:rsidR="009867E7" w:rsidRPr="00300C59" w:rsidRDefault="009867E7" w:rsidP="007C520D">
            <w:pPr>
              <w:keepNext/>
              <w:widowControl w:val="0"/>
              <w:spacing w:after="0" w:line="240" w:lineRule="auto"/>
              <w:rPr>
                <w:sz w:val="20"/>
                <w:szCs w:val="20"/>
              </w:rPr>
            </w:pPr>
            <w:r w:rsidRPr="00300C59">
              <w:rPr>
                <w:sz w:val="20"/>
                <w:szCs w:val="20"/>
              </w:rPr>
              <w:t>1,295</w:t>
            </w:r>
          </w:p>
        </w:tc>
        <w:tc>
          <w:tcPr>
            <w:tcW w:w="985" w:type="dxa"/>
          </w:tcPr>
          <w:p w14:paraId="085E268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00C59">
              <w:rPr>
                <w:sz w:val="20"/>
                <w:szCs w:val="20"/>
              </w:rPr>
              <w:t>6,505</w:t>
            </w:r>
          </w:p>
        </w:tc>
      </w:tr>
    </w:tbl>
    <w:p w14:paraId="314C0A81" w14:textId="77777777" w:rsidR="009867E7" w:rsidRPr="000D1D10" w:rsidRDefault="009867E7" w:rsidP="009867E7">
      <w:pPr>
        <w:spacing w:after="0" w:line="240" w:lineRule="auto"/>
        <w:rPr>
          <w:i/>
          <w:vanish/>
          <w:sz w:val="18"/>
        </w:rPr>
      </w:pPr>
      <w:r>
        <w:rPr>
          <w:i/>
          <w:sz w:val="18"/>
        </w:rPr>
        <w:t xml:space="preserve">   Source: 2009-2013 CHAS</w:t>
      </w:r>
    </w:p>
    <w:p w14:paraId="4D3BB979" w14:textId="77777777" w:rsidR="009867E7" w:rsidRDefault="009867E7" w:rsidP="009867E7">
      <w:pPr>
        <w:spacing w:after="0" w:line="240" w:lineRule="auto"/>
        <w:rPr>
          <w:b/>
          <w:bCs/>
          <w:vanish/>
          <w:sz w:val="16"/>
          <w:szCs w:val="16"/>
        </w:rPr>
      </w:pPr>
    </w:p>
    <w:p w14:paraId="07474328" w14:textId="77777777" w:rsidR="009867E7" w:rsidRDefault="009867E7" w:rsidP="009867E7"/>
    <w:p w14:paraId="53E81418" w14:textId="77777777" w:rsidR="009867E7" w:rsidRDefault="009867E7" w:rsidP="009867E7">
      <w:pPr>
        <w:keepNext/>
        <w:keepLines/>
        <w:spacing w:after="0" w:line="240" w:lineRule="auto"/>
        <w:rPr>
          <w:vanish/>
        </w:rPr>
      </w:pPr>
    </w:p>
    <w:p w14:paraId="0957D043" w14:textId="77777777" w:rsidR="009867E7" w:rsidRDefault="009867E7" w:rsidP="009867E7">
      <w:pPr>
        <w:keepNext/>
        <w:keepLines/>
        <w:spacing w:after="0" w:line="240" w:lineRule="auto"/>
        <w:rPr>
          <w:b/>
          <w:bCs/>
          <w:vanish/>
          <w:sz w:val="16"/>
          <w:szCs w:val="16"/>
        </w:rPr>
      </w:pPr>
    </w:p>
    <w:p w14:paraId="08DD5144" w14:textId="77777777" w:rsidR="009867E7" w:rsidRDefault="009867E7" w:rsidP="009867E7"/>
    <w:p w14:paraId="2D8356A6" w14:textId="77777777" w:rsidR="009867E7" w:rsidRDefault="009867E7" w:rsidP="009867E7">
      <w:pPr>
        <w:rPr>
          <w:b/>
          <w:i/>
          <w:sz w:val="26"/>
          <w:szCs w:val="26"/>
        </w:rPr>
        <w:sectPr w:rsidR="009867E7" w:rsidSect="007C520D">
          <w:footerReference w:type="default" r:id="rId19"/>
          <w:pgSz w:w="12240" w:h="15840"/>
          <w:pgMar w:top="1440" w:right="1440" w:bottom="1440" w:left="1440" w:header="720" w:footer="720" w:gutter="0"/>
          <w:cols w:space="720"/>
          <w:docGrid w:linePitch="360"/>
        </w:sectPr>
      </w:pPr>
    </w:p>
    <w:p w14:paraId="229FF9F2" w14:textId="77777777" w:rsidR="009867E7" w:rsidRDefault="009867E7" w:rsidP="009867E7">
      <w:pPr>
        <w:rPr>
          <w:b/>
          <w:sz w:val="24"/>
          <w:szCs w:val="24"/>
        </w:rPr>
      </w:pPr>
      <w:r>
        <w:rPr>
          <w:b/>
          <w:sz w:val="24"/>
          <w:szCs w:val="24"/>
        </w:rPr>
        <w:t>Describe the number and type of single person households in need of housing assistance.</w:t>
      </w:r>
    </w:p>
    <w:p w14:paraId="6E447202" w14:textId="77777777" w:rsidR="009867E7" w:rsidRDefault="009867E7" w:rsidP="009867E7">
      <w:pPr>
        <w:rPr>
          <w:sz w:val="24"/>
          <w:szCs w:val="24"/>
        </w:rPr>
      </w:pPr>
      <w:r>
        <w:rPr>
          <w:sz w:val="24"/>
          <w:szCs w:val="24"/>
        </w:rPr>
        <w:t>According to table B11016 of the 2013 5-yr estimate taken from the American Community Survey (ACS), approximately 83% of nonfamily households, classified as “Other” in the above tables, are single-person households. Using this 83% share as a comparison tool, assumptions can be made about the number of single person households in need of housing assistance.</w:t>
      </w:r>
    </w:p>
    <w:p w14:paraId="52D6A04D" w14:textId="77777777" w:rsidR="009867E7" w:rsidRDefault="009867E7" w:rsidP="009867E7">
      <w:pPr>
        <w:rPr>
          <w:sz w:val="24"/>
          <w:szCs w:val="24"/>
        </w:rPr>
      </w:pPr>
      <w:r>
        <w:rPr>
          <w:sz w:val="24"/>
          <w:szCs w:val="24"/>
        </w:rPr>
        <w:t xml:space="preserve">Of the 76,610 cost burdened households earning 80% AMI or less classified as “Other” from the above tables, it can be assumed that approximately 63,586 are single person households. Of those households, renter households earning 30% AMI or less are in need of the most housing assistance; accounting for nearly 40% of all single person cost burdened households. Of all single person cost burdened households, 74% are renter households. </w:t>
      </w:r>
    </w:p>
    <w:p w14:paraId="0ED08144" w14:textId="77777777" w:rsidR="009867E7" w:rsidRPr="005E2381" w:rsidRDefault="009867E7" w:rsidP="009867E7">
      <w:pPr>
        <w:rPr>
          <w:sz w:val="24"/>
          <w:szCs w:val="24"/>
        </w:rPr>
      </w:pPr>
      <w:r>
        <w:rPr>
          <w:sz w:val="24"/>
          <w:szCs w:val="24"/>
        </w:rPr>
        <w:t xml:space="preserve">Looking at severely cost burdened households earning 80% AMI or less, approximately 35,603 are single person households. Of those households, renter households earning 30% AMI or less account for 60% of severely cost burdened single person households. Of all single person households that are also severely cost burdened, 74% are renter households. </w:t>
      </w:r>
    </w:p>
    <w:p w14:paraId="6FFBD8A1" w14:textId="77777777" w:rsidR="009867E7" w:rsidRDefault="009867E7" w:rsidP="009867E7">
      <w:pPr>
        <w:rPr>
          <w:b/>
          <w:sz w:val="24"/>
          <w:szCs w:val="24"/>
        </w:rPr>
      </w:pPr>
      <w:r w:rsidRPr="00572437">
        <w:rPr>
          <w:b/>
          <w:sz w:val="24"/>
          <w:szCs w:val="24"/>
        </w:rPr>
        <w:t>Estimate the number and type of families in need of housing assistance who are disabled or victims of domestic violence, dating violence, sexual assault and stalking.</w:t>
      </w:r>
    </w:p>
    <w:p w14:paraId="2BB28AE8" w14:textId="77777777" w:rsidR="009867E7" w:rsidRDefault="009867E7" w:rsidP="009867E7">
      <w:pPr>
        <w:rPr>
          <w:sz w:val="24"/>
          <w:szCs w:val="24"/>
        </w:rPr>
      </w:pPr>
      <w:r>
        <w:rPr>
          <w:sz w:val="24"/>
          <w:szCs w:val="24"/>
        </w:rPr>
        <w:t>No statewide estimate of families with disabled members in need of housing is available.</w:t>
      </w:r>
    </w:p>
    <w:p w14:paraId="7B87A7D7" w14:textId="77777777" w:rsidR="009867E7" w:rsidRDefault="009867E7" w:rsidP="009867E7">
      <w:pPr>
        <w:pStyle w:val="Body"/>
        <w:jc w:val="both"/>
        <w:rPr>
          <w:sz w:val="24"/>
          <w:szCs w:val="24"/>
        </w:rPr>
      </w:pPr>
      <w:r w:rsidRPr="00B3120F">
        <w:rPr>
          <w:sz w:val="24"/>
          <w:szCs w:val="24"/>
        </w:rPr>
        <w:t xml:space="preserve">According to the </w:t>
      </w:r>
      <w:hyperlink r:id="rId20" w:history="1">
        <w:r w:rsidRPr="00E26991">
          <w:rPr>
            <w:rStyle w:val="Hyperlink"/>
            <w:sz w:val="24"/>
            <w:szCs w:val="24"/>
          </w:rPr>
          <w:t>Kansas Balance of State (BoS) Continuum of Care (CoC),</w:t>
        </w:r>
      </w:hyperlink>
      <w:r w:rsidRPr="00B3120F">
        <w:rPr>
          <w:sz w:val="24"/>
          <w:szCs w:val="24"/>
        </w:rPr>
        <w:t xml:space="preserve"> there </w:t>
      </w:r>
      <w:r>
        <w:rPr>
          <w:sz w:val="24"/>
          <w:szCs w:val="24"/>
        </w:rPr>
        <w:t>are</w:t>
      </w:r>
      <w:r w:rsidRPr="00B3120F">
        <w:rPr>
          <w:sz w:val="24"/>
          <w:szCs w:val="24"/>
        </w:rPr>
        <w:t xml:space="preserve"> 16 </w:t>
      </w:r>
      <w:r>
        <w:rPr>
          <w:sz w:val="24"/>
          <w:szCs w:val="24"/>
        </w:rPr>
        <w:t xml:space="preserve">domestic violence shelters </w:t>
      </w:r>
      <w:r w:rsidRPr="00B3120F">
        <w:rPr>
          <w:sz w:val="24"/>
          <w:szCs w:val="24"/>
        </w:rPr>
        <w:t xml:space="preserve">that serve persons who </w:t>
      </w:r>
      <w:r>
        <w:rPr>
          <w:sz w:val="24"/>
          <w:szCs w:val="24"/>
        </w:rPr>
        <w:t>are</w:t>
      </w:r>
      <w:r w:rsidRPr="00B3120F">
        <w:rPr>
          <w:sz w:val="24"/>
          <w:szCs w:val="24"/>
        </w:rPr>
        <w:t xml:space="preserve"> victims of domestic violence.  </w:t>
      </w:r>
      <w:r>
        <w:rPr>
          <w:sz w:val="24"/>
          <w:szCs w:val="24"/>
        </w:rPr>
        <w:t xml:space="preserve">It can be assumed that the victims of domestic violence are in need of housing assistance.  </w:t>
      </w:r>
    </w:p>
    <w:p w14:paraId="1E3EE0D6" w14:textId="16ED9721" w:rsidR="009867E7" w:rsidRDefault="009867E7" w:rsidP="009867E7">
      <w:pPr>
        <w:rPr>
          <w:sz w:val="24"/>
          <w:szCs w:val="24"/>
        </w:rPr>
      </w:pPr>
      <w:r>
        <w:rPr>
          <w:sz w:val="24"/>
          <w:szCs w:val="24"/>
        </w:rPr>
        <w:t>The Kansas Bureau of Investigation reports each year on reports of domestic violence, rape, and stalking. In 2016, there were 23,004 reports of domestic violence, 444 reports of stalking, and 1,146 reports of rape. Of all reported domestic violence incidents in 2016, 85% took place in a residential setting. Although the report doesn’t give any specific insights into the housing situation, because the majority of reported domestic violence incidents take place in a home, it can be assumed those fleeing domestic violence are in need of housing assistance</w:t>
      </w:r>
      <w:r w:rsidR="00EC7021">
        <w:rPr>
          <w:sz w:val="24"/>
          <w:szCs w:val="24"/>
        </w:rPr>
        <w:t>.</w:t>
      </w:r>
    </w:p>
    <w:p w14:paraId="6D4443C9" w14:textId="77777777" w:rsidR="009867E7" w:rsidRDefault="009867E7" w:rsidP="009867E7">
      <w:pPr>
        <w:rPr>
          <w:b/>
          <w:sz w:val="24"/>
          <w:szCs w:val="24"/>
        </w:rPr>
      </w:pPr>
      <w:r>
        <w:rPr>
          <w:b/>
          <w:sz w:val="24"/>
          <w:szCs w:val="24"/>
        </w:rPr>
        <w:t>What are the most common housing problems?</w:t>
      </w:r>
    </w:p>
    <w:p w14:paraId="6EE97240" w14:textId="77777777" w:rsidR="009867E7" w:rsidRDefault="009867E7" w:rsidP="009867E7">
      <w:pPr>
        <w:rPr>
          <w:sz w:val="24"/>
          <w:szCs w:val="24"/>
        </w:rPr>
      </w:pPr>
      <w:r>
        <w:rPr>
          <w:sz w:val="24"/>
          <w:szCs w:val="24"/>
        </w:rPr>
        <w:t xml:space="preserve">Of the 561,360 households earning less than 100% AMI in Kansas, the most common housing problem is cost burden. This is defined as a household having housing costs equal to or greater than 30% of household income. Housing costs may include monthly payments towards rent or a mortgage, as well as any utility payments. In Kansas, 243,650 households earning 100% AMI or less are cost burdened or severely cost burdened (&gt;50% household income towards housing costs). This represents 43% of all Kansas households earning 100% AMI or less. Households earning 0-50% of AMI make up a majority of cost burdened or severely cost burdened households. </w:t>
      </w:r>
    </w:p>
    <w:p w14:paraId="0CD0E163" w14:textId="77777777" w:rsidR="009867E7" w:rsidRDefault="009867E7" w:rsidP="009867E7">
      <w:pPr>
        <w:rPr>
          <w:sz w:val="24"/>
          <w:szCs w:val="24"/>
        </w:rPr>
      </w:pPr>
      <w:r>
        <w:rPr>
          <w:sz w:val="24"/>
          <w:szCs w:val="24"/>
        </w:rPr>
        <w:t>In addition to cost burden, there are 28,010 households earning less than 100% AMI residing in housing with substandard kitchen/plumbing or experiencing overcrowding (more than one person per room).</w:t>
      </w:r>
    </w:p>
    <w:p w14:paraId="4463483D" w14:textId="77777777" w:rsidR="009867E7" w:rsidRDefault="009867E7" w:rsidP="009867E7">
      <w:pPr>
        <w:rPr>
          <w:b/>
          <w:sz w:val="24"/>
          <w:szCs w:val="24"/>
        </w:rPr>
      </w:pPr>
      <w:r>
        <w:rPr>
          <w:b/>
          <w:sz w:val="24"/>
          <w:szCs w:val="24"/>
        </w:rPr>
        <w:t>Are any populations/household types more affected than others by these problems?</w:t>
      </w:r>
    </w:p>
    <w:p w14:paraId="2FD72B9F" w14:textId="77777777" w:rsidR="009867E7" w:rsidRPr="00DF32A5" w:rsidRDefault="009867E7" w:rsidP="009867E7">
      <w:pPr>
        <w:rPr>
          <w:sz w:val="24"/>
          <w:szCs w:val="24"/>
        </w:rPr>
      </w:pPr>
      <w:r>
        <w:rPr>
          <w:sz w:val="24"/>
          <w:szCs w:val="24"/>
        </w:rPr>
        <w:t xml:space="preserve">Those households with less income experience housing problems at a higher rate, specifically cost burden and severe cost burden. </w:t>
      </w:r>
    </w:p>
    <w:p w14:paraId="6CB135F8" w14:textId="77777777" w:rsidR="009867E7" w:rsidRDefault="009867E7" w:rsidP="00A121EE">
      <w:pPr>
        <w:pStyle w:val="ListParagraph"/>
        <w:numPr>
          <w:ilvl w:val="0"/>
          <w:numId w:val="29"/>
        </w:numPr>
        <w:rPr>
          <w:sz w:val="24"/>
          <w:szCs w:val="24"/>
        </w:rPr>
      </w:pPr>
      <w:r>
        <w:rPr>
          <w:sz w:val="24"/>
          <w:szCs w:val="24"/>
        </w:rPr>
        <w:t>0-30% of AMI</w:t>
      </w:r>
    </w:p>
    <w:p w14:paraId="657068AC" w14:textId="77777777" w:rsidR="009867E7" w:rsidRDefault="009867E7" w:rsidP="00A121EE">
      <w:pPr>
        <w:pStyle w:val="ListParagraph"/>
        <w:numPr>
          <w:ilvl w:val="1"/>
          <w:numId w:val="29"/>
        </w:numPr>
        <w:rPr>
          <w:sz w:val="24"/>
          <w:szCs w:val="24"/>
        </w:rPr>
      </w:pPr>
      <w:r>
        <w:rPr>
          <w:sz w:val="24"/>
          <w:szCs w:val="24"/>
        </w:rPr>
        <w:t xml:space="preserve">Renter households at this income bracket account for 24% of all cost burdened or severely cost burdened households earning 100% of AMI or less. </w:t>
      </w:r>
    </w:p>
    <w:p w14:paraId="246C78CF" w14:textId="77777777" w:rsidR="009867E7" w:rsidRDefault="009867E7" w:rsidP="00A121EE">
      <w:pPr>
        <w:pStyle w:val="ListParagraph"/>
        <w:numPr>
          <w:ilvl w:val="1"/>
          <w:numId w:val="29"/>
        </w:numPr>
        <w:rPr>
          <w:sz w:val="24"/>
          <w:szCs w:val="24"/>
        </w:rPr>
      </w:pPr>
      <w:r>
        <w:rPr>
          <w:sz w:val="24"/>
          <w:szCs w:val="24"/>
        </w:rPr>
        <w:t xml:space="preserve">Considering all 96,210 households earning 0-30% of AMI experiencing a housing problem, 67% are renter households. </w:t>
      </w:r>
    </w:p>
    <w:p w14:paraId="70636D5F" w14:textId="77777777" w:rsidR="009867E7" w:rsidRPr="00B62B25" w:rsidRDefault="009867E7" w:rsidP="00A121EE">
      <w:pPr>
        <w:pStyle w:val="ListParagraph"/>
        <w:numPr>
          <w:ilvl w:val="1"/>
          <w:numId w:val="29"/>
        </w:numPr>
        <w:rPr>
          <w:sz w:val="24"/>
          <w:szCs w:val="24"/>
        </w:rPr>
      </w:pPr>
      <w:r>
        <w:rPr>
          <w:sz w:val="24"/>
          <w:szCs w:val="24"/>
        </w:rPr>
        <w:t xml:space="preserve">Of all cost burdened households in this income bracket, a majority are single person households. </w:t>
      </w:r>
    </w:p>
    <w:p w14:paraId="3167BCFD" w14:textId="77777777" w:rsidR="009867E7" w:rsidRDefault="009867E7" w:rsidP="009867E7">
      <w:pPr>
        <w:rPr>
          <w:sz w:val="24"/>
          <w:szCs w:val="24"/>
        </w:rPr>
      </w:pPr>
      <w:r>
        <w:rPr>
          <w:sz w:val="24"/>
          <w:szCs w:val="24"/>
        </w:rPr>
        <w:t xml:space="preserve">Renter households are more likely to experience housing problems than owner households. </w:t>
      </w:r>
    </w:p>
    <w:p w14:paraId="73CA09E7" w14:textId="77777777" w:rsidR="009867E7" w:rsidRDefault="009867E7" w:rsidP="00A121EE">
      <w:pPr>
        <w:pStyle w:val="ListParagraph"/>
        <w:numPr>
          <w:ilvl w:val="0"/>
          <w:numId w:val="30"/>
        </w:numPr>
        <w:rPr>
          <w:sz w:val="24"/>
          <w:szCs w:val="24"/>
        </w:rPr>
      </w:pPr>
      <w:r>
        <w:rPr>
          <w:sz w:val="24"/>
          <w:szCs w:val="24"/>
        </w:rPr>
        <w:t>58% of all cost burdened households earning 100% of AMI or less are renter households</w:t>
      </w:r>
    </w:p>
    <w:p w14:paraId="28EAD483" w14:textId="77777777" w:rsidR="009867E7" w:rsidRDefault="009867E7" w:rsidP="00A121EE">
      <w:pPr>
        <w:pStyle w:val="ListParagraph"/>
        <w:numPr>
          <w:ilvl w:val="0"/>
          <w:numId w:val="30"/>
        </w:numPr>
        <w:rPr>
          <w:sz w:val="24"/>
          <w:szCs w:val="24"/>
        </w:rPr>
      </w:pPr>
      <w:r>
        <w:rPr>
          <w:sz w:val="24"/>
          <w:szCs w:val="24"/>
        </w:rPr>
        <w:t xml:space="preserve">60% of all severely cost burdened households earning 80% of AMI or less are renter households. </w:t>
      </w:r>
    </w:p>
    <w:p w14:paraId="53E76727" w14:textId="77777777" w:rsidR="009867E7" w:rsidRPr="004257CE" w:rsidRDefault="009867E7" w:rsidP="00A121EE">
      <w:pPr>
        <w:pStyle w:val="ListParagraph"/>
        <w:numPr>
          <w:ilvl w:val="0"/>
          <w:numId w:val="30"/>
        </w:numPr>
        <w:rPr>
          <w:sz w:val="24"/>
          <w:szCs w:val="24"/>
        </w:rPr>
      </w:pPr>
      <w:r>
        <w:rPr>
          <w:sz w:val="24"/>
          <w:szCs w:val="24"/>
        </w:rPr>
        <w:t xml:space="preserve">55% of all households experiencing a housing problem and also earning 100% of AMI or less are renter households. </w:t>
      </w:r>
    </w:p>
    <w:p w14:paraId="6F6D1A88" w14:textId="77777777" w:rsidR="009867E7" w:rsidRDefault="009867E7" w:rsidP="009867E7">
      <w:pPr>
        <w:rPr>
          <w:b/>
          <w:sz w:val="24"/>
          <w:szCs w:val="24"/>
        </w:rPr>
      </w:pPr>
      <w:r w:rsidRPr="0070374D">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14:paraId="479FCBAB" w14:textId="77777777" w:rsidR="009867E7" w:rsidRDefault="009867E7" w:rsidP="009867E7">
      <w:pPr>
        <w:autoSpaceDE w:val="0"/>
        <w:autoSpaceDN w:val="0"/>
        <w:adjustRightInd w:val="0"/>
        <w:spacing w:after="0"/>
        <w:rPr>
          <w:sz w:val="24"/>
          <w:szCs w:val="24"/>
        </w:rPr>
      </w:pPr>
      <w:r w:rsidRPr="00720F21">
        <w:rPr>
          <w:sz w:val="24"/>
          <w:szCs w:val="24"/>
        </w:rPr>
        <w:t>The CoC is committed to creating a system that connects homeless persons</w:t>
      </w:r>
      <w:r>
        <w:rPr>
          <w:sz w:val="24"/>
          <w:szCs w:val="24"/>
        </w:rPr>
        <w:t xml:space="preserve"> </w:t>
      </w:r>
      <w:r w:rsidRPr="00720F21">
        <w:rPr>
          <w:sz w:val="24"/>
          <w:szCs w:val="24"/>
        </w:rPr>
        <w:t>and families with the appropriate services they need.</w:t>
      </w:r>
      <w:r>
        <w:rPr>
          <w:rFonts w:ascii="Arial" w:hAnsi="Arial" w:cs="Arial"/>
          <w:sz w:val="24"/>
          <w:szCs w:val="24"/>
          <w:lang w:eastAsia="ko-KR"/>
        </w:rPr>
        <w:t xml:space="preserve"> </w:t>
      </w:r>
      <w:r>
        <w:rPr>
          <w:sz w:val="24"/>
          <w:szCs w:val="24"/>
        </w:rPr>
        <w:t xml:space="preserve">Individuals with imminent risk of residing in shelters or becoming unsheltered typically have a combination of factors present in their lives: lack of a living wage job, housing costs consumes more than 30% of their income, poverty, high child care costs, high medical expenses, high transportation costs, or a criminal record. Individuals and families living with any of these factors, and especially those with more than one, are more likely to experience homelessness than those individuals and families that do not have any of these factors present. An individual or family with any combination of the factors above may require only a reduction in work hours, a minor medical emergency, a family crisis, an illness, or a minor reduction in income to push them into an unstable housing situation. </w:t>
      </w:r>
    </w:p>
    <w:p w14:paraId="58552720" w14:textId="77777777" w:rsidR="009867E7" w:rsidRDefault="009867E7" w:rsidP="009867E7">
      <w:pPr>
        <w:autoSpaceDE w:val="0"/>
        <w:autoSpaceDN w:val="0"/>
        <w:adjustRightInd w:val="0"/>
        <w:spacing w:after="0"/>
        <w:rPr>
          <w:sz w:val="24"/>
          <w:szCs w:val="24"/>
        </w:rPr>
      </w:pPr>
    </w:p>
    <w:p w14:paraId="55CAE5D1" w14:textId="77777777" w:rsidR="009867E7" w:rsidRDefault="009867E7" w:rsidP="009867E7">
      <w:pPr>
        <w:rPr>
          <w:sz w:val="24"/>
          <w:szCs w:val="24"/>
        </w:rPr>
      </w:pPr>
      <w:r>
        <w:rPr>
          <w:sz w:val="24"/>
          <w:szCs w:val="24"/>
        </w:rPr>
        <w:t xml:space="preserve">Despite HUD ending funding for Homeless Prevention and Rapid Re-Housing (HRPR), the State of Kansas has chosen to continue to provide the assistance, with emphasis on rapid re-housing instead of homeless prevention. As a result, there is less funding for homeless prevention services such as paying utilities, rent, etc. to keep the precariously housed from homelessness.  </w:t>
      </w:r>
    </w:p>
    <w:p w14:paraId="63DF720B" w14:textId="77777777" w:rsidR="009867E7" w:rsidRPr="007A7BC9" w:rsidRDefault="009867E7" w:rsidP="009867E7">
      <w:pPr>
        <w:rPr>
          <w:sz w:val="24"/>
          <w:szCs w:val="24"/>
        </w:rPr>
      </w:pPr>
      <w:r>
        <w:rPr>
          <w:sz w:val="24"/>
          <w:szCs w:val="24"/>
        </w:rPr>
        <w:t xml:space="preserve">The CoC is </w:t>
      </w:r>
      <w:r w:rsidRPr="00D67EA3">
        <w:rPr>
          <w:sz w:val="24"/>
          <w:szCs w:val="24"/>
        </w:rPr>
        <w:t xml:space="preserve">committed to </w:t>
      </w:r>
      <w:r>
        <w:rPr>
          <w:sz w:val="24"/>
          <w:szCs w:val="24"/>
        </w:rPr>
        <w:t>serving</w:t>
      </w:r>
      <w:r w:rsidRPr="00D67EA3">
        <w:rPr>
          <w:sz w:val="24"/>
          <w:szCs w:val="24"/>
        </w:rPr>
        <w:t xml:space="preserve"> the population previously served by</w:t>
      </w:r>
      <w:r>
        <w:rPr>
          <w:sz w:val="24"/>
          <w:szCs w:val="24"/>
        </w:rPr>
        <w:t xml:space="preserve"> </w:t>
      </w:r>
      <w:r w:rsidRPr="00D67EA3">
        <w:rPr>
          <w:sz w:val="24"/>
          <w:szCs w:val="24"/>
        </w:rPr>
        <w:t xml:space="preserve">the HPRP program. </w:t>
      </w:r>
      <w:r>
        <w:rPr>
          <w:sz w:val="24"/>
          <w:szCs w:val="24"/>
        </w:rPr>
        <w:t>As part of assisting this population</w:t>
      </w:r>
      <w:r w:rsidRPr="00D67EA3">
        <w:rPr>
          <w:sz w:val="24"/>
          <w:szCs w:val="24"/>
        </w:rPr>
        <w:t>, ESG applicants were educated about applying for ESG funds</w:t>
      </w:r>
      <w:r>
        <w:rPr>
          <w:sz w:val="24"/>
          <w:szCs w:val="24"/>
        </w:rPr>
        <w:t xml:space="preserve">. </w:t>
      </w:r>
      <w:r w:rsidRPr="00D67EA3">
        <w:rPr>
          <w:sz w:val="24"/>
          <w:szCs w:val="24"/>
        </w:rPr>
        <w:t xml:space="preserve">Additionally, the </w:t>
      </w:r>
      <w:r>
        <w:rPr>
          <w:sz w:val="24"/>
          <w:szCs w:val="24"/>
        </w:rPr>
        <w:t>Kansas Statewide Homeless Coalition (</w:t>
      </w:r>
      <w:r w:rsidRPr="00D67EA3">
        <w:rPr>
          <w:sz w:val="24"/>
          <w:szCs w:val="24"/>
        </w:rPr>
        <w:t>KSHC</w:t>
      </w:r>
      <w:r>
        <w:rPr>
          <w:sz w:val="24"/>
          <w:szCs w:val="24"/>
        </w:rPr>
        <w:t>)</w:t>
      </w:r>
      <w:r w:rsidRPr="00D67EA3">
        <w:rPr>
          <w:sz w:val="24"/>
          <w:szCs w:val="24"/>
        </w:rPr>
        <w:t xml:space="preserve"> has provided numerous educational opportunities to highlight effective models of providing services to persons experie</w:t>
      </w:r>
      <w:r>
        <w:rPr>
          <w:sz w:val="24"/>
          <w:szCs w:val="24"/>
        </w:rPr>
        <w:t>ncing homelessness and those at-</w:t>
      </w:r>
      <w:r w:rsidRPr="00D67EA3">
        <w:rPr>
          <w:sz w:val="24"/>
          <w:szCs w:val="24"/>
        </w:rPr>
        <w:t>risk of becoming homeless. These educational opportunities include state-wide as well as regional summits.</w:t>
      </w:r>
    </w:p>
    <w:p w14:paraId="0E26F826" w14:textId="77777777" w:rsidR="009867E7" w:rsidRDefault="009867E7" w:rsidP="009867E7">
      <w:pPr>
        <w:autoSpaceDE w:val="0"/>
        <w:autoSpaceDN w:val="0"/>
        <w:adjustRightInd w:val="0"/>
        <w:spacing w:after="0"/>
        <w:rPr>
          <w:sz w:val="24"/>
          <w:szCs w:val="24"/>
        </w:rPr>
      </w:pPr>
      <w:r w:rsidRPr="00D67EA3">
        <w:rPr>
          <w:sz w:val="24"/>
          <w:szCs w:val="24"/>
        </w:rPr>
        <w:t>Stakeholders in the Balance of State</w:t>
      </w:r>
      <w:r>
        <w:rPr>
          <w:sz w:val="24"/>
          <w:szCs w:val="24"/>
        </w:rPr>
        <w:t xml:space="preserve"> (BoS)</w:t>
      </w:r>
      <w:r w:rsidRPr="00D67EA3">
        <w:rPr>
          <w:sz w:val="24"/>
          <w:szCs w:val="24"/>
        </w:rPr>
        <w:t xml:space="preserve"> CoC meet on a regular basis </w:t>
      </w:r>
      <w:r>
        <w:rPr>
          <w:sz w:val="24"/>
          <w:szCs w:val="24"/>
        </w:rPr>
        <w:t xml:space="preserve">for strategic planning to </w:t>
      </w:r>
      <w:r w:rsidRPr="00D67EA3">
        <w:rPr>
          <w:sz w:val="24"/>
          <w:szCs w:val="24"/>
        </w:rPr>
        <w:t>address the needs and gaps in services in their regions</w:t>
      </w:r>
      <w:r>
        <w:rPr>
          <w:sz w:val="24"/>
          <w:szCs w:val="24"/>
        </w:rPr>
        <w:t xml:space="preserve"> </w:t>
      </w:r>
      <w:r w:rsidRPr="00D67EA3">
        <w:rPr>
          <w:sz w:val="24"/>
          <w:szCs w:val="24"/>
        </w:rPr>
        <w:t>and work towards developing regional plans to end homelessness. The KSHC</w:t>
      </w:r>
      <w:r>
        <w:rPr>
          <w:sz w:val="24"/>
          <w:szCs w:val="24"/>
        </w:rPr>
        <w:t xml:space="preserve"> </w:t>
      </w:r>
      <w:r w:rsidRPr="00D67EA3">
        <w:rPr>
          <w:sz w:val="24"/>
          <w:szCs w:val="24"/>
        </w:rPr>
        <w:t>routinely provides education about resources and funding opportunities</w:t>
      </w:r>
      <w:r>
        <w:rPr>
          <w:sz w:val="24"/>
          <w:szCs w:val="24"/>
        </w:rPr>
        <w:t xml:space="preserve"> </w:t>
      </w:r>
      <w:r w:rsidRPr="00D67EA3">
        <w:rPr>
          <w:sz w:val="24"/>
          <w:szCs w:val="24"/>
        </w:rPr>
        <w:t>available to CoC members, including funding available through the State, to</w:t>
      </w:r>
      <w:r>
        <w:rPr>
          <w:sz w:val="24"/>
          <w:szCs w:val="24"/>
        </w:rPr>
        <w:t xml:space="preserve"> </w:t>
      </w:r>
      <w:r w:rsidRPr="00D67EA3">
        <w:rPr>
          <w:sz w:val="24"/>
          <w:szCs w:val="24"/>
        </w:rPr>
        <w:t>provide assistance similar to that of the HPRP program.</w:t>
      </w:r>
    </w:p>
    <w:p w14:paraId="080A8FB7" w14:textId="77777777" w:rsidR="009867E7" w:rsidRDefault="009867E7" w:rsidP="009867E7">
      <w:pPr>
        <w:autoSpaceDE w:val="0"/>
        <w:autoSpaceDN w:val="0"/>
        <w:adjustRightInd w:val="0"/>
        <w:spacing w:after="0"/>
        <w:rPr>
          <w:sz w:val="24"/>
          <w:szCs w:val="24"/>
        </w:rPr>
      </w:pPr>
    </w:p>
    <w:p w14:paraId="18382504" w14:textId="77777777" w:rsidR="009867E7" w:rsidRPr="00720F21" w:rsidRDefault="009867E7" w:rsidP="009867E7">
      <w:pPr>
        <w:autoSpaceDE w:val="0"/>
        <w:autoSpaceDN w:val="0"/>
        <w:adjustRightInd w:val="0"/>
        <w:spacing w:after="0"/>
        <w:rPr>
          <w:sz w:val="24"/>
          <w:szCs w:val="24"/>
        </w:rPr>
      </w:pPr>
      <w:r w:rsidRPr="00720F21">
        <w:rPr>
          <w:sz w:val="24"/>
          <w:szCs w:val="24"/>
        </w:rPr>
        <w:t xml:space="preserve">For the past 10 years, the BoS CoC, has worked closely with the Veterans Administration (VA) to address the needs of homeless Veterans. </w:t>
      </w:r>
      <w:r>
        <w:rPr>
          <w:sz w:val="24"/>
          <w:szCs w:val="24"/>
        </w:rPr>
        <w:t>The need for housing for Veterans has also been identified by the BoS CoC. Currently, there are plans for additional permanent housing, HUD Veterans Affairs Supportive Housing (VASH), and workforce development.</w:t>
      </w:r>
      <w:r w:rsidRPr="00720F21">
        <w:rPr>
          <w:sz w:val="24"/>
          <w:szCs w:val="24"/>
        </w:rPr>
        <w:t xml:space="preserve"> The Kansas</w:t>
      </w:r>
      <w:r>
        <w:rPr>
          <w:sz w:val="24"/>
          <w:szCs w:val="24"/>
        </w:rPr>
        <w:t xml:space="preserve"> </w:t>
      </w:r>
      <w:r w:rsidRPr="00720F21">
        <w:rPr>
          <w:sz w:val="24"/>
          <w:szCs w:val="24"/>
        </w:rPr>
        <w:t>Statewide Homeless Coalition has had an individual from the VA on its Board of Directors for a number of years. This individual works full-time for the VA</w:t>
      </w:r>
      <w:r>
        <w:rPr>
          <w:sz w:val="24"/>
          <w:szCs w:val="24"/>
        </w:rPr>
        <w:t xml:space="preserve"> </w:t>
      </w:r>
      <w:r w:rsidRPr="00720F21">
        <w:rPr>
          <w:sz w:val="24"/>
          <w:szCs w:val="24"/>
        </w:rPr>
        <w:t>providing services to Veterans and their families affected by homelessness.</w:t>
      </w:r>
    </w:p>
    <w:p w14:paraId="3CF0D382" w14:textId="77777777" w:rsidR="009867E7" w:rsidRDefault="009867E7" w:rsidP="009867E7">
      <w:pPr>
        <w:rPr>
          <w:b/>
          <w:sz w:val="24"/>
          <w:szCs w:val="24"/>
        </w:rPr>
      </w:pPr>
    </w:p>
    <w:p w14:paraId="7DEEFFE2" w14:textId="77777777" w:rsidR="009867E7" w:rsidRPr="0070374D" w:rsidRDefault="009867E7" w:rsidP="009867E7">
      <w:pPr>
        <w:rPr>
          <w:b/>
          <w:sz w:val="24"/>
          <w:szCs w:val="24"/>
        </w:rPr>
      </w:pPr>
      <w:r w:rsidRPr="0070374D">
        <w:rPr>
          <w:b/>
          <w:sz w:val="24"/>
          <w:szCs w:val="24"/>
        </w:rPr>
        <w:t>If a jurisdiction provides estimates of the at-risk population(s), it should also include a description of the operational definition of the at-risk group and the methodology used to generate the estimates:</w:t>
      </w:r>
    </w:p>
    <w:p w14:paraId="54DB8340" w14:textId="77777777" w:rsidR="009867E7" w:rsidRPr="003853D9" w:rsidRDefault="009867E7" w:rsidP="009867E7">
      <w:pPr>
        <w:rPr>
          <w:sz w:val="24"/>
          <w:szCs w:val="24"/>
        </w:rPr>
      </w:pPr>
      <w:r w:rsidRPr="003853D9">
        <w:rPr>
          <w:sz w:val="24"/>
          <w:szCs w:val="24"/>
        </w:rPr>
        <w:t>The State of Kansas does not provide estimates of its at-risk populations.</w:t>
      </w:r>
    </w:p>
    <w:p w14:paraId="04471BB9" w14:textId="77777777" w:rsidR="009867E7" w:rsidRDefault="009867E7" w:rsidP="009867E7">
      <w:pPr>
        <w:rPr>
          <w:b/>
          <w:sz w:val="24"/>
          <w:szCs w:val="24"/>
        </w:rPr>
      </w:pPr>
      <w:r w:rsidRPr="00EA36E5">
        <w:rPr>
          <w:b/>
          <w:sz w:val="24"/>
          <w:szCs w:val="24"/>
        </w:rPr>
        <w:t>Specify particular housing characteristics that have been linked with instability and an increased risk of homelessness</w:t>
      </w:r>
    </w:p>
    <w:p w14:paraId="36FF4A25" w14:textId="6D53BE5C" w:rsidR="009867E7" w:rsidRDefault="009867E7" w:rsidP="009867E7">
      <w:pPr>
        <w:rPr>
          <w:sz w:val="24"/>
          <w:szCs w:val="24"/>
        </w:rPr>
      </w:pPr>
      <w:r>
        <w:rPr>
          <w:sz w:val="24"/>
          <w:szCs w:val="24"/>
        </w:rPr>
        <w:t xml:space="preserve">The housing characteristic linked with instability and an increased risk of homelessness is a lack of affordable housing made available to low-income residents. This is outlined in the tables above and was reiterated through several interviews with stakeholders from across the </w:t>
      </w:r>
      <w:r w:rsidR="00556755">
        <w:rPr>
          <w:sz w:val="24"/>
          <w:szCs w:val="24"/>
        </w:rPr>
        <w:t>state</w:t>
      </w:r>
      <w:r>
        <w:rPr>
          <w:sz w:val="24"/>
          <w:szCs w:val="24"/>
        </w:rPr>
        <w:t xml:space="preserve">. Households putting more than 30% of their household income towards housing costs are more vulnerable to acute economic and financial shifts; the loss of a job, a medical emergency, etc. These cost burdened households are also more likely to earn 80% of AMI or less, further straining economic and financial means. Although the cost of housing varies by region, the lack of affordable housing remains a key issue throughout the </w:t>
      </w:r>
      <w:r w:rsidR="00556755">
        <w:rPr>
          <w:sz w:val="24"/>
          <w:szCs w:val="24"/>
        </w:rPr>
        <w:t>state</w:t>
      </w:r>
      <w:r>
        <w:rPr>
          <w:sz w:val="24"/>
          <w:szCs w:val="24"/>
        </w:rPr>
        <w:t xml:space="preserve">. </w:t>
      </w:r>
    </w:p>
    <w:p w14:paraId="7ACC4148" w14:textId="77777777" w:rsidR="009867E7" w:rsidRDefault="009867E7" w:rsidP="009867E7">
      <w:pPr>
        <w:pStyle w:val="Heading2"/>
        <w:pageBreakBefore/>
        <w:shd w:val="clear" w:color="auto" w:fill="95B3D7" w:themeFill="accent1" w:themeFillTint="99"/>
        <w:rPr>
          <w:rFonts w:ascii="Calibri" w:hAnsi="Calibri"/>
          <w:i w:val="0"/>
        </w:rPr>
      </w:pPr>
      <w:bookmarkStart w:id="25" w:name="_Toc524603011"/>
      <w:r>
        <w:rPr>
          <w:rFonts w:ascii="Calibri" w:hAnsi="Calibri"/>
          <w:i w:val="0"/>
        </w:rPr>
        <w:t>NA-15 Disproportionately Greater Need: Housing Problems - 91.305 (b)(2)</w:t>
      </w:r>
      <w:bookmarkEnd w:id="25"/>
    </w:p>
    <w:p w14:paraId="08F1712E" w14:textId="77777777" w:rsidR="009867E7" w:rsidRPr="00021EE0" w:rsidRDefault="009867E7" w:rsidP="009867E7">
      <w:pPr>
        <w:rPr>
          <w:sz w:val="24"/>
        </w:rPr>
      </w:pPr>
      <w:r w:rsidRPr="00021EE0">
        <w:rPr>
          <w:sz w:val="24"/>
        </w:rPr>
        <w:t>Assess the need of any racial or ethnic group that has disproportionately greater need in comparison to the needs of that category of need as a whole.</w:t>
      </w:r>
    </w:p>
    <w:p w14:paraId="318F954E" w14:textId="77777777" w:rsidR="009867E7" w:rsidRDefault="009867E7" w:rsidP="009867E7">
      <w:pPr>
        <w:spacing w:line="204" w:lineRule="auto"/>
        <w:rPr>
          <w:b/>
          <w:sz w:val="24"/>
          <w:szCs w:val="24"/>
        </w:rPr>
      </w:pPr>
      <w:r>
        <w:rPr>
          <w:b/>
          <w:sz w:val="24"/>
          <w:szCs w:val="24"/>
        </w:rPr>
        <w:t>Introduction</w:t>
      </w:r>
    </w:p>
    <w:p w14:paraId="6C5F8F86" w14:textId="77777777" w:rsidR="009867E7" w:rsidRPr="00EB5D47" w:rsidRDefault="009867E7" w:rsidP="009867E7">
      <w:pPr>
        <w:rPr>
          <w:sz w:val="24"/>
          <w:szCs w:val="24"/>
        </w:rPr>
      </w:pPr>
      <w:r w:rsidRPr="00AA11EA">
        <w:rPr>
          <w:sz w:val="24"/>
          <w:szCs w:val="24"/>
        </w:rPr>
        <w:t>HUD defines a disproportionately greater housing need when a racial or ethnic group experiences housing problems at a rate greater than 10</w:t>
      </w:r>
      <w:r>
        <w:rPr>
          <w:sz w:val="24"/>
          <w:szCs w:val="24"/>
        </w:rPr>
        <w:t xml:space="preserve"> percentage points</w:t>
      </w:r>
      <w:r w:rsidRPr="00AA11EA">
        <w:rPr>
          <w:sz w:val="24"/>
          <w:szCs w:val="24"/>
        </w:rPr>
        <w:t xml:space="preserve"> </w:t>
      </w:r>
      <w:r>
        <w:rPr>
          <w:sz w:val="24"/>
          <w:szCs w:val="24"/>
        </w:rPr>
        <w:t>above</w:t>
      </w:r>
      <w:r w:rsidRPr="00AA11EA">
        <w:rPr>
          <w:sz w:val="24"/>
          <w:szCs w:val="24"/>
        </w:rPr>
        <w:t xml:space="preserve"> the income level as a whole. The 200</w:t>
      </w:r>
      <w:r>
        <w:rPr>
          <w:sz w:val="24"/>
          <w:szCs w:val="24"/>
        </w:rPr>
        <w:t>9-2013</w:t>
      </w:r>
      <w:r w:rsidRPr="00AA11EA">
        <w:rPr>
          <w:sz w:val="24"/>
          <w:szCs w:val="24"/>
        </w:rPr>
        <w:t xml:space="preserve"> CHAS data table below summarizes the percentage of each racial/ethnic group experiencing housing problems by HUD Adjusted Median Family Income (</w:t>
      </w:r>
      <w:r>
        <w:rPr>
          <w:sz w:val="24"/>
          <w:szCs w:val="24"/>
        </w:rPr>
        <w:t>H</w:t>
      </w:r>
      <w:r w:rsidRPr="00AA11EA">
        <w:rPr>
          <w:sz w:val="24"/>
          <w:szCs w:val="24"/>
        </w:rPr>
        <w:t>AM</w:t>
      </w:r>
      <w:r>
        <w:rPr>
          <w:sz w:val="24"/>
          <w:szCs w:val="24"/>
        </w:rPr>
        <w:t xml:space="preserve">FI) levels. </w:t>
      </w:r>
      <w:r w:rsidRPr="00EB5D47">
        <w:rPr>
          <w:sz w:val="24"/>
          <w:szCs w:val="24"/>
        </w:rPr>
        <w:t>There are four types of housing problems that HUD collects data on:</w:t>
      </w:r>
    </w:p>
    <w:p w14:paraId="2911FEBE" w14:textId="77777777" w:rsidR="009867E7" w:rsidRPr="00EB5D47" w:rsidRDefault="009867E7" w:rsidP="00A121EE">
      <w:pPr>
        <w:pStyle w:val="ListParagraph"/>
        <w:numPr>
          <w:ilvl w:val="0"/>
          <w:numId w:val="31"/>
        </w:numPr>
        <w:rPr>
          <w:sz w:val="24"/>
          <w:szCs w:val="24"/>
        </w:rPr>
      </w:pPr>
      <w:r w:rsidRPr="00EB5D47">
        <w:rPr>
          <w:sz w:val="24"/>
          <w:szCs w:val="24"/>
        </w:rPr>
        <w:t>Lacking complete kitchen facilities</w:t>
      </w:r>
    </w:p>
    <w:p w14:paraId="32668AA1" w14:textId="77777777" w:rsidR="009867E7" w:rsidRPr="00EB5D47" w:rsidRDefault="009867E7" w:rsidP="00A121EE">
      <w:pPr>
        <w:pStyle w:val="ListParagraph"/>
        <w:numPr>
          <w:ilvl w:val="1"/>
          <w:numId w:val="31"/>
        </w:numPr>
        <w:spacing w:line="240" w:lineRule="auto"/>
        <w:rPr>
          <w:sz w:val="24"/>
          <w:szCs w:val="24"/>
        </w:rPr>
      </w:pPr>
      <w:r w:rsidRPr="00EB5D47">
        <w:rPr>
          <w:sz w:val="24"/>
          <w:szCs w:val="24"/>
        </w:rPr>
        <w:t>A complete kitchen consists of a sink with a faucet, a stove or range, and a refrigerator</w:t>
      </w:r>
    </w:p>
    <w:p w14:paraId="22E10088" w14:textId="77777777" w:rsidR="009867E7" w:rsidRPr="00EB5D47" w:rsidRDefault="009867E7" w:rsidP="00A121EE">
      <w:pPr>
        <w:pStyle w:val="ListParagraph"/>
        <w:numPr>
          <w:ilvl w:val="0"/>
          <w:numId w:val="31"/>
        </w:numPr>
        <w:spacing w:line="240" w:lineRule="auto"/>
        <w:rPr>
          <w:sz w:val="24"/>
          <w:szCs w:val="24"/>
        </w:rPr>
      </w:pPr>
      <w:r w:rsidRPr="00EB5D47">
        <w:rPr>
          <w:sz w:val="24"/>
          <w:szCs w:val="24"/>
        </w:rPr>
        <w:t>Housing unit complete plumbing facilities</w:t>
      </w:r>
    </w:p>
    <w:p w14:paraId="2CDE242B" w14:textId="77777777" w:rsidR="009867E7" w:rsidRPr="00EB5D47" w:rsidRDefault="009867E7" w:rsidP="00A121EE">
      <w:pPr>
        <w:pStyle w:val="ListParagraph"/>
        <w:numPr>
          <w:ilvl w:val="1"/>
          <w:numId w:val="31"/>
        </w:numPr>
        <w:spacing w:line="240" w:lineRule="auto"/>
        <w:rPr>
          <w:sz w:val="24"/>
          <w:szCs w:val="24"/>
        </w:rPr>
      </w:pPr>
      <w:r w:rsidRPr="00EB5D47">
        <w:rPr>
          <w:sz w:val="24"/>
          <w:szCs w:val="24"/>
        </w:rPr>
        <w:t>Complete plumbing consists of hot and cold running water, a flush toilet, and a bathtub or shower</w:t>
      </w:r>
    </w:p>
    <w:p w14:paraId="611E5964" w14:textId="77777777" w:rsidR="009867E7" w:rsidRPr="00EB5D47" w:rsidRDefault="009867E7" w:rsidP="00A121EE">
      <w:pPr>
        <w:pStyle w:val="ListParagraph"/>
        <w:keepNext/>
        <w:widowControl w:val="0"/>
        <w:numPr>
          <w:ilvl w:val="0"/>
          <w:numId w:val="31"/>
        </w:numPr>
        <w:spacing w:line="240" w:lineRule="auto"/>
        <w:rPr>
          <w:bCs/>
          <w:sz w:val="24"/>
          <w:szCs w:val="24"/>
        </w:rPr>
      </w:pPr>
      <w:r w:rsidRPr="00EB5D47">
        <w:rPr>
          <w:bCs/>
          <w:sz w:val="24"/>
          <w:szCs w:val="24"/>
        </w:rPr>
        <w:t>Cost burden greater than 30% of income</w:t>
      </w:r>
    </w:p>
    <w:p w14:paraId="64582E03" w14:textId="77777777" w:rsidR="009867E7" w:rsidRPr="00EB5D47" w:rsidRDefault="009867E7" w:rsidP="00A121EE">
      <w:pPr>
        <w:pStyle w:val="ListParagraph"/>
        <w:keepNext/>
        <w:widowControl w:val="0"/>
        <w:numPr>
          <w:ilvl w:val="0"/>
          <w:numId w:val="31"/>
        </w:numPr>
        <w:spacing w:line="240" w:lineRule="auto"/>
        <w:rPr>
          <w:bCs/>
          <w:sz w:val="24"/>
          <w:szCs w:val="24"/>
        </w:rPr>
      </w:pPr>
      <w:r w:rsidRPr="00EB5D47">
        <w:rPr>
          <w:bCs/>
          <w:sz w:val="24"/>
          <w:szCs w:val="24"/>
        </w:rPr>
        <w:t>More than one person per room (overcrowding)</w:t>
      </w:r>
    </w:p>
    <w:p w14:paraId="25EA1D61" w14:textId="77777777" w:rsidR="009867E7" w:rsidRPr="00AA11EA" w:rsidRDefault="009867E7" w:rsidP="009867E7">
      <w:pPr>
        <w:rPr>
          <w:sz w:val="24"/>
          <w:szCs w:val="24"/>
        </w:rPr>
      </w:pPr>
      <w:r w:rsidRPr="00AA11EA">
        <w:rPr>
          <w:sz w:val="24"/>
          <w:szCs w:val="24"/>
        </w:rPr>
        <w:t>Income classifications are as follows: 0%-30% AMI is considered extremely low-income, 3</w:t>
      </w:r>
      <w:r>
        <w:rPr>
          <w:sz w:val="24"/>
          <w:szCs w:val="24"/>
        </w:rPr>
        <w:t>0</w:t>
      </w:r>
      <w:r w:rsidRPr="00AA11EA">
        <w:rPr>
          <w:sz w:val="24"/>
          <w:szCs w:val="24"/>
        </w:rPr>
        <w:t>%-50% AMI is low-income, 5</w:t>
      </w:r>
      <w:r>
        <w:rPr>
          <w:sz w:val="24"/>
          <w:szCs w:val="24"/>
        </w:rPr>
        <w:t>0</w:t>
      </w:r>
      <w:r w:rsidRPr="00AA11EA">
        <w:rPr>
          <w:sz w:val="24"/>
          <w:szCs w:val="24"/>
        </w:rPr>
        <w:t>%-80% AMI is moderate-income, and 8</w:t>
      </w:r>
      <w:r>
        <w:rPr>
          <w:sz w:val="24"/>
          <w:szCs w:val="24"/>
        </w:rPr>
        <w:t>0</w:t>
      </w:r>
      <w:r w:rsidRPr="00AA11EA">
        <w:rPr>
          <w:sz w:val="24"/>
          <w:szCs w:val="24"/>
        </w:rPr>
        <w:t xml:space="preserve">%-100% is middle-income. </w:t>
      </w:r>
    </w:p>
    <w:p w14:paraId="2175E87C" w14:textId="77777777" w:rsidR="009867E7" w:rsidRPr="00AA11EA" w:rsidRDefault="009867E7" w:rsidP="009867E7">
      <w:pPr>
        <w:jc w:val="both"/>
        <w:rPr>
          <w:sz w:val="24"/>
          <w:szCs w:val="24"/>
        </w:rPr>
      </w:pPr>
      <w:r w:rsidRPr="00AA11EA">
        <w:rPr>
          <w:sz w:val="24"/>
          <w:szCs w:val="24"/>
        </w:rPr>
        <w:t>The following racial/ethnic household groups experienced disproportionately greater need, for both renters and owners combined, as exemplified by housing problems:</w:t>
      </w:r>
    </w:p>
    <w:p w14:paraId="43649325" w14:textId="77777777" w:rsidR="009867E7" w:rsidRPr="00406596" w:rsidRDefault="009867E7" w:rsidP="00A121EE">
      <w:pPr>
        <w:pStyle w:val="ListParagraph"/>
        <w:numPr>
          <w:ilvl w:val="0"/>
          <w:numId w:val="5"/>
        </w:numPr>
        <w:ind w:left="1440"/>
        <w:jc w:val="both"/>
        <w:rPr>
          <w:rFonts w:asciiTheme="minorHAnsi" w:hAnsiTheme="minorHAnsi"/>
          <w:sz w:val="24"/>
          <w:szCs w:val="24"/>
        </w:rPr>
      </w:pPr>
      <w:r>
        <w:rPr>
          <w:sz w:val="24"/>
          <w:szCs w:val="24"/>
        </w:rPr>
        <w:t>Pacific Islander: 30-50% AMI and 50-80% AMI</w:t>
      </w:r>
    </w:p>
    <w:p w14:paraId="046DD1D4" w14:textId="77777777" w:rsidR="009867E7" w:rsidRDefault="009867E7" w:rsidP="009867E7">
      <w:pPr>
        <w:jc w:val="both"/>
        <w:rPr>
          <w:sz w:val="24"/>
          <w:szCs w:val="24"/>
        </w:rPr>
      </w:pPr>
      <w:r w:rsidRPr="00AA11EA">
        <w:rPr>
          <w:sz w:val="24"/>
          <w:szCs w:val="24"/>
        </w:rPr>
        <w:t xml:space="preserve">This information is </w:t>
      </w:r>
      <w:r>
        <w:rPr>
          <w:sz w:val="24"/>
          <w:szCs w:val="24"/>
        </w:rPr>
        <w:t>summarized</w:t>
      </w:r>
      <w:r w:rsidRPr="00AA11EA">
        <w:rPr>
          <w:sz w:val="24"/>
          <w:szCs w:val="24"/>
        </w:rPr>
        <w:t xml:space="preserve"> in the </w:t>
      </w:r>
      <w:r>
        <w:rPr>
          <w:sz w:val="24"/>
          <w:szCs w:val="24"/>
        </w:rPr>
        <w:t xml:space="preserve">following </w:t>
      </w:r>
      <w:r w:rsidRPr="00AA11EA">
        <w:rPr>
          <w:sz w:val="24"/>
          <w:szCs w:val="24"/>
        </w:rPr>
        <w:t xml:space="preserve">table </w:t>
      </w:r>
      <w:r>
        <w:rPr>
          <w:sz w:val="24"/>
          <w:szCs w:val="24"/>
        </w:rPr>
        <w:t>based on the HUD-generated tables in the subsequent pages</w:t>
      </w:r>
      <w:r w:rsidRPr="00AA11EA">
        <w:rPr>
          <w:sz w:val="24"/>
          <w:szCs w:val="24"/>
        </w:rPr>
        <w:t>.</w:t>
      </w:r>
    </w:p>
    <w:p w14:paraId="04176E43" w14:textId="77777777" w:rsidR="009867E7" w:rsidRDefault="009867E7" w:rsidP="009867E7">
      <w:pPr>
        <w:keepNext/>
        <w:widowControl w:val="0"/>
        <w:rPr>
          <w:sz w:val="24"/>
          <w:szCs w:val="24"/>
        </w:rPr>
      </w:pPr>
      <w:r>
        <w:rPr>
          <w:b/>
          <w:sz w:val="24"/>
          <w:szCs w:val="24"/>
        </w:rPr>
        <w:t>Table 8 – Summary Table: Population with One or More Housing Problems</w:t>
      </w:r>
      <w:r>
        <w:rPr>
          <w:bCs/>
          <w:sz w:val="24"/>
          <w:szCs w:val="24"/>
        </w:rPr>
        <w:t xml:space="preserve"> </w:t>
      </w:r>
    </w:p>
    <w:tbl>
      <w:tblPr>
        <w:tblStyle w:val="GridTable4-Accent1"/>
        <w:tblW w:w="0" w:type="auto"/>
        <w:tblLook w:val="02E0" w:firstRow="1" w:lastRow="1" w:firstColumn="1" w:lastColumn="0" w:noHBand="1" w:noVBand="0"/>
      </w:tblPr>
      <w:tblGrid>
        <w:gridCol w:w="3152"/>
        <w:gridCol w:w="1073"/>
        <w:gridCol w:w="1080"/>
        <w:gridCol w:w="1080"/>
        <w:gridCol w:w="1080"/>
      </w:tblGrid>
      <w:tr w:rsidR="009867E7" w14:paraId="7784239E" w14:textId="77777777" w:rsidTr="007C520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52" w:type="dxa"/>
            <w:tcBorders>
              <w:bottom w:val="double" w:sz="4" w:space="0" w:color="auto"/>
            </w:tcBorders>
          </w:tcPr>
          <w:p w14:paraId="11EDB551" w14:textId="77777777" w:rsidR="009867E7" w:rsidRPr="00300C59" w:rsidRDefault="009867E7" w:rsidP="007C520D">
            <w:pPr>
              <w:pStyle w:val="TableHeader"/>
              <w:rPr>
                <w:b/>
              </w:rPr>
            </w:pPr>
            <w:r w:rsidRPr="00300C59">
              <w:t> Racial/Ethnic Group</w:t>
            </w:r>
          </w:p>
        </w:tc>
        <w:tc>
          <w:tcPr>
            <w:cnfStyle w:val="000010000000" w:firstRow="0" w:lastRow="0" w:firstColumn="0" w:lastColumn="0" w:oddVBand="1" w:evenVBand="0" w:oddHBand="0" w:evenHBand="0" w:firstRowFirstColumn="0" w:firstRowLastColumn="0" w:lastRowFirstColumn="0" w:lastRowLastColumn="0"/>
            <w:tcW w:w="1073" w:type="dxa"/>
            <w:tcBorders>
              <w:bottom w:val="double" w:sz="6" w:space="0" w:color="auto"/>
            </w:tcBorders>
          </w:tcPr>
          <w:p w14:paraId="6751A802" w14:textId="77777777" w:rsidR="009867E7" w:rsidRPr="00300C59" w:rsidRDefault="009867E7" w:rsidP="007C520D">
            <w:pPr>
              <w:pStyle w:val="TableHeader"/>
              <w:jc w:val="center"/>
              <w:rPr>
                <w:b/>
              </w:rPr>
            </w:pPr>
            <w:r w:rsidRPr="00300C59">
              <w:t>0-30% AMI</w:t>
            </w:r>
          </w:p>
        </w:tc>
        <w:tc>
          <w:tcPr>
            <w:tcW w:w="1080" w:type="dxa"/>
            <w:tcBorders>
              <w:bottom w:val="double" w:sz="4" w:space="0" w:color="auto"/>
            </w:tcBorders>
          </w:tcPr>
          <w:p w14:paraId="42A74EC9" w14:textId="77777777" w:rsidR="009867E7" w:rsidRPr="00300C59" w:rsidRDefault="009867E7" w:rsidP="007C520D">
            <w:pPr>
              <w:pStyle w:val="TableHeader"/>
              <w:jc w:val="center"/>
              <w:cnfStyle w:val="100000000000" w:firstRow="1" w:lastRow="0" w:firstColumn="0" w:lastColumn="0" w:oddVBand="0" w:evenVBand="0" w:oddHBand="0" w:evenHBand="0" w:firstRowFirstColumn="0" w:firstRowLastColumn="0" w:lastRowFirstColumn="0" w:lastRowLastColumn="0"/>
              <w:rPr>
                <w:b/>
              </w:rPr>
            </w:pPr>
            <w:r w:rsidRPr="00300C59">
              <w:t>30-50% AMI</w:t>
            </w:r>
          </w:p>
        </w:tc>
        <w:tc>
          <w:tcPr>
            <w:cnfStyle w:val="000010000000" w:firstRow="0" w:lastRow="0" w:firstColumn="0" w:lastColumn="0" w:oddVBand="1" w:evenVBand="0" w:oddHBand="0" w:evenHBand="0" w:firstRowFirstColumn="0" w:firstRowLastColumn="0" w:lastRowFirstColumn="0" w:lastRowLastColumn="0"/>
            <w:tcW w:w="1080" w:type="dxa"/>
            <w:tcBorders>
              <w:bottom w:val="double" w:sz="6" w:space="0" w:color="auto"/>
            </w:tcBorders>
          </w:tcPr>
          <w:p w14:paraId="27864ABD" w14:textId="77777777" w:rsidR="009867E7" w:rsidRPr="00300C59" w:rsidRDefault="009867E7" w:rsidP="007C520D">
            <w:pPr>
              <w:pStyle w:val="TableHeader"/>
              <w:jc w:val="center"/>
              <w:rPr>
                <w:b/>
              </w:rPr>
            </w:pPr>
            <w:r w:rsidRPr="00300C59">
              <w:t>50-80% AMI</w:t>
            </w:r>
          </w:p>
        </w:tc>
        <w:tc>
          <w:tcPr>
            <w:tcW w:w="1080" w:type="dxa"/>
            <w:tcBorders>
              <w:bottom w:val="double" w:sz="6" w:space="0" w:color="auto"/>
            </w:tcBorders>
          </w:tcPr>
          <w:p w14:paraId="65EE06B4" w14:textId="77777777" w:rsidR="009867E7" w:rsidRPr="00300C59" w:rsidRDefault="009867E7" w:rsidP="007C520D">
            <w:pPr>
              <w:pStyle w:val="TableHeader"/>
              <w:jc w:val="center"/>
              <w:cnfStyle w:val="100000000000" w:firstRow="1" w:lastRow="0" w:firstColumn="0" w:lastColumn="0" w:oddVBand="0" w:evenVBand="0" w:oddHBand="0" w:evenHBand="0" w:firstRowFirstColumn="0" w:firstRowLastColumn="0" w:lastRowFirstColumn="0" w:lastRowLastColumn="0"/>
              <w:rPr>
                <w:b/>
              </w:rPr>
            </w:pPr>
            <w:r w:rsidRPr="00300C59">
              <w:t>80-100% AMI</w:t>
            </w:r>
          </w:p>
        </w:tc>
      </w:tr>
      <w:tr w:rsidR="009867E7" w14:paraId="75365537" w14:textId="77777777" w:rsidTr="007C520D">
        <w:trPr>
          <w:trHeight w:val="211"/>
        </w:trPr>
        <w:tc>
          <w:tcPr>
            <w:cnfStyle w:val="001000000000" w:firstRow="0" w:lastRow="0" w:firstColumn="1" w:lastColumn="0" w:oddVBand="0" w:evenVBand="0" w:oddHBand="0" w:evenHBand="0" w:firstRowFirstColumn="0" w:firstRowLastColumn="0" w:lastRowFirstColumn="0" w:lastRowLastColumn="0"/>
            <w:tcW w:w="3152" w:type="dxa"/>
            <w:tcBorders>
              <w:top w:val="double" w:sz="4" w:space="0" w:color="auto"/>
            </w:tcBorders>
          </w:tcPr>
          <w:p w14:paraId="23576ABF" w14:textId="77777777" w:rsidR="009867E7" w:rsidRPr="00300C59" w:rsidRDefault="009867E7" w:rsidP="007C520D">
            <w:pPr>
              <w:pStyle w:val="TableBody"/>
              <w:rPr>
                <w:b w:val="0"/>
              </w:rPr>
            </w:pPr>
            <w:r w:rsidRPr="00300C59">
              <w:rPr>
                <w:b w:val="0"/>
              </w:rPr>
              <w:t xml:space="preserve">White </w:t>
            </w:r>
          </w:p>
        </w:tc>
        <w:tc>
          <w:tcPr>
            <w:cnfStyle w:val="000010000000" w:firstRow="0" w:lastRow="0" w:firstColumn="0" w:lastColumn="0" w:oddVBand="1" w:evenVBand="0" w:oddHBand="0" w:evenHBand="0" w:firstRowFirstColumn="0" w:firstRowLastColumn="0" w:lastRowFirstColumn="0" w:lastRowLastColumn="0"/>
            <w:tcW w:w="1073" w:type="dxa"/>
            <w:tcBorders>
              <w:top w:val="double" w:sz="6" w:space="0" w:color="auto"/>
            </w:tcBorders>
          </w:tcPr>
          <w:p w14:paraId="6BA6EF16" w14:textId="77777777" w:rsidR="009867E7" w:rsidRPr="00300C59" w:rsidRDefault="009867E7" w:rsidP="007C520D">
            <w:pPr>
              <w:pStyle w:val="TableBody"/>
              <w:jc w:val="center"/>
            </w:pPr>
            <w:r w:rsidRPr="00300C59">
              <w:t>78.7%</w:t>
            </w:r>
          </w:p>
        </w:tc>
        <w:tc>
          <w:tcPr>
            <w:tcW w:w="1080" w:type="dxa"/>
            <w:tcBorders>
              <w:top w:val="double" w:sz="4" w:space="0" w:color="auto"/>
            </w:tcBorders>
          </w:tcPr>
          <w:p w14:paraId="7E2F06B1"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58.3%</w:t>
            </w:r>
          </w:p>
        </w:tc>
        <w:tc>
          <w:tcPr>
            <w:cnfStyle w:val="000010000000" w:firstRow="0" w:lastRow="0" w:firstColumn="0" w:lastColumn="0" w:oddVBand="1" w:evenVBand="0" w:oddHBand="0" w:evenHBand="0" w:firstRowFirstColumn="0" w:firstRowLastColumn="0" w:lastRowFirstColumn="0" w:lastRowLastColumn="0"/>
            <w:tcW w:w="1080" w:type="dxa"/>
            <w:tcBorders>
              <w:top w:val="double" w:sz="6" w:space="0" w:color="auto"/>
            </w:tcBorders>
          </w:tcPr>
          <w:p w14:paraId="6D209D1F" w14:textId="77777777" w:rsidR="009867E7" w:rsidRPr="00300C59" w:rsidRDefault="009867E7" w:rsidP="007C520D">
            <w:pPr>
              <w:pStyle w:val="TableBody"/>
              <w:jc w:val="center"/>
            </w:pPr>
            <w:r w:rsidRPr="00300C59">
              <w:t>32.3%</w:t>
            </w:r>
          </w:p>
        </w:tc>
        <w:tc>
          <w:tcPr>
            <w:tcW w:w="1080" w:type="dxa"/>
            <w:tcBorders>
              <w:top w:val="double" w:sz="6" w:space="0" w:color="auto"/>
            </w:tcBorders>
          </w:tcPr>
          <w:p w14:paraId="1738B2F6"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18.2%</w:t>
            </w:r>
          </w:p>
        </w:tc>
      </w:tr>
      <w:tr w:rsidR="009867E7" w14:paraId="29F02C73" w14:textId="77777777" w:rsidTr="007C520D">
        <w:trPr>
          <w:trHeight w:val="211"/>
        </w:trPr>
        <w:tc>
          <w:tcPr>
            <w:cnfStyle w:val="001000000000" w:firstRow="0" w:lastRow="0" w:firstColumn="1" w:lastColumn="0" w:oddVBand="0" w:evenVBand="0" w:oddHBand="0" w:evenHBand="0" w:firstRowFirstColumn="0" w:firstRowLastColumn="0" w:lastRowFirstColumn="0" w:lastRowLastColumn="0"/>
            <w:tcW w:w="3152" w:type="dxa"/>
          </w:tcPr>
          <w:p w14:paraId="4070149E" w14:textId="77777777" w:rsidR="009867E7" w:rsidRPr="00300C59" w:rsidRDefault="009867E7" w:rsidP="007C520D">
            <w:pPr>
              <w:pStyle w:val="TableBody"/>
              <w:rPr>
                <w:b w:val="0"/>
              </w:rPr>
            </w:pPr>
            <w:r w:rsidRPr="00300C59">
              <w:rPr>
                <w:b w:val="0"/>
              </w:rPr>
              <w:t>Black/African American</w:t>
            </w:r>
          </w:p>
        </w:tc>
        <w:tc>
          <w:tcPr>
            <w:cnfStyle w:val="000010000000" w:firstRow="0" w:lastRow="0" w:firstColumn="0" w:lastColumn="0" w:oddVBand="1" w:evenVBand="0" w:oddHBand="0" w:evenHBand="0" w:firstRowFirstColumn="0" w:firstRowLastColumn="0" w:lastRowFirstColumn="0" w:lastRowLastColumn="0"/>
            <w:tcW w:w="1073" w:type="dxa"/>
          </w:tcPr>
          <w:p w14:paraId="26D3D222" w14:textId="77777777" w:rsidR="009867E7" w:rsidRPr="00300C59" w:rsidRDefault="009867E7" w:rsidP="007C520D">
            <w:pPr>
              <w:pStyle w:val="TableBody"/>
              <w:jc w:val="center"/>
            </w:pPr>
            <w:r w:rsidRPr="00300C59">
              <w:t>79.0%</w:t>
            </w:r>
          </w:p>
        </w:tc>
        <w:tc>
          <w:tcPr>
            <w:tcW w:w="1080" w:type="dxa"/>
          </w:tcPr>
          <w:p w14:paraId="273128F0"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69.5%</w:t>
            </w:r>
          </w:p>
        </w:tc>
        <w:tc>
          <w:tcPr>
            <w:cnfStyle w:val="000010000000" w:firstRow="0" w:lastRow="0" w:firstColumn="0" w:lastColumn="0" w:oddVBand="1" w:evenVBand="0" w:oddHBand="0" w:evenHBand="0" w:firstRowFirstColumn="0" w:firstRowLastColumn="0" w:lastRowFirstColumn="0" w:lastRowLastColumn="0"/>
            <w:tcW w:w="1080" w:type="dxa"/>
          </w:tcPr>
          <w:p w14:paraId="23FC36B6" w14:textId="77777777" w:rsidR="009867E7" w:rsidRPr="00300C59" w:rsidRDefault="009867E7" w:rsidP="007C520D">
            <w:pPr>
              <w:pStyle w:val="TableBody"/>
              <w:jc w:val="center"/>
            </w:pPr>
            <w:r w:rsidRPr="00300C59">
              <w:t>40.5%</w:t>
            </w:r>
          </w:p>
        </w:tc>
        <w:tc>
          <w:tcPr>
            <w:tcW w:w="1080" w:type="dxa"/>
          </w:tcPr>
          <w:p w14:paraId="1DCBAE73"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19.6%</w:t>
            </w:r>
          </w:p>
        </w:tc>
      </w:tr>
      <w:tr w:rsidR="009867E7" w14:paraId="22AB4484" w14:textId="77777777" w:rsidTr="007C520D">
        <w:trPr>
          <w:trHeight w:val="199"/>
        </w:trPr>
        <w:tc>
          <w:tcPr>
            <w:cnfStyle w:val="001000000000" w:firstRow="0" w:lastRow="0" w:firstColumn="1" w:lastColumn="0" w:oddVBand="0" w:evenVBand="0" w:oddHBand="0" w:evenHBand="0" w:firstRowFirstColumn="0" w:firstRowLastColumn="0" w:lastRowFirstColumn="0" w:lastRowLastColumn="0"/>
            <w:tcW w:w="3152" w:type="dxa"/>
          </w:tcPr>
          <w:p w14:paraId="7DE5F3DE" w14:textId="77777777" w:rsidR="009867E7" w:rsidRPr="00300C59" w:rsidRDefault="009867E7" w:rsidP="007C520D">
            <w:pPr>
              <w:pStyle w:val="TableBody"/>
              <w:rPr>
                <w:b w:val="0"/>
              </w:rPr>
            </w:pPr>
            <w:r w:rsidRPr="00300C59">
              <w:rPr>
                <w:b w:val="0"/>
              </w:rPr>
              <w:t>Asian</w:t>
            </w:r>
          </w:p>
        </w:tc>
        <w:tc>
          <w:tcPr>
            <w:cnfStyle w:val="000010000000" w:firstRow="0" w:lastRow="0" w:firstColumn="0" w:lastColumn="0" w:oddVBand="1" w:evenVBand="0" w:oddHBand="0" w:evenHBand="0" w:firstRowFirstColumn="0" w:firstRowLastColumn="0" w:lastRowFirstColumn="0" w:lastRowLastColumn="0"/>
            <w:tcW w:w="1073" w:type="dxa"/>
          </w:tcPr>
          <w:p w14:paraId="79C97F69" w14:textId="77777777" w:rsidR="009867E7" w:rsidRPr="00300C59" w:rsidRDefault="009867E7" w:rsidP="007C520D">
            <w:pPr>
              <w:pStyle w:val="TableBody"/>
              <w:jc w:val="center"/>
            </w:pPr>
            <w:r w:rsidRPr="00300C59">
              <w:t>76.6%</w:t>
            </w:r>
          </w:p>
        </w:tc>
        <w:tc>
          <w:tcPr>
            <w:tcW w:w="1080" w:type="dxa"/>
          </w:tcPr>
          <w:p w14:paraId="4229D169"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67.5%</w:t>
            </w:r>
          </w:p>
        </w:tc>
        <w:tc>
          <w:tcPr>
            <w:cnfStyle w:val="000010000000" w:firstRow="0" w:lastRow="0" w:firstColumn="0" w:lastColumn="0" w:oddVBand="1" w:evenVBand="0" w:oddHBand="0" w:evenHBand="0" w:firstRowFirstColumn="0" w:firstRowLastColumn="0" w:lastRowFirstColumn="0" w:lastRowLastColumn="0"/>
            <w:tcW w:w="1080" w:type="dxa"/>
          </w:tcPr>
          <w:p w14:paraId="59538322" w14:textId="77777777" w:rsidR="009867E7" w:rsidRPr="00300C59" w:rsidRDefault="009867E7" w:rsidP="007C520D">
            <w:pPr>
              <w:pStyle w:val="TableBody"/>
              <w:jc w:val="center"/>
            </w:pPr>
            <w:r w:rsidRPr="00300C59">
              <w:t>41.7%</w:t>
            </w:r>
          </w:p>
        </w:tc>
        <w:tc>
          <w:tcPr>
            <w:tcW w:w="1080" w:type="dxa"/>
          </w:tcPr>
          <w:p w14:paraId="73DA8EF5"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23.1%</w:t>
            </w:r>
          </w:p>
        </w:tc>
      </w:tr>
      <w:tr w:rsidR="009867E7" w14:paraId="18D0D36A" w14:textId="77777777" w:rsidTr="007C520D">
        <w:trPr>
          <w:trHeight w:val="287"/>
        </w:trPr>
        <w:tc>
          <w:tcPr>
            <w:cnfStyle w:val="001000000000" w:firstRow="0" w:lastRow="0" w:firstColumn="1" w:lastColumn="0" w:oddVBand="0" w:evenVBand="0" w:oddHBand="0" w:evenHBand="0" w:firstRowFirstColumn="0" w:firstRowLastColumn="0" w:lastRowFirstColumn="0" w:lastRowLastColumn="0"/>
            <w:tcW w:w="3152" w:type="dxa"/>
          </w:tcPr>
          <w:p w14:paraId="1F704B01" w14:textId="77777777" w:rsidR="009867E7" w:rsidRPr="00300C59" w:rsidRDefault="009867E7" w:rsidP="007C520D">
            <w:pPr>
              <w:pStyle w:val="TableBody"/>
              <w:rPr>
                <w:b w:val="0"/>
              </w:rPr>
            </w:pPr>
            <w:r w:rsidRPr="00300C59">
              <w:rPr>
                <w:b w:val="0"/>
              </w:rPr>
              <w:t>American Indian, Alaska Native</w:t>
            </w:r>
          </w:p>
        </w:tc>
        <w:tc>
          <w:tcPr>
            <w:cnfStyle w:val="000010000000" w:firstRow="0" w:lastRow="0" w:firstColumn="0" w:lastColumn="0" w:oddVBand="1" w:evenVBand="0" w:oddHBand="0" w:evenHBand="0" w:firstRowFirstColumn="0" w:firstRowLastColumn="0" w:lastRowFirstColumn="0" w:lastRowLastColumn="0"/>
            <w:tcW w:w="1073" w:type="dxa"/>
          </w:tcPr>
          <w:p w14:paraId="31FA310B" w14:textId="77777777" w:rsidR="009867E7" w:rsidRPr="00300C59" w:rsidRDefault="009867E7" w:rsidP="007C520D">
            <w:pPr>
              <w:pStyle w:val="TableBody"/>
              <w:jc w:val="center"/>
            </w:pPr>
            <w:r w:rsidRPr="00300C59">
              <w:t>82.6%</w:t>
            </w:r>
          </w:p>
        </w:tc>
        <w:tc>
          <w:tcPr>
            <w:tcW w:w="1080" w:type="dxa"/>
          </w:tcPr>
          <w:p w14:paraId="66383801"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59.9%</w:t>
            </w:r>
          </w:p>
        </w:tc>
        <w:tc>
          <w:tcPr>
            <w:cnfStyle w:val="000010000000" w:firstRow="0" w:lastRow="0" w:firstColumn="0" w:lastColumn="0" w:oddVBand="1" w:evenVBand="0" w:oddHBand="0" w:evenHBand="0" w:firstRowFirstColumn="0" w:firstRowLastColumn="0" w:lastRowFirstColumn="0" w:lastRowLastColumn="0"/>
            <w:tcW w:w="1080" w:type="dxa"/>
          </w:tcPr>
          <w:p w14:paraId="15C9635F" w14:textId="77777777" w:rsidR="009867E7" w:rsidRPr="00300C59" w:rsidRDefault="009867E7" w:rsidP="007C520D">
            <w:pPr>
              <w:pStyle w:val="TableBody"/>
              <w:jc w:val="center"/>
            </w:pPr>
            <w:r w:rsidRPr="00300C59">
              <w:t>35.7%</w:t>
            </w:r>
          </w:p>
        </w:tc>
        <w:tc>
          <w:tcPr>
            <w:tcW w:w="1080" w:type="dxa"/>
          </w:tcPr>
          <w:p w14:paraId="69F5E14A"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18.8%</w:t>
            </w:r>
          </w:p>
        </w:tc>
      </w:tr>
      <w:tr w:rsidR="009867E7" w14:paraId="283CDD01" w14:textId="77777777" w:rsidTr="007C520D">
        <w:trPr>
          <w:trHeight w:val="199"/>
        </w:trPr>
        <w:tc>
          <w:tcPr>
            <w:cnfStyle w:val="001000000000" w:firstRow="0" w:lastRow="0" w:firstColumn="1" w:lastColumn="0" w:oddVBand="0" w:evenVBand="0" w:oddHBand="0" w:evenHBand="0" w:firstRowFirstColumn="0" w:firstRowLastColumn="0" w:lastRowFirstColumn="0" w:lastRowLastColumn="0"/>
            <w:tcW w:w="3152" w:type="dxa"/>
          </w:tcPr>
          <w:p w14:paraId="1E4B42D5" w14:textId="77777777" w:rsidR="009867E7" w:rsidRPr="00300C59" w:rsidRDefault="009867E7" w:rsidP="007C520D">
            <w:pPr>
              <w:pStyle w:val="TableBody"/>
              <w:rPr>
                <w:b w:val="0"/>
              </w:rPr>
            </w:pPr>
            <w:r w:rsidRPr="00300C59">
              <w:rPr>
                <w:b w:val="0"/>
              </w:rPr>
              <w:t>Pacific Islander</w:t>
            </w:r>
          </w:p>
        </w:tc>
        <w:tc>
          <w:tcPr>
            <w:cnfStyle w:val="000010000000" w:firstRow="0" w:lastRow="0" w:firstColumn="0" w:lastColumn="0" w:oddVBand="1" w:evenVBand="0" w:oddHBand="0" w:evenHBand="0" w:firstRowFirstColumn="0" w:firstRowLastColumn="0" w:lastRowFirstColumn="0" w:lastRowLastColumn="0"/>
            <w:tcW w:w="1073" w:type="dxa"/>
          </w:tcPr>
          <w:p w14:paraId="484F9722" w14:textId="77777777" w:rsidR="009867E7" w:rsidRPr="00300C59" w:rsidRDefault="009867E7" w:rsidP="007C520D">
            <w:pPr>
              <w:pStyle w:val="TableBody"/>
              <w:jc w:val="center"/>
            </w:pPr>
            <w:r w:rsidRPr="00300C59">
              <w:t>77.0%</w:t>
            </w:r>
          </w:p>
        </w:tc>
        <w:tc>
          <w:tcPr>
            <w:tcW w:w="1080" w:type="dxa"/>
          </w:tcPr>
          <w:p w14:paraId="3065BE35"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b/>
              </w:rPr>
            </w:pPr>
            <w:r w:rsidRPr="00300C59">
              <w:rPr>
                <w:b/>
              </w:rPr>
              <w:t>77.8%</w:t>
            </w:r>
          </w:p>
        </w:tc>
        <w:tc>
          <w:tcPr>
            <w:cnfStyle w:val="000010000000" w:firstRow="0" w:lastRow="0" w:firstColumn="0" w:lastColumn="0" w:oddVBand="1" w:evenVBand="0" w:oddHBand="0" w:evenHBand="0" w:firstRowFirstColumn="0" w:firstRowLastColumn="0" w:lastRowFirstColumn="0" w:lastRowLastColumn="0"/>
            <w:tcW w:w="1080" w:type="dxa"/>
          </w:tcPr>
          <w:p w14:paraId="4A3EBC56" w14:textId="77777777" w:rsidR="009867E7" w:rsidRPr="00300C59" w:rsidRDefault="009867E7" w:rsidP="007C520D">
            <w:pPr>
              <w:pStyle w:val="TableBody"/>
              <w:jc w:val="center"/>
              <w:rPr>
                <w:b/>
              </w:rPr>
            </w:pPr>
            <w:r w:rsidRPr="00300C59">
              <w:rPr>
                <w:b/>
              </w:rPr>
              <w:t>74.1%</w:t>
            </w:r>
          </w:p>
        </w:tc>
        <w:tc>
          <w:tcPr>
            <w:tcW w:w="1080" w:type="dxa"/>
          </w:tcPr>
          <w:p w14:paraId="63CC1B36"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25.6%</w:t>
            </w:r>
          </w:p>
        </w:tc>
      </w:tr>
      <w:tr w:rsidR="009867E7" w14:paraId="5CCBDE85" w14:textId="77777777" w:rsidTr="007C520D">
        <w:trPr>
          <w:trHeight w:val="211"/>
        </w:trPr>
        <w:tc>
          <w:tcPr>
            <w:cnfStyle w:val="001000000000" w:firstRow="0" w:lastRow="0" w:firstColumn="1" w:lastColumn="0" w:oddVBand="0" w:evenVBand="0" w:oddHBand="0" w:evenHBand="0" w:firstRowFirstColumn="0" w:firstRowLastColumn="0" w:lastRowFirstColumn="0" w:lastRowLastColumn="0"/>
            <w:tcW w:w="3152" w:type="dxa"/>
          </w:tcPr>
          <w:p w14:paraId="41F748E7" w14:textId="77777777" w:rsidR="009867E7" w:rsidRPr="00300C59" w:rsidRDefault="009867E7" w:rsidP="007C520D">
            <w:pPr>
              <w:pStyle w:val="TableBody"/>
              <w:rPr>
                <w:b w:val="0"/>
              </w:rPr>
            </w:pPr>
            <w:r w:rsidRPr="00300C59">
              <w:rPr>
                <w:b w:val="0"/>
              </w:rPr>
              <w:t>Hispanic</w:t>
            </w:r>
          </w:p>
        </w:tc>
        <w:tc>
          <w:tcPr>
            <w:cnfStyle w:val="000010000000" w:firstRow="0" w:lastRow="0" w:firstColumn="0" w:lastColumn="0" w:oddVBand="1" w:evenVBand="0" w:oddHBand="0" w:evenHBand="0" w:firstRowFirstColumn="0" w:firstRowLastColumn="0" w:lastRowFirstColumn="0" w:lastRowLastColumn="0"/>
            <w:tcW w:w="1073" w:type="dxa"/>
          </w:tcPr>
          <w:p w14:paraId="46B4A214" w14:textId="77777777" w:rsidR="009867E7" w:rsidRPr="00300C59" w:rsidRDefault="009867E7" w:rsidP="007C520D">
            <w:pPr>
              <w:pStyle w:val="TableBody"/>
              <w:jc w:val="center"/>
            </w:pPr>
            <w:r w:rsidRPr="00300C59">
              <w:t>86.3%</w:t>
            </w:r>
          </w:p>
        </w:tc>
        <w:tc>
          <w:tcPr>
            <w:tcW w:w="1080" w:type="dxa"/>
          </w:tcPr>
          <w:p w14:paraId="1ABAC324"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67.1%</w:t>
            </w:r>
          </w:p>
        </w:tc>
        <w:tc>
          <w:tcPr>
            <w:cnfStyle w:val="000010000000" w:firstRow="0" w:lastRow="0" w:firstColumn="0" w:lastColumn="0" w:oddVBand="1" w:evenVBand="0" w:oddHBand="0" w:evenHBand="0" w:firstRowFirstColumn="0" w:firstRowLastColumn="0" w:lastRowFirstColumn="0" w:lastRowLastColumn="0"/>
            <w:tcW w:w="1080" w:type="dxa"/>
          </w:tcPr>
          <w:p w14:paraId="09DD08CF" w14:textId="77777777" w:rsidR="009867E7" w:rsidRPr="00300C59" w:rsidRDefault="009867E7" w:rsidP="007C520D">
            <w:pPr>
              <w:pStyle w:val="TableBody"/>
              <w:jc w:val="center"/>
            </w:pPr>
            <w:r w:rsidRPr="00300C59">
              <w:t>35.0%</w:t>
            </w:r>
          </w:p>
        </w:tc>
        <w:tc>
          <w:tcPr>
            <w:tcW w:w="1080" w:type="dxa"/>
          </w:tcPr>
          <w:p w14:paraId="7FA7A0AC"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24.3%</w:t>
            </w:r>
          </w:p>
        </w:tc>
      </w:tr>
      <w:tr w:rsidR="009867E7" w14:paraId="29924469" w14:textId="77777777" w:rsidTr="007C520D">
        <w:trPr>
          <w:cnfStyle w:val="010000000000" w:firstRow="0" w:lastRow="1"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152" w:type="dxa"/>
          </w:tcPr>
          <w:p w14:paraId="14246DDC" w14:textId="77777777" w:rsidR="009867E7" w:rsidRPr="00300C59" w:rsidRDefault="009867E7" w:rsidP="007C520D">
            <w:pPr>
              <w:pStyle w:val="TableBody"/>
              <w:rPr>
                <w:b w:val="0"/>
              </w:rPr>
            </w:pPr>
            <w:r w:rsidRPr="00300C59">
              <w:rPr>
                <w:b w:val="0"/>
              </w:rPr>
              <w:t>Jurisdiction as a Whole</w:t>
            </w:r>
          </w:p>
        </w:tc>
        <w:tc>
          <w:tcPr>
            <w:cnfStyle w:val="000010000000" w:firstRow="0" w:lastRow="0" w:firstColumn="0" w:lastColumn="0" w:oddVBand="1" w:evenVBand="0" w:oddHBand="0" w:evenHBand="0" w:firstRowFirstColumn="0" w:firstRowLastColumn="0" w:lastRowFirstColumn="0" w:lastRowLastColumn="0"/>
            <w:tcW w:w="1073" w:type="dxa"/>
          </w:tcPr>
          <w:p w14:paraId="549746B8" w14:textId="77777777" w:rsidR="009867E7" w:rsidRPr="00300C59" w:rsidRDefault="009867E7" w:rsidP="007C520D">
            <w:pPr>
              <w:pStyle w:val="TableBody"/>
              <w:jc w:val="center"/>
              <w:rPr>
                <w:b w:val="0"/>
              </w:rPr>
            </w:pPr>
            <w:r w:rsidRPr="00300C59">
              <w:rPr>
                <w:b w:val="0"/>
              </w:rPr>
              <w:t>79.5%</w:t>
            </w:r>
          </w:p>
        </w:tc>
        <w:tc>
          <w:tcPr>
            <w:tcW w:w="1080" w:type="dxa"/>
          </w:tcPr>
          <w:p w14:paraId="4A80EAB8" w14:textId="77777777" w:rsidR="009867E7" w:rsidRPr="00300C59" w:rsidRDefault="009867E7" w:rsidP="007C520D">
            <w:pPr>
              <w:pStyle w:val="TableBody"/>
              <w:jc w:val="center"/>
              <w:cnfStyle w:val="010000000000" w:firstRow="0" w:lastRow="1" w:firstColumn="0" w:lastColumn="0" w:oddVBand="0" w:evenVBand="0" w:oddHBand="0" w:evenHBand="0" w:firstRowFirstColumn="0" w:firstRowLastColumn="0" w:lastRowFirstColumn="0" w:lastRowLastColumn="0"/>
              <w:rPr>
                <w:b w:val="0"/>
              </w:rPr>
            </w:pPr>
            <w:r w:rsidRPr="00300C59">
              <w:rPr>
                <w:b w:val="0"/>
              </w:rPr>
              <w:t>60.4%</w:t>
            </w:r>
          </w:p>
        </w:tc>
        <w:tc>
          <w:tcPr>
            <w:cnfStyle w:val="000010000000" w:firstRow="0" w:lastRow="0" w:firstColumn="0" w:lastColumn="0" w:oddVBand="1" w:evenVBand="0" w:oddHBand="0" w:evenHBand="0" w:firstRowFirstColumn="0" w:firstRowLastColumn="0" w:lastRowFirstColumn="0" w:lastRowLastColumn="0"/>
            <w:tcW w:w="1080" w:type="dxa"/>
          </w:tcPr>
          <w:p w14:paraId="4EB96192" w14:textId="77777777" w:rsidR="009867E7" w:rsidRPr="00300C59" w:rsidRDefault="009867E7" w:rsidP="007C520D">
            <w:pPr>
              <w:pStyle w:val="TableBody"/>
              <w:jc w:val="center"/>
              <w:rPr>
                <w:b w:val="0"/>
              </w:rPr>
            </w:pPr>
            <w:r w:rsidRPr="00300C59">
              <w:rPr>
                <w:b w:val="0"/>
              </w:rPr>
              <w:t>33.3%</w:t>
            </w:r>
          </w:p>
        </w:tc>
        <w:tc>
          <w:tcPr>
            <w:tcW w:w="1080" w:type="dxa"/>
          </w:tcPr>
          <w:p w14:paraId="38E0F7E1" w14:textId="77777777" w:rsidR="009867E7" w:rsidRPr="00300C59" w:rsidRDefault="009867E7" w:rsidP="007C520D">
            <w:pPr>
              <w:pStyle w:val="TableBody"/>
              <w:jc w:val="center"/>
              <w:cnfStyle w:val="010000000000" w:firstRow="0" w:lastRow="1" w:firstColumn="0" w:lastColumn="0" w:oddVBand="0" w:evenVBand="0" w:oddHBand="0" w:evenHBand="0" w:firstRowFirstColumn="0" w:firstRowLastColumn="0" w:lastRowFirstColumn="0" w:lastRowLastColumn="0"/>
              <w:rPr>
                <w:b w:val="0"/>
              </w:rPr>
            </w:pPr>
            <w:r w:rsidRPr="00300C59">
              <w:rPr>
                <w:b w:val="0"/>
              </w:rPr>
              <w:t>18.7%</w:t>
            </w:r>
          </w:p>
        </w:tc>
      </w:tr>
    </w:tbl>
    <w:p w14:paraId="6B574988" w14:textId="77777777" w:rsidR="009867E7" w:rsidRPr="00781852" w:rsidRDefault="009867E7" w:rsidP="009867E7">
      <w:pPr>
        <w:jc w:val="both"/>
        <w:rPr>
          <w:i/>
          <w:sz w:val="18"/>
          <w:szCs w:val="24"/>
        </w:rPr>
      </w:pPr>
      <w:r>
        <w:rPr>
          <w:i/>
          <w:sz w:val="18"/>
          <w:szCs w:val="24"/>
        </w:rPr>
        <w:t>Source: 2009-2013 CHAS</w:t>
      </w:r>
    </w:p>
    <w:p w14:paraId="0EACDAFF" w14:textId="220BB9A6" w:rsidR="009867E7" w:rsidRPr="00AA11EA" w:rsidRDefault="009867E7" w:rsidP="009867E7">
      <w:pPr>
        <w:pStyle w:val="Body"/>
        <w:rPr>
          <w:sz w:val="24"/>
          <w:szCs w:val="24"/>
        </w:rPr>
      </w:pPr>
      <w:r w:rsidRPr="00AA11EA">
        <w:rPr>
          <w:sz w:val="24"/>
          <w:szCs w:val="24"/>
        </w:rPr>
        <w:t>The following tables break down each income segment by racial/ethnic category and the number of housing problems and are HUD-generated tables using 200</w:t>
      </w:r>
      <w:r>
        <w:rPr>
          <w:sz w:val="24"/>
          <w:szCs w:val="24"/>
        </w:rPr>
        <w:t>9-2013</w:t>
      </w:r>
      <w:r w:rsidRPr="00AA11EA">
        <w:rPr>
          <w:sz w:val="24"/>
          <w:szCs w:val="24"/>
        </w:rPr>
        <w:t xml:space="preserve"> CHAS data.</w:t>
      </w:r>
    </w:p>
    <w:p w14:paraId="185A3464" w14:textId="77777777" w:rsidR="009867E7" w:rsidRDefault="009867E7" w:rsidP="009867E7">
      <w:pPr>
        <w:keepNext/>
        <w:widowControl w:val="0"/>
        <w:rPr>
          <w:b/>
          <w:sz w:val="24"/>
          <w:szCs w:val="24"/>
        </w:rPr>
      </w:pPr>
      <w:r>
        <w:rPr>
          <w:b/>
          <w:sz w:val="24"/>
          <w:szCs w:val="24"/>
        </w:rPr>
        <w:t xml:space="preserve">Table 9 – 0%-30%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2F8FF58A"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798AC4E"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Housing Problems</w:t>
            </w:r>
          </w:p>
        </w:tc>
        <w:tc>
          <w:tcPr>
            <w:cnfStyle w:val="000010000000" w:firstRow="0" w:lastRow="0" w:firstColumn="0" w:lastColumn="0" w:oddVBand="1" w:evenVBand="0" w:oddHBand="0" w:evenHBand="0" w:firstRowFirstColumn="0" w:firstRowLastColumn="0" w:lastRowFirstColumn="0" w:lastRowLastColumn="0"/>
            <w:tcW w:w="1996" w:type="dxa"/>
          </w:tcPr>
          <w:p w14:paraId="17170D39"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97" w:type="dxa"/>
          </w:tcPr>
          <w:p w14:paraId="6A62F1DC"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97" w:type="dxa"/>
          </w:tcPr>
          <w:p w14:paraId="70E580ED"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78BEAE75"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40CB8946"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96" w:type="dxa"/>
          </w:tcPr>
          <w:p w14:paraId="5B5E099C" w14:textId="77777777" w:rsidR="009867E7" w:rsidRPr="00300C59" w:rsidRDefault="009867E7" w:rsidP="007C520D">
            <w:pPr>
              <w:keepNext/>
              <w:widowControl w:val="0"/>
              <w:spacing w:after="0" w:line="240" w:lineRule="auto"/>
              <w:rPr>
                <w:sz w:val="20"/>
              </w:rPr>
            </w:pPr>
            <w:r w:rsidRPr="00300C59">
              <w:rPr>
                <w:sz w:val="20"/>
              </w:rPr>
              <w:t>97</w:t>
            </w:r>
            <w:r>
              <w:rPr>
                <w:sz w:val="20"/>
              </w:rPr>
              <w:t>,</w:t>
            </w:r>
            <w:r w:rsidRPr="00300C59">
              <w:rPr>
                <w:sz w:val="20"/>
              </w:rPr>
              <w:t>161</w:t>
            </w:r>
          </w:p>
        </w:tc>
        <w:tc>
          <w:tcPr>
            <w:tcW w:w="1997" w:type="dxa"/>
          </w:tcPr>
          <w:p w14:paraId="41A394F1"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18</w:t>
            </w:r>
            <w:r>
              <w:rPr>
                <w:sz w:val="20"/>
              </w:rPr>
              <w:t>,</w:t>
            </w:r>
            <w:r w:rsidRPr="00300C59">
              <w:rPr>
                <w:sz w:val="20"/>
              </w:rPr>
              <w:t>014</w:t>
            </w:r>
          </w:p>
        </w:tc>
        <w:tc>
          <w:tcPr>
            <w:cnfStyle w:val="000010000000" w:firstRow="0" w:lastRow="0" w:firstColumn="0" w:lastColumn="0" w:oddVBand="1" w:evenVBand="0" w:oddHBand="0" w:evenHBand="0" w:firstRowFirstColumn="0" w:firstRowLastColumn="0" w:lastRowFirstColumn="0" w:lastRowLastColumn="0"/>
            <w:tcW w:w="1997" w:type="dxa"/>
          </w:tcPr>
          <w:p w14:paraId="3B95B146" w14:textId="77777777" w:rsidR="009867E7" w:rsidRPr="00300C59" w:rsidRDefault="009867E7" w:rsidP="007C520D">
            <w:pPr>
              <w:keepNext/>
              <w:widowControl w:val="0"/>
              <w:spacing w:after="0" w:line="240" w:lineRule="auto"/>
              <w:rPr>
                <w:sz w:val="20"/>
              </w:rPr>
            </w:pPr>
            <w:r w:rsidRPr="00300C59">
              <w:rPr>
                <w:sz w:val="20"/>
              </w:rPr>
              <w:t>7</w:t>
            </w:r>
            <w:r>
              <w:rPr>
                <w:sz w:val="20"/>
              </w:rPr>
              <w:t>,</w:t>
            </w:r>
            <w:r w:rsidRPr="00300C59">
              <w:rPr>
                <w:sz w:val="20"/>
              </w:rPr>
              <w:t>111</w:t>
            </w:r>
          </w:p>
        </w:tc>
      </w:tr>
      <w:tr w:rsidR="009867E7" w14:paraId="4F4EE090"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4637AB26"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96" w:type="dxa"/>
          </w:tcPr>
          <w:p w14:paraId="60ADB954" w14:textId="77777777" w:rsidR="009867E7" w:rsidRPr="00300C59" w:rsidRDefault="009867E7" w:rsidP="007C520D">
            <w:pPr>
              <w:keepNext/>
              <w:widowControl w:val="0"/>
              <w:spacing w:after="0" w:line="240" w:lineRule="auto"/>
              <w:rPr>
                <w:sz w:val="20"/>
              </w:rPr>
            </w:pPr>
            <w:r w:rsidRPr="00300C59">
              <w:rPr>
                <w:sz w:val="20"/>
              </w:rPr>
              <w:t>70</w:t>
            </w:r>
            <w:r>
              <w:rPr>
                <w:sz w:val="20"/>
              </w:rPr>
              <w:t>,</w:t>
            </w:r>
            <w:r w:rsidRPr="00300C59">
              <w:rPr>
                <w:sz w:val="20"/>
              </w:rPr>
              <w:t>482</w:t>
            </w:r>
          </w:p>
        </w:tc>
        <w:tc>
          <w:tcPr>
            <w:tcW w:w="1997" w:type="dxa"/>
          </w:tcPr>
          <w:p w14:paraId="03ABB44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13</w:t>
            </w:r>
            <w:r>
              <w:rPr>
                <w:sz w:val="20"/>
              </w:rPr>
              <w:t>,</w:t>
            </w:r>
            <w:r w:rsidRPr="00300C59">
              <w:rPr>
                <w:sz w:val="20"/>
              </w:rPr>
              <w:t>901</w:t>
            </w:r>
          </w:p>
        </w:tc>
        <w:tc>
          <w:tcPr>
            <w:cnfStyle w:val="000010000000" w:firstRow="0" w:lastRow="0" w:firstColumn="0" w:lastColumn="0" w:oddVBand="1" w:evenVBand="0" w:oddHBand="0" w:evenHBand="0" w:firstRowFirstColumn="0" w:firstRowLastColumn="0" w:lastRowFirstColumn="0" w:lastRowLastColumn="0"/>
            <w:tcW w:w="1997" w:type="dxa"/>
          </w:tcPr>
          <w:p w14:paraId="6D2F6BFE" w14:textId="77777777" w:rsidR="009867E7" w:rsidRPr="00300C59" w:rsidRDefault="009867E7" w:rsidP="007C520D">
            <w:pPr>
              <w:keepNext/>
              <w:widowControl w:val="0"/>
              <w:spacing w:after="0" w:line="240" w:lineRule="auto"/>
              <w:rPr>
                <w:sz w:val="20"/>
              </w:rPr>
            </w:pPr>
            <w:r w:rsidRPr="00300C59">
              <w:rPr>
                <w:sz w:val="20"/>
              </w:rPr>
              <w:t>5</w:t>
            </w:r>
            <w:r>
              <w:rPr>
                <w:sz w:val="20"/>
              </w:rPr>
              <w:t>,</w:t>
            </w:r>
            <w:r w:rsidRPr="00300C59">
              <w:rPr>
                <w:sz w:val="20"/>
              </w:rPr>
              <w:t>218</w:t>
            </w:r>
          </w:p>
        </w:tc>
      </w:tr>
      <w:tr w:rsidR="009867E7" w14:paraId="38BB3E92"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2009E6BB"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96" w:type="dxa"/>
          </w:tcPr>
          <w:p w14:paraId="36E5556C" w14:textId="77777777" w:rsidR="009867E7" w:rsidRPr="00300C59" w:rsidRDefault="009867E7" w:rsidP="007C520D">
            <w:pPr>
              <w:keepNext/>
              <w:widowControl w:val="0"/>
              <w:spacing w:after="0" w:line="240" w:lineRule="auto"/>
              <w:rPr>
                <w:sz w:val="20"/>
              </w:rPr>
            </w:pPr>
            <w:r w:rsidRPr="00300C59">
              <w:rPr>
                <w:sz w:val="20"/>
              </w:rPr>
              <w:t>11</w:t>
            </w:r>
            <w:r>
              <w:rPr>
                <w:sz w:val="20"/>
              </w:rPr>
              <w:t>,</w:t>
            </w:r>
            <w:r w:rsidRPr="00300C59">
              <w:rPr>
                <w:sz w:val="20"/>
              </w:rPr>
              <w:t>995</w:t>
            </w:r>
          </w:p>
        </w:tc>
        <w:tc>
          <w:tcPr>
            <w:tcW w:w="1997" w:type="dxa"/>
          </w:tcPr>
          <w:p w14:paraId="170AE0A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w:t>
            </w:r>
            <w:r>
              <w:rPr>
                <w:sz w:val="20"/>
              </w:rPr>
              <w:t>,</w:t>
            </w:r>
            <w:r w:rsidRPr="00300C59">
              <w:rPr>
                <w:sz w:val="20"/>
              </w:rPr>
              <w:t>378</w:t>
            </w:r>
          </w:p>
        </w:tc>
        <w:tc>
          <w:tcPr>
            <w:cnfStyle w:val="000010000000" w:firstRow="0" w:lastRow="0" w:firstColumn="0" w:lastColumn="0" w:oddVBand="1" w:evenVBand="0" w:oddHBand="0" w:evenHBand="0" w:firstRowFirstColumn="0" w:firstRowLastColumn="0" w:lastRowFirstColumn="0" w:lastRowLastColumn="0"/>
            <w:tcW w:w="1997" w:type="dxa"/>
          </w:tcPr>
          <w:p w14:paraId="17587CDF" w14:textId="77777777" w:rsidR="009867E7" w:rsidRPr="00300C59" w:rsidRDefault="009867E7" w:rsidP="007C520D">
            <w:pPr>
              <w:keepNext/>
              <w:widowControl w:val="0"/>
              <w:spacing w:after="0" w:line="240" w:lineRule="auto"/>
              <w:rPr>
                <w:sz w:val="20"/>
              </w:rPr>
            </w:pPr>
            <w:r w:rsidRPr="00300C59">
              <w:rPr>
                <w:sz w:val="20"/>
              </w:rPr>
              <w:t>802</w:t>
            </w:r>
          </w:p>
        </w:tc>
      </w:tr>
      <w:tr w:rsidR="009867E7" w14:paraId="424C9A1A"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025C2C6D"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96" w:type="dxa"/>
          </w:tcPr>
          <w:p w14:paraId="25210CB8"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952</w:t>
            </w:r>
          </w:p>
        </w:tc>
        <w:tc>
          <w:tcPr>
            <w:tcW w:w="1997" w:type="dxa"/>
          </w:tcPr>
          <w:p w14:paraId="7FF1AE6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143</w:t>
            </w:r>
          </w:p>
        </w:tc>
        <w:tc>
          <w:tcPr>
            <w:cnfStyle w:val="000010000000" w:firstRow="0" w:lastRow="0" w:firstColumn="0" w:lastColumn="0" w:oddVBand="1" w:evenVBand="0" w:oddHBand="0" w:evenHBand="0" w:firstRowFirstColumn="0" w:firstRowLastColumn="0" w:lastRowFirstColumn="0" w:lastRowLastColumn="0"/>
            <w:tcW w:w="1997" w:type="dxa"/>
          </w:tcPr>
          <w:p w14:paraId="75BBD7A4" w14:textId="77777777" w:rsidR="009867E7" w:rsidRPr="00300C59" w:rsidRDefault="009867E7" w:rsidP="007C520D">
            <w:pPr>
              <w:keepNext/>
              <w:widowControl w:val="0"/>
              <w:spacing w:after="0" w:line="240" w:lineRule="auto"/>
              <w:rPr>
                <w:sz w:val="20"/>
              </w:rPr>
            </w:pPr>
            <w:r w:rsidRPr="00300C59">
              <w:rPr>
                <w:sz w:val="20"/>
              </w:rPr>
              <w:t>452</w:t>
            </w:r>
          </w:p>
        </w:tc>
      </w:tr>
      <w:tr w:rsidR="009867E7" w14:paraId="1B08393A"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0FC0A41A"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96" w:type="dxa"/>
          </w:tcPr>
          <w:p w14:paraId="6C6425F3" w14:textId="77777777" w:rsidR="009867E7" w:rsidRPr="00300C59" w:rsidRDefault="009867E7" w:rsidP="007C520D">
            <w:pPr>
              <w:keepNext/>
              <w:widowControl w:val="0"/>
              <w:spacing w:after="0" w:line="240" w:lineRule="auto"/>
              <w:rPr>
                <w:sz w:val="20"/>
              </w:rPr>
            </w:pPr>
            <w:r w:rsidRPr="00300C59">
              <w:rPr>
                <w:sz w:val="20"/>
              </w:rPr>
              <w:t>999</w:t>
            </w:r>
          </w:p>
        </w:tc>
        <w:tc>
          <w:tcPr>
            <w:tcW w:w="1997" w:type="dxa"/>
          </w:tcPr>
          <w:p w14:paraId="5910D76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187</w:t>
            </w:r>
          </w:p>
        </w:tc>
        <w:tc>
          <w:tcPr>
            <w:cnfStyle w:val="000010000000" w:firstRow="0" w:lastRow="0" w:firstColumn="0" w:lastColumn="0" w:oddVBand="1" w:evenVBand="0" w:oddHBand="0" w:evenHBand="0" w:firstRowFirstColumn="0" w:firstRowLastColumn="0" w:lastRowFirstColumn="0" w:lastRowLastColumn="0"/>
            <w:tcW w:w="1997" w:type="dxa"/>
          </w:tcPr>
          <w:p w14:paraId="76259669" w14:textId="77777777" w:rsidR="009867E7" w:rsidRPr="00300C59" w:rsidRDefault="009867E7" w:rsidP="007C520D">
            <w:pPr>
              <w:keepNext/>
              <w:widowControl w:val="0"/>
              <w:spacing w:after="0" w:line="240" w:lineRule="auto"/>
              <w:rPr>
                <w:sz w:val="20"/>
              </w:rPr>
            </w:pPr>
            <w:r w:rsidRPr="00300C59">
              <w:rPr>
                <w:sz w:val="20"/>
              </w:rPr>
              <w:t>24</w:t>
            </w:r>
          </w:p>
        </w:tc>
      </w:tr>
      <w:tr w:rsidR="009867E7" w14:paraId="725649AC"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25881BF2"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96" w:type="dxa"/>
          </w:tcPr>
          <w:p w14:paraId="71A4DD64" w14:textId="77777777" w:rsidR="009867E7" w:rsidRPr="00300C59" w:rsidRDefault="009867E7" w:rsidP="007C520D">
            <w:pPr>
              <w:keepNext/>
              <w:widowControl w:val="0"/>
              <w:spacing w:after="0" w:line="240" w:lineRule="auto"/>
              <w:rPr>
                <w:sz w:val="20"/>
              </w:rPr>
            </w:pPr>
            <w:r w:rsidRPr="00300C59">
              <w:rPr>
                <w:sz w:val="20"/>
              </w:rPr>
              <w:t>114</w:t>
            </w:r>
          </w:p>
        </w:tc>
        <w:tc>
          <w:tcPr>
            <w:tcW w:w="1997" w:type="dxa"/>
          </w:tcPr>
          <w:p w14:paraId="5CCE344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34</w:t>
            </w:r>
          </w:p>
        </w:tc>
        <w:tc>
          <w:tcPr>
            <w:cnfStyle w:val="000010000000" w:firstRow="0" w:lastRow="0" w:firstColumn="0" w:lastColumn="0" w:oddVBand="1" w:evenVBand="0" w:oddHBand="0" w:evenHBand="0" w:firstRowFirstColumn="0" w:firstRowLastColumn="0" w:lastRowFirstColumn="0" w:lastRowLastColumn="0"/>
            <w:tcW w:w="1997" w:type="dxa"/>
          </w:tcPr>
          <w:p w14:paraId="6DB921E5" w14:textId="77777777" w:rsidR="009867E7" w:rsidRPr="00300C59" w:rsidRDefault="009867E7" w:rsidP="007C520D">
            <w:pPr>
              <w:keepNext/>
              <w:widowControl w:val="0"/>
              <w:spacing w:after="0" w:line="240" w:lineRule="auto"/>
              <w:rPr>
                <w:sz w:val="20"/>
              </w:rPr>
            </w:pPr>
            <w:r w:rsidRPr="00300C59">
              <w:rPr>
                <w:sz w:val="20"/>
              </w:rPr>
              <w:t>0</w:t>
            </w:r>
          </w:p>
        </w:tc>
      </w:tr>
      <w:tr w:rsidR="009867E7" w14:paraId="26E2F780" w14:textId="77777777" w:rsidTr="007C520D">
        <w:tc>
          <w:tcPr>
            <w:cnfStyle w:val="001000000000" w:firstRow="0" w:lastRow="0" w:firstColumn="1" w:lastColumn="0" w:oddVBand="0" w:evenVBand="0" w:oddHBand="0" w:evenHBand="0" w:firstRowFirstColumn="0" w:firstRowLastColumn="0" w:lastRowFirstColumn="0" w:lastRowLastColumn="0"/>
            <w:tcW w:w="3600" w:type="dxa"/>
          </w:tcPr>
          <w:p w14:paraId="73553282"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96" w:type="dxa"/>
          </w:tcPr>
          <w:p w14:paraId="267F9C24" w14:textId="77777777" w:rsidR="009867E7" w:rsidRPr="00300C59" w:rsidRDefault="009867E7" w:rsidP="007C520D">
            <w:pPr>
              <w:keepNext/>
              <w:widowControl w:val="0"/>
              <w:spacing w:after="0" w:line="240" w:lineRule="auto"/>
              <w:rPr>
                <w:sz w:val="20"/>
              </w:rPr>
            </w:pPr>
            <w:r w:rsidRPr="00300C59">
              <w:rPr>
                <w:sz w:val="20"/>
              </w:rPr>
              <w:t>9</w:t>
            </w:r>
            <w:r>
              <w:rPr>
                <w:sz w:val="20"/>
              </w:rPr>
              <w:t>,</w:t>
            </w:r>
            <w:r w:rsidRPr="00300C59">
              <w:rPr>
                <w:sz w:val="20"/>
              </w:rPr>
              <w:t>473</w:t>
            </w:r>
          </w:p>
        </w:tc>
        <w:tc>
          <w:tcPr>
            <w:tcW w:w="1997" w:type="dxa"/>
          </w:tcPr>
          <w:p w14:paraId="0895CEB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989</w:t>
            </w:r>
          </w:p>
        </w:tc>
        <w:tc>
          <w:tcPr>
            <w:cnfStyle w:val="000010000000" w:firstRow="0" w:lastRow="0" w:firstColumn="0" w:lastColumn="0" w:oddVBand="1" w:evenVBand="0" w:oddHBand="0" w:evenHBand="0" w:firstRowFirstColumn="0" w:firstRowLastColumn="0" w:lastRowFirstColumn="0" w:lastRowLastColumn="0"/>
            <w:tcW w:w="1997" w:type="dxa"/>
          </w:tcPr>
          <w:p w14:paraId="76293BAB" w14:textId="77777777" w:rsidR="009867E7" w:rsidRPr="00300C59" w:rsidRDefault="009867E7" w:rsidP="007C520D">
            <w:pPr>
              <w:keepNext/>
              <w:widowControl w:val="0"/>
              <w:spacing w:after="0" w:line="240" w:lineRule="auto"/>
              <w:rPr>
                <w:sz w:val="20"/>
              </w:rPr>
            </w:pPr>
            <w:r w:rsidRPr="00300C59">
              <w:rPr>
                <w:sz w:val="20"/>
              </w:rPr>
              <w:t>515</w:t>
            </w:r>
          </w:p>
        </w:tc>
      </w:tr>
    </w:tbl>
    <w:p w14:paraId="6C3D9E06" w14:textId="77777777" w:rsidR="009867E7" w:rsidRPr="00781852" w:rsidRDefault="009867E7" w:rsidP="009867E7">
      <w:pPr>
        <w:pStyle w:val="Caption"/>
        <w:rPr>
          <w:rFonts w:asciiTheme="minorHAnsi" w:hAnsiTheme="minorHAnsi"/>
          <w:b w:val="0"/>
          <w:i/>
          <w:sz w:val="18"/>
        </w:rPr>
      </w:pPr>
      <w:r>
        <w:rPr>
          <w:rFonts w:asciiTheme="minorHAnsi" w:hAnsiTheme="minorHAnsi"/>
          <w:b w:val="0"/>
          <w:i/>
          <w:sz w:val="18"/>
        </w:rPr>
        <w:t>Source: 2009-2013 CHAS</w:t>
      </w:r>
    </w:p>
    <w:p w14:paraId="12E432AF" w14:textId="77777777" w:rsidR="009867E7" w:rsidRDefault="009867E7" w:rsidP="009867E7">
      <w:pPr>
        <w:spacing w:after="0" w:line="240" w:lineRule="auto"/>
        <w:rPr>
          <w:vanish/>
        </w:rPr>
      </w:pPr>
    </w:p>
    <w:p w14:paraId="577929A2" w14:textId="77777777" w:rsidR="009867E7" w:rsidRDefault="009867E7" w:rsidP="009867E7">
      <w:pPr>
        <w:spacing w:after="0" w:line="240" w:lineRule="auto"/>
        <w:rPr>
          <w:b/>
          <w:bCs/>
          <w:vanish/>
          <w:sz w:val="16"/>
          <w:szCs w:val="16"/>
        </w:rPr>
      </w:pPr>
    </w:p>
    <w:p w14:paraId="5E3EFF52" w14:textId="77777777" w:rsidR="009867E7" w:rsidRDefault="009867E7" w:rsidP="009867E7">
      <w:pPr>
        <w:spacing w:after="0" w:line="240" w:lineRule="auto"/>
      </w:pPr>
    </w:p>
    <w:p w14:paraId="31D5D3F7" w14:textId="77777777" w:rsidR="009867E7" w:rsidRDefault="009867E7" w:rsidP="009867E7">
      <w:pPr>
        <w:spacing w:after="0" w:line="240" w:lineRule="auto"/>
        <w:rPr>
          <w:szCs w:val="26"/>
        </w:rPr>
      </w:pPr>
    </w:p>
    <w:p w14:paraId="73318923" w14:textId="77777777" w:rsidR="009867E7" w:rsidRDefault="009867E7" w:rsidP="009867E7">
      <w:pPr>
        <w:keepNext/>
        <w:widowControl w:val="0"/>
        <w:rPr>
          <w:b/>
          <w:sz w:val="24"/>
          <w:szCs w:val="24"/>
        </w:rPr>
      </w:pPr>
      <w:r>
        <w:rPr>
          <w:b/>
          <w:sz w:val="24"/>
          <w:szCs w:val="24"/>
        </w:rPr>
        <w:t xml:space="preserve">Table 10 – 30%-50%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507529AA"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4E66FED2"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604AA8E9"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2B3EDEB1"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25F2034B"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21153BC4"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9CC3B4C"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6B0B9299" w14:textId="77777777" w:rsidR="009867E7" w:rsidRPr="00300C59" w:rsidRDefault="009867E7" w:rsidP="007C520D">
            <w:pPr>
              <w:keepNext/>
              <w:widowControl w:val="0"/>
              <w:spacing w:after="0" w:line="240" w:lineRule="auto"/>
              <w:rPr>
                <w:sz w:val="20"/>
              </w:rPr>
            </w:pPr>
            <w:r w:rsidRPr="00300C59">
              <w:rPr>
                <w:sz w:val="20"/>
              </w:rPr>
              <w:t>77</w:t>
            </w:r>
            <w:r>
              <w:rPr>
                <w:sz w:val="20"/>
              </w:rPr>
              <w:t>,</w:t>
            </w:r>
            <w:r w:rsidRPr="00300C59">
              <w:rPr>
                <w:sz w:val="20"/>
              </w:rPr>
              <w:t>070</w:t>
            </w:r>
          </w:p>
        </w:tc>
        <w:tc>
          <w:tcPr>
            <w:tcW w:w="1948" w:type="dxa"/>
          </w:tcPr>
          <w:p w14:paraId="3603D611"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50</w:t>
            </w:r>
            <w:r>
              <w:rPr>
                <w:sz w:val="20"/>
              </w:rPr>
              <w:t>,</w:t>
            </w:r>
            <w:r w:rsidRPr="00300C59">
              <w:rPr>
                <w:sz w:val="20"/>
              </w:rPr>
              <w:t>560</w:t>
            </w:r>
          </w:p>
        </w:tc>
        <w:tc>
          <w:tcPr>
            <w:cnfStyle w:val="000010000000" w:firstRow="0" w:lastRow="0" w:firstColumn="0" w:lastColumn="0" w:oddVBand="1" w:evenVBand="0" w:oddHBand="0" w:evenHBand="0" w:firstRowFirstColumn="0" w:firstRowLastColumn="0" w:lastRowFirstColumn="0" w:lastRowLastColumn="0"/>
            <w:tcW w:w="1948" w:type="dxa"/>
          </w:tcPr>
          <w:p w14:paraId="4C3825F6" w14:textId="77777777" w:rsidR="009867E7" w:rsidRPr="00300C59" w:rsidRDefault="009867E7" w:rsidP="007C520D">
            <w:pPr>
              <w:keepNext/>
              <w:widowControl w:val="0"/>
              <w:spacing w:after="0" w:line="240" w:lineRule="auto"/>
              <w:rPr>
                <w:sz w:val="20"/>
              </w:rPr>
            </w:pPr>
            <w:r w:rsidRPr="00300C59">
              <w:rPr>
                <w:sz w:val="20"/>
              </w:rPr>
              <w:t>0</w:t>
            </w:r>
          </w:p>
        </w:tc>
      </w:tr>
      <w:tr w:rsidR="009867E7" w14:paraId="20C150A8"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6A2892C"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647534F3" w14:textId="77777777" w:rsidR="009867E7" w:rsidRPr="00300C59" w:rsidRDefault="009867E7" w:rsidP="007C520D">
            <w:pPr>
              <w:keepNext/>
              <w:widowControl w:val="0"/>
              <w:spacing w:after="0" w:line="240" w:lineRule="auto"/>
              <w:rPr>
                <w:sz w:val="20"/>
              </w:rPr>
            </w:pPr>
            <w:r w:rsidRPr="00300C59">
              <w:rPr>
                <w:sz w:val="20"/>
              </w:rPr>
              <w:t>58</w:t>
            </w:r>
            <w:r>
              <w:rPr>
                <w:sz w:val="20"/>
              </w:rPr>
              <w:t>,</w:t>
            </w:r>
            <w:r w:rsidRPr="00300C59">
              <w:rPr>
                <w:sz w:val="20"/>
              </w:rPr>
              <w:t>446</w:t>
            </w:r>
          </w:p>
        </w:tc>
        <w:tc>
          <w:tcPr>
            <w:tcW w:w="1948" w:type="dxa"/>
          </w:tcPr>
          <w:p w14:paraId="7F7D318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41</w:t>
            </w:r>
            <w:r>
              <w:rPr>
                <w:sz w:val="20"/>
              </w:rPr>
              <w:t>,</w:t>
            </w:r>
            <w:r w:rsidRPr="00300C59">
              <w:rPr>
                <w:sz w:val="20"/>
              </w:rPr>
              <w:t>720</w:t>
            </w:r>
          </w:p>
        </w:tc>
        <w:tc>
          <w:tcPr>
            <w:cnfStyle w:val="000010000000" w:firstRow="0" w:lastRow="0" w:firstColumn="0" w:lastColumn="0" w:oddVBand="1" w:evenVBand="0" w:oddHBand="0" w:evenHBand="0" w:firstRowFirstColumn="0" w:firstRowLastColumn="0" w:lastRowFirstColumn="0" w:lastRowLastColumn="0"/>
            <w:tcW w:w="1948" w:type="dxa"/>
          </w:tcPr>
          <w:p w14:paraId="00E30848" w14:textId="77777777" w:rsidR="009867E7" w:rsidRPr="00300C59" w:rsidRDefault="009867E7" w:rsidP="007C520D">
            <w:pPr>
              <w:keepNext/>
              <w:widowControl w:val="0"/>
              <w:spacing w:after="0" w:line="240" w:lineRule="auto"/>
              <w:rPr>
                <w:sz w:val="20"/>
              </w:rPr>
            </w:pPr>
            <w:r w:rsidRPr="00300C59">
              <w:rPr>
                <w:sz w:val="20"/>
              </w:rPr>
              <w:t>0</w:t>
            </w:r>
          </w:p>
        </w:tc>
      </w:tr>
      <w:tr w:rsidR="009867E7" w14:paraId="778D7D5D"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33FEDBD"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36902D30" w14:textId="77777777" w:rsidR="009867E7" w:rsidRPr="00300C59" w:rsidRDefault="009867E7" w:rsidP="007C520D">
            <w:pPr>
              <w:keepNext/>
              <w:widowControl w:val="0"/>
              <w:spacing w:after="0" w:line="240" w:lineRule="auto"/>
              <w:rPr>
                <w:sz w:val="20"/>
              </w:rPr>
            </w:pPr>
            <w:r w:rsidRPr="00300C59">
              <w:rPr>
                <w:sz w:val="20"/>
              </w:rPr>
              <w:t>7</w:t>
            </w:r>
            <w:r>
              <w:rPr>
                <w:sz w:val="20"/>
              </w:rPr>
              <w:t>,</w:t>
            </w:r>
            <w:r w:rsidRPr="00300C59">
              <w:rPr>
                <w:sz w:val="20"/>
              </w:rPr>
              <w:t>004</w:t>
            </w:r>
          </w:p>
        </w:tc>
        <w:tc>
          <w:tcPr>
            <w:tcW w:w="1948" w:type="dxa"/>
          </w:tcPr>
          <w:p w14:paraId="54224B2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w:t>
            </w:r>
            <w:r>
              <w:rPr>
                <w:sz w:val="20"/>
              </w:rPr>
              <w:t>,</w:t>
            </w:r>
            <w:r w:rsidRPr="00300C59">
              <w:rPr>
                <w:sz w:val="20"/>
              </w:rPr>
              <w:t>079</w:t>
            </w:r>
          </w:p>
        </w:tc>
        <w:tc>
          <w:tcPr>
            <w:cnfStyle w:val="000010000000" w:firstRow="0" w:lastRow="0" w:firstColumn="0" w:lastColumn="0" w:oddVBand="1" w:evenVBand="0" w:oddHBand="0" w:evenHBand="0" w:firstRowFirstColumn="0" w:firstRowLastColumn="0" w:lastRowFirstColumn="0" w:lastRowLastColumn="0"/>
            <w:tcW w:w="1948" w:type="dxa"/>
          </w:tcPr>
          <w:p w14:paraId="42A964D1" w14:textId="77777777" w:rsidR="009867E7" w:rsidRPr="00300C59" w:rsidRDefault="009867E7" w:rsidP="007C520D">
            <w:pPr>
              <w:keepNext/>
              <w:widowControl w:val="0"/>
              <w:spacing w:after="0" w:line="240" w:lineRule="auto"/>
              <w:rPr>
                <w:sz w:val="20"/>
              </w:rPr>
            </w:pPr>
            <w:r w:rsidRPr="00300C59">
              <w:rPr>
                <w:sz w:val="20"/>
              </w:rPr>
              <w:t>0</w:t>
            </w:r>
          </w:p>
        </w:tc>
      </w:tr>
      <w:tr w:rsidR="009867E7" w14:paraId="0A3770DC"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A0F5804"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09B0556B"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121</w:t>
            </w:r>
          </w:p>
        </w:tc>
        <w:tc>
          <w:tcPr>
            <w:tcW w:w="1948" w:type="dxa"/>
          </w:tcPr>
          <w:p w14:paraId="4CC993A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540</w:t>
            </w:r>
          </w:p>
        </w:tc>
        <w:tc>
          <w:tcPr>
            <w:cnfStyle w:val="000010000000" w:firstRow="0" w:lastRow="0" w:firstColumn="0" w:lastColumn="0" w:oddVBand="1" w:evenVBand="0" w:oddHBand="0" w:evenHBand="0" w:firstRowFirstColumn="0" w:firstRowLastColumn="0" w:lastRowFirstColumn="0" w:lastRowLastColumn="0"/>
            <w:tcW w:w="1948" w:type="dxa"/>
          </w:tcPr>
          <w:p w14:paraId="6C3361AF" w14:textId="77777777" w:rsidR="009867E7" w:rsidRPr="00300C59" w:rsidRDefault="009867E7" w:rsidP="007C520D">
            <w:pPr>
              <w:keepNext/>
              <w:widowControl w:val="0"/>
              <w:spacing w:after="0" w:line="240" w:lineRule="auto"/>
              <w:rPr>
                <w:sz w:val="20"/>
              </w:rPr>
            </w:pPr>
            <w:r w:rsidRPr="00300C59">
              <w:rPr>
                <w:sz w:val="20"/>
              </w:rPr>
              <w:t>0</w:t>
            </w:r>
          </w:p>
        </w:tc>
      </w:tr>
      <w:tr w:rsidR="009867E7" w14:paraId="78A269A0"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BF16C2F"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47D00CC2" w14:textId="77777777" w:rsidR="009867E7" w:rsidRPr="00300C59" w:rsidRDefault="009867E7" w:rsidP="007C520D">
            <w:pPr>
              <w:keepNext/>
              <w:widowControl w:val="0"/>
              <w:spacing w:after="0" w:line="240" w:lineRule="auto"/>
              <w:rPr>
                <w:sz w:val="20"/>
              </w:rPr>
            </w:pPr>
            <w:r w:rsidRPr="00300C59">
              <w:rPr>
                <w:sz w:val="20"/>
              </w:rPr>
              <w:t>603</w:t>
            </w:r>
          </w:p>
        </w:tc>
        <w:tc>
          <w:tcPr>
            <w:tcW w:w="1948" w:type="dxa"/>
          </w:tcPr>
          <w:p w14:paraId="1386457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456</w:t>
            </w:r>
          </w:p>
        </w:tc>
        <w:tc>
          <w:tcPr>
            <w:cnfStyle w:val="000010000000" w:firstRow="0" w:lastRow="0" w:firstColumn="0" w:lastColumn="0" w:oddVBand="1" w:evenVBand="0" w:oddHBand="0" w:evenHBand="0" w:firstRowFirstColumn="0" w:firstRowLastColumn="0" w:lastRowFirstColumn="0" w:lastRowLastColumn="0"/>
            <w:tcW w:w="1948" w:type="dxa"/>
          </w:tcPr>
          <w:p w14:paraId="2123E204" w14:textId="77777777" w:rsidR="009867E7" w:rsidRPr="00300C59" w:rsidRDefault="009867E7" w:rsidP="007C520D">
            <w:pPr>
              <w:keepNext/>
              <w:widowControl w:val="0"/>
              <w:spacing w:after="0" w:line="240" w:lineRule="auto"/>
              <w:rPr>
                <w:sz w:val="20"/>
              </w:rPr>
            </w:pPr>
            <w:r w:rsidRPr="00300C59">
              <w:rPr>
                <w:sz w:val="20"/>
              </w:rPr>
              <w:t>0</w:t>
            </w:r>
          </w:p>
        </w:tc>
      </w:tr>
      <w:tr w:rsidR="009867E7" w14:paraId="680A1060"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9BB057B"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66CDF7F4" w14:textId="77777777" w:rsidR="009867E7" w:rsidRPr="00300C59" w:rsidRDefault="009867E7" w:rsidP="007C520D">
            <w:pPr>
              <w:keepNext/>
              <w:widowControl w:val="0"/>
              <w:spacing w:after="0" w:line="240" w:lineRule="auto"/>
              <w:rPr>
                <w:sz w:val="20"/>
              </w:rPr>
            </w:pPr>
            <w:r w:rsidRPr="00300C59">
              <w:rPr>
                <w:sz w:val="20"/>
              </w:rPr>
              <w:t>14</w:t>
            </w:r>
          </w:p>
        </w:tc>
        <w:tc>
          <w:tcPr>
            <w:tcW w:w="1948" w:type="dxa"/>
          </w:tcPr>
          <w:p w14:paraId="06AE354B"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w:t>
            </w:r>
          </w:p>
        </w:tc>
        <w:tc>
          <w:tcPr>
            <w:cnfStyle w:val="000010000000" w:firstRow="0" w:lastRow="0" w:firstColumn="0" w:lastColumn="0" w:oddVBand="1" w:evenVBand="0" w:oddHBand="0" w:evenHBand="0" w:firstRowFirstColumn="0" w:firstRowLastColumn="0" w:lastRowFirstColumn="0" w:lastRowLastColumn="0"/>
            <w:tcW w:w="1948" w:type="dxa"/>
          </w:tcPr>
          <w:p w14:paraId="643F3611" w14:textId="77777777" w:rsidR="009867E7" w:rsidRPr="00300C59" w:rsidRDefault="009867E7" w:rsidP="007C520D">
            <w:pPr>
              <w:keepNext/>
              <w:widowControl w:val="0"/>
              <w:spacing w:after="0" w:line="240" w:lineRule="auto"/>
              <w:rPr>
                <w:sz w:val="20"/>
              </w:rPr>
            </w:pPr>
            <w:r w:rsidRPr="00300C59">
              <w:rPr>
                <w:sz w:val="20"/>
              </w:rPr>
              <w:t>0</w:t>
            </w:r>
          </w:p>
        </w:tc>
      </w:tr>
      <w:tr w:rsidR="009867E7" w14:paraId="7235BC45"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52329C9"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1106E7FA" w14:textId="77777777" w:rsidR="009867E7" w:rsidRPr="00300C59" w:rsidRDefault="009867E7" w:rsidP="007C520D">
            <w:pPr>
              <w:keepNext/>
              <w:widowControl w:val="0"/>
              <w:spacing w:after="0" w:line="240" w:lineRule="auto"/>
              <w:rPr>
                <w:sz w:val="20"/>
              </w:rPr>
            </w:pPr>
            <w:r w:rsidRPr="00300C59">
              <w:rPr>
                <w:sz w:val="20"/>
              </w:rPr>
              <w:t>8</w:t>
            </w:r>
            <w:r>
              <w:rPr>
                <w:sz w:val="20"/>
              </w:rPr>
              <w:t>,</w:t>
            </w:r>
            <w:r w:rsidRPr="00300C59">
              <w:rPr>
                <w:sz w:val="20"/>
              </w:rPr>
              <w:t>469</w:t>
            </w:r>
          </w:p>
        </w:tc>
        <w:tc>
          <w:tcPr>
            <w:tcW w:w="1948" w:type="dxa"/>
          </w:tcPr>
          <w:p w14:paraId="50FE212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w:t>
            </w:r>
            <w:r>
              <w:rPr>
                <w:sz w:val="20"/>
              </w:rPr>
              <w:t>,</w:t>
            </w:r>
            <w:r w:rsidRPr="00300C59">
              <w:rPr>
                <w:sz w:val="20"/>
              </w:rPr>
              <w:t>154</w:t>
            </w:r>
          </w:p>
        </w:tc>
        <w:tc>
          <w:tcPr>
            <w:cnfStyle w:val="000010000000" w:firstRow="0" w:lastRow="0" w:firstColumn="0" w:lastColumn="0" w:oddVBand="1" w:evenVBand="0" w:oddHBand="0" w:evenHBand="0" w:firstRowFirstColumn="0" w:firstRowLastColumn="0" w:lastRowFirstColumn="0" w:lastRowLastColumn="0"/>
            <w:tcW w:w="1948" w:type="dxa"/>
          </w:tcPr>
          <w:p w14:paraId="404A01D9" w14:textId="77777777" w:rsidR="009867E7" w:rsidRPr="00300C59" w:rsidRDefault="009867E7" w:rsidP="007C520D">
            <w:pPr>
              <w:keepNext/>
              <w:widowControl w:val="0"/>
              <w:spacing w:after="0" w:line="240" w:lineRule="auto"/>
              <w:rPr>
                <w:sz w:val="20"/>
              </w:rPr>
            </w:pPr>
            <w:r w:rsidRPr="00300C59">
              <w:rPr>
                <w:sz w:val="20"/>
              </w:rPr>
              <w:t>0</w:t>
            </w:r>
          </w:p>
        </w:tc>
      </w:tr>
    </w:tbl>
    <w:p w14:paraId="12848620" w14:textId="77777777" w:rsidR="009867E7" w:rsidRPr="00781852" w:rsidRDefault="009867E7" w:rsidP="009867E7">
      <w:pPr>
        <w:pStyle w:val="Caption"/>
        <w:rPr>
          <w:rFonts w:asciiTheme="minorHAnsi" w:hAnsiTheme="minorHAnsi"/>
          <w:b w:val="0"/>
          <w:i/>
          <w:sz w:val="18"/>
        </w:rPr>
      </w:pPr>
      <w:r>
        <w:rPr>
          <w:rFonts w:asciiTheme="minorHAnsi" w:hAnsiTheme="minorHAnsi"/>
          <w:b w:val="0"/>
          <w:i/>
          <w:sz w:val="18"/>
        </w:rPr>
        <w:t>Source: 2009-2013 CHAS</w:t>
      </w:r>
    </w:p>
    <w:p w14:paraId="011A3233" w14:textId="77777777" w:rsidR="009867E7" w:rsidRDefault="009867E7" w:rsidP="009867E7">
      <w:pPr>
        <w:spacing w:after="0" w:line="240" w:lineRule="auto"/>
        <w:rPr>
          <w:vanish/>
        </w:rPr>
      </w:pPr>
    </w:p>
    <w:p w14:paraId="65048752" w14:textId="77777777" w:rsidR="009867E7" w:rsidRDefault="009867E7" w:rsidP="009867E7">
      <w:pPr>
        <w:spacing w:after="0" w:line="240" w:lineRule="auto"/>
        <w:rPr>
          <w:b/>
          <w:bCs/>
          <w:vanish/>
          <w:sz w:val="16"/>
          <w:szCs w:val="16"/>
        </w:rPr>
      </w:pPr>
    </w:p>
    <w:p w14:paraId="79C848DA" w14:textId="77777777" w:rsidR="009867E7" w:rsidRDefault="009867E7" w:rsidP="009867E7">
      <w:pPr>
        <w:spacing w:after="0" w:line="240" w:lineRule="auto"/>
      </w:pPr>
    </w:p>
    <w:p w14:paraId="139FC65D" w14:textId="77777777" w:rsidR="009867E7" w:rsidRDefault="009867E7" w:rsidP="009867E7">
      <w:pPr>
        <w:spacing w:after="0" w:line="240" w:lineRule="auto"/>
      </w:pPr>
    </w:p>
    <w:p w14:paraId="7389984D" w14:textId="77777777" w:rsidR="009867E7" w:rsidRDefault="009867E7" w:rsidP="009867E7">
      <w:pPr>
        <w:spacing w:after="0" w:line="240" w:lineRule="auto"/>
        <w:rPr>
          <w:szCs w:val="26"/>
        </w:rPr>
      </w:pPr>
    </w:p>
    <w:p w14:paraId="00A4BCDC" w14:textId="77777777" w:rsidR="009867E7" w:rsidRDefault="009867E7" w:rsidP="009867E7">
      <w:pPr>
        <w:keepNext/>
        <w:widowControl w:val="0"/>
        <w:rPr>
          <w:b/>
          <w:sz w:val="24"/>
          <w:szCs w:val="24"/>
        </w:rPr>
      </w:pPr>
      <w:r>
        <w:rPr>
          <w:b/>
          <w:sz w:val="24"/>
          <w:szCs w:val="24"/>
        </w:rPr>
        <w:t xml:space="preserve">Table 11 – 50%-80%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2FCB7F95"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4AEDF334"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2597DCF9"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4E04FB8C"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30330174"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77605017"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2CEA32B3"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2FA7C004" w14:textId="77777777" w:rsidR="009867E7" w:rsidRPr="00300C59" w:rsidRDefault="009867E7" w:rsidP="007C520D">
            <w:pPr>
              <w:keepNext/>
              <w:widowControl w:val="0"/>
              <w:spacing w:after="0" w:line="240" w:lineRule="auto"/>
              <w:rPr>
                <w:sz w:val="20"/>
              </w:rPr>
            </w:pPr>
            <w:r w:rsidRPr="00300C59">
              <w:rPr>
                <w:sz w:val="20"/>
              </w:rPr>
              <w:t>66</w:t>
            </w:r>
            <w:r>
              <w:rPr>
                <w:sz w:val="20"/>
              </w:rPr>
              <w:t>,</w:t>
            </w:r>
            <w:r w:rsidRPr="00300C59">
              <w:rPr>
                <w:sz w:val="20"/>
              </w:rPr>
              <w:t>400</w:t>
            </w:r>
          </w:p>
        </w:tc>
        <w:tc>
          <w:tcPr>
            <w:tcW w:w="1948" w:type="dxa"/>
          </w:tcPr>
          <w:p w14:paraId="517E1BC4"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133</w:t>
            </w:r>
            <w:r>
              <w:rPr>
                <w:sz w:val="20"/>
              </w:rPr>
              <w:t>,</w:t>
            </w:r>
            <w:r w:rsidRPr="00300C59">
              <w:rPr>
                <w:sz w:val="20"/>
              </w:rPr>
              <w:t>147</w:t>
            </w:r>
          </w:p>
        </w:tc>
        <w:tc>
          <w:tcPr>
            <w:cnfStyle w:val="000010000000" w:firstRow="0" w:lastRow="0" w:firstColumn="0" w:lastColumn="0" w:oddVBand="1" w:evenVBand="0" w:oddHBand="0" w:evenHBand="0" w:firstRowFirstColumn="0" w:firstRowLastColumn="0" w:lastRowFirstColumn="0" w:lastRowLastColumn="0"/>
            <w:tcW w:w="1948" w:type="dxa"/>
          </w:tcPr>
          <w:p w14:paraId="6DFBFE86" w14:textId="77777777" w:rsidR="009867E7" w:rsidRPr="00300C59" w:rsidRDefault="009867E7" w:rsidP="007C520D">
            <w:pPr>
              <w:keepNext/>
              <w:widowControl w:val="0"/>
              <w:spacing w:after="0" w:line="240" w:lineRule="auto"/>
              <w:rPr>
                <w:sz w:val="20"/>
              </w:rPr>
            </w:pPr>
            <w:r w:rsidRPr="00300C59">
              <w:rPr>
                <w:sz w:val="20"/>
              </w:rPr>
              <w:t>0</w:t>
            </w:r>
          </w:p>
        </w:tc>
      </w:tr>
      <w:tr w:rsidR="009867E7" w14:paraId="1C519547"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4ED7479"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649A1202" w14:textId="77777777" w:rsidR="009867E7" w:rsidRPr="00300C59" w:rsidRDefault="009867E7" w:rsidP="007C520D">
            <w:pPr>
              <w:keepNext/>
              <w:widowControl w:val="0"/>
              <w:spacing w:after="0" w:line="240" w:lineRule="auto"/>
              <w:rPr>
                <w:sz w:val="20"/>
              </w:rPr>
            </w:pPr>
            <w:r w:rsidRPr="00300C59">
              <w:rPr>
                <w:sz w:val="20"/>
              </w:rPr>
              <w:t>53</w:t>
            </w:r>
            <w:r>
              <w:rPr>
                <w:sz w:val="20"/>
              </w:rPr>
              <w:t>,</w:t>
            </w:r>
            <w:r w:rsidRPr="00300C59">
              <w:rPr>
                <w:sz w:val="20"/>
              </w:rPr>
              <w:t>092</w:t>
            </w:r>
          </w:p>
        </w:tc>
        <w:tc>
          <w:tcPr>
            <w:tcW w:w="1948" w:type="dxa"/>
          </w:tcPr>
          <w:p w14:paraId="05B1BE9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111</w:t>
            </w:r>
            <w:r>
              <w:rPr>
                <w:sz w:val="20"/>
              </w:rPr>
              <w:t>,</w:t>
            </w:r>
            <w:r w:rsidRPr="00300C59">
              <w:rPr>
                <w:sz w:val="20"/>
              </w:rPr>
              <w:t>081</w:t>
            </w:r>
          </w:p>
        </w:tc>
        <w:tc>
          <w:tcPr>
            <w:cnfStyle w:val="000010000000" w:firstRow="0" w:lastRow="0" w:firstColumn="0" w:lastColumn="0" w:oddVBand="1" w:evenVBand="0" w:oddHBand="0" w:evenHBand="0" w:firstRowFirstColumn="0" w:firstRowLastColumn="0" w:lastRowFirstColumn="0" w:lastRowLastColumn="0"/>
            <w:tcW w:w="1948" w:type="dxa"/>
          </w:tcPr>
          <w:p w14:paraId="0EE9042B" w14:textId="77777777" w:rsidR="009867E7" w:rsidRPr="00300C59" w:rsidRDefault="009867E7" w:rsidP="007C520D">
            <w:pPr>
              <w:keepNext/>
              <w:widowControl w:val="0"/>
              <w:spacing w:after="0" w:line="240" w:lineRule="auto"/>
              <w:rPr>
                <w:sz w:val="20"/>
              </w:rPr>
            </w:pPr>
            <w:r w:rsidRPr="00300C59">
              <w:rPr>
                <w:sz w:val="20"/>
              </w:rPr>
              <w:t>0</w:t>
            </w:r>
          </w:p>
        </w:tc>
      </w:tr>
      <w:tr w:rsidR="009867E7" w14:paraId="7EACF507"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0D88C5B"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0E8D1E15" w14:textId="77777777" w:rsidR="009867E7" w:rsidRPr="00300C59" w:rsidRDefault="009867E7" w:rsidP="007C520D">
            <w:pPr>
              <w:keepNext/>
              <w:widowControl w:val="0"/>
              <w:spacing w:after="0" w:line="240" w:lineRule="auto"/>
              <w:rPr>
                <w:sz w:val="20"/>
              </w:rPr>
            </w:pPr>
            <w:r w:rsidRPr="00300C59">
              <w:rPr>
                <w:sz w:val="20"/>
              </w:rPr>
              <w:t>4</w:t>
            </w:r>
            <w:r>
              <w:rPr>
                <w:sz w:val="20"/>
              </w:rPr>
              <w:t>,</w:t>
            </w:r>
            <w:r w:rsidRPr="00300C59">
              <w:rPr>
                <w:sz w:val="20"/>
              </w:rPr>
              <w:t>863</w:t>
            </w:r>
          </w:p>
        </w:tc>
        <w:tc>
          <w:tcPr>
            <w:tcW w:w="1948" w:type="dxa"/>
          </w:tcPr>
          <w:p w14:paraId="56C7C6B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7</w:t>
            </w:r>
            <w:r>
              <w:rPr>
                <w:sz w:val="20"/>
              </w:rPr>
              <w:t>,</w:t>
            </w:r>
            <w:r w:rsidRPr="00300C59">
              <w:rPr>
                <w:sz w:val="20"/>
              </w:rPr>
              <w:t>143</w:t>
            </w:r>
          </w:p>
        </w:tc>
        <w:tc>
          <w:tcPr>
            <w:cnfStyle w:val="000010000000" w:firstRow="0" w:lastRow="0" w:firstColumn="0" w:lastColumn="0" w:oddVBand="1" w:evenVBand="0" w:oddHBand="0" w:evenHBand="0" w:firstRowFirstColumn="0" w:firstRowLastColumn="0" w:lastRowFirstColumn="0" w:lastRowLastColumn="0"/>
            <w:tcW w:w="1948" w:type="dxa"/>
          </w:tcPr>
          <w:p w14:paraId="49207ECA" w14:textId="77777777" w:rsidR="009867E7" w:rsidRPr="00300C59" w:rsidRDefault="009867E7" w:rsidP="007C520D">
            <w:pPr>
              <w:keepNext/>
              <w:widowControl w:val="0"/>
              <w:spacing w:after="0" w:line="240" w:lineRule="auto"/>
              <w:rPr>
                <w:sz w:val="20"/>
              </w:rPr>
            </w:pPr>
            <w:r w:rsidRPr="00300C59">
              <w:rPr>
                <w:sz w:val="20"/>
              </w:rPr>
              <w:t>0</w:t>
            </w:r>
          </w:p>
        </w:tc>
      </w:tr>
      <w:tr w:rsidR="009867E7" w14:paraId="11157C3D"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C411217"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775FE2A1"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265</w:t>
            </w:r>
          </w:p>
        </w:tc>
        <w:tc>
          <w:tcPr>
            <w:tcW w:w="1948" w:type="dxa"/>
          </w:tcPr>
          <w:p w14:paraId="3486385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w:t>
            </w:r>
            <w:r>
              <w:rPr>
                <w:sz w:val="20"/>
              </w:rPr>
              <w:t>,</w:t>
            </w:r>
            <w:r w:rsidRPr="00300C59">
              <w:rPr>
                <w:sz w:val="20"/>
              </w:rPr>
              <w:t>765</w:t>
            </w:r>
          </w:p>
        </w:tc>
        <w:tc>
          <w:tcPr>
            <w:cnfStyle w:val="000010000000" w:firstRow="0" w:lastRow="0" w:firstColumn="0" w:lastColumn="0" w:oddVBand="1" w:evenVBand="0" w:oddHBand="0" w:evenHBand="0" w:firstRowFirstColumn="0" w:firstRowLastColumn="0" w:lastRowFirstColumn="0" w:lastRowLastColumn="0"/>
            <w:tcW w:w="1948" w:type="dxa"/>
          </w:tcPr>
          <w:p w14:paraId="1C2D4DFC" w14:textId="77777777" w:rsidR="009867E7" w:rsidRPr="00300C59" w:rsidRDefault="009867E7" w:rsidP="007C520D">
            <w:pPr>
              <w:keepNext/>
              <w:widowControl w:val="0"/>
              <w:spacing w:after="0" w:line="240" w:lineRule="auto"/>
              <w:rPr>
                <w:sz w:val="20"/>
              </w:rPr>
            </w:pPr>
            <w:r w:rsidRPr="00300C59">
              <w:rPr>
                <w:sz w:val="20"/>
              </w:rPr>
              <w:t>0</w:t>
            </w:r>
          </w:p>
        </w:tc>
      </w:tr>
      <w:tr w:rsidR="009867E7" w14:paraId="31D4735A"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04BF2C7"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7CAD5BC2" w14:textId="77777777" w:rsidR="009867E7" w:rsidRPr="00300C59" w:rsidRDefault="009867E7" w:rsidP="007C520D">
            <w:pPr>
              <w:keepNext/>
              <w:widowControl w:val="0"/>
              <w:spacing w:after="0" w:line="240" w:lineRule="auto"/>
              <w:rPr>
                <w:sz w:val="20"/>
              </w:rPr>
            </w:pPr>
            <w:r w:rsidRPr="00300C59">
              <w:rPr>
                <w:sz w:val="20"/>
              </w:rPr>
              <w:t>461</w:t>
            </w:r>
          </w:p>
        </w:tc>
        <w:tc>
          <w:tcPr>
            <w:tcW w:w="1948" w:type="dxa"/>
          </w:tcPr>
          <w:p w14:paraId="21A62CC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831</w:t>
            </w:r>
          </w:p>
        </w:tc>
        <w:tc>
          <w:tcPr>
            <w:cnfStyle w:val="000010000000" w:firstRow="0" w:lastRow="0" w:firstColumn="0" w:lastColumn="0" w:oddVBand="1" w:evenVBand="0" w:oddHBand="0" w:evenHBand="0" w:firstRowFirstColumn="0" w:firstRowLastColumn="0" w:lastRowFirstColumn="0" w:lastRowLastColumn="0"/>
            <w:tcW w:w="1948" w:type="dxa"/>
          </w:tcPr>
          <w:p w14:paraId="7F105D33" w14:textId="77777777" w:rsidR="009867E7" w:rsidRPr="00300C59" w:rsidRDefault="009867E7" w:rsidP="007C520D">
            <w:pPr>
              <w:keepNext/>
              <w:widowControl w:val="0"/>
              <w:spacing w:after="0" w:line="240" w:lineRule="auto"/>
              <w:rPr>
                <w:sz w:val="20"/>
              </w:rPr>
            </w:pPr>
            <w:r w:rsidRPr="00300C59">
              <w:rPr>
                <w:sz w:val="20"/>
              </w:rPr>
              <w:t>0</w:t>
            </w:r>
          </w:p>
        </w:tc>
      </w:tr>
      <w:tr w:rsidR="009867E7" w14:paraId="52EC27D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E5A070E"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1ECD893E" w14:textId="77777777" w:rsidR="009867E7" w:rsidRPr="00300C59" w:rsidRDefault="009867E7" w:rsidP="007C520D">
            <w:pPr>
              <w:keepNext/>
              <w:widowControl w:val="0"/>
              <w:spacing w:after="0" w:line="240" w:lineRule="auto"/>
              <w:rPr>
                <w:sz w:val="20"/>
              </w:rPr>
            </w:pPr>
            <w:r w:rsidRPr="00300C59">
              <w:rPr>
                <w:sz w:val="20"/>
              </w:rPr>
              <w:t>83</w:t>
            </w:r>
          </w:p>
        </w:tc>
        <w:tc>
          <w:tcPr>
            <w:tcW w:w="1948" w:type="dxa"/>
          </w:tcPr>
          <w:p w14:paraId="4E16CB3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29</w:t>
            </w:r>
          </w:p>
        </w:tc>
        <w:tc>
          <w:tcPr>
            <w:cnfStyle w:val="000010000000" w:firstRow="0" w:lastRow="0" w:firstColumn="0" w:lastColumn="0" w:oddVBand="1" w:evenVBand="0" w:oddHBand="0" w:evenHBand="0" w:firstRowFirstColumn="0" w:firstRowLastColumn="0" w:lastRowFirstColumn="0" w:lastRowLastColumn="0"/>
            <w:tcW w:w="1948" w:type="dxa"/>
          </w:tcPr>
          <w:p w14:paraId="5B7FDA72" w14:textId="77777777" w:rsidR="009867E7" w:rsidRPr="00300C59" w:rsidRDefault="009867E7" w:rsidP="007C520D">
            <w:pPr>
              <w:keepNext/>
              <w:widowControl w:val="0"/>
              <w:spacing w:after="0" w:line="240" w:lineRule="auto"/>
              <w:rPr>
                <w:sz w:val="20"/>
              </w:rPr>
            </w:pPr>
            <w:r w:rsidRPr="00300C59">
              <w:rPr>
                <w:sz w:val="20"/>
              </w:rPr>
              <w:t>0</w:t>
            </w:r>
          </w:p>
        </w:tc>
      </w:tr>
      <w:tr w:rsidR="009867E7" w14:paraId="08B779F3"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8C180E7"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427B0C4A" w14:textId="77777777" w:rsidR="009867E7" w:rsidRPr="00300C59" w:rsidRDefault="009867E7" w:rsidP="007C520D">
            <w:pPr>
              <w:keepNext/>
              <w:widowControl w:val="0"/>
              <w:spacing w:after="0" w:line="240" w:lineRule="auto"/>
              <w:rPr>
                <w:sz w:val="20"/>
              </w:rPr>
            </w:pPr>
            <w:r w:rsidRPr="00300C59">
              <w:rPr>
                <w:sz w:val="20"/>
              </w:rPr>
              <w:t>5</w:t>
            </w:r>
            <w:r>
              <w:rPr>
                <w:sz w:val="20"/>
              </w:rPr>
              <w:t>,</w:t>
            </w:r>
            <w:r w:rsidRPr="00300C59">
              <w:rPr>
                <w:sz w:val="20"/>
              </w:rPr>
              <w:t>588</w:t>
            </w:r>
          </w:p>
        </w:tc>
        <w:tc>
          <w:tcPr>
            <w:tcW w:w="1948" w:type="dxa"/>
          </w:tcPr>
          <w:p w14:paraId="05933BB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10</w:t>
            </w:r>
            <w:r>
              <w:rPr>
                <w:sz w:val="20"/>
              </w:rPr>
              <w:t>,</w:t>
            </w:r>
            <w:r w:rsidRPr="00300C59">
              <w:rPr>
                <w:sz w:val="20"/>
              </w:rPr>
              <w:t>366</w:t>
            </w:r>
          </w:p>
        </w:tc>
        <w:tc>
          <w:tcPr>
            <w:cnfStyle w:val="000010000000" w:firstRow="0" w:lastRow="0" w:firstColumn="0" w:lastColumn="0" w:oddVBand="1" w:evenVBand="0" w:oddHBand="0" w:evenHBand="0" w:firstRowFirstColumn="0" w:firstRowLastColumn="0" w:lastRowFirstColumn="0" w:lastRowLastColumn="0"/>
            <w:tcW w:w="1948" w:type="dxa"/>
          </w:tcPr>
          <w:p w14:paraId="7C66A43C" w14:textId="77777777" w:rsidR="009867E7" w:rsidRPr="00300C59" w:rsidRDefault="009867E7" w:rsidP="007C520D">
            <w:pPr>
              <w:keepNext/>
              <w:widowControl w:val="0"/>
              <w:spacing w:after="0" w:line="240" w:lineRule="auto"/>
              <w:rPr>
                <w:sz w:val="20"/>
              </w:rPr>
            </w:pPr>
            <w:r w:rsidRPr="00300C59">
              <w:rPr>
                <w:sz w:val="20"/>
              </w:rPr>
              <w:t>0</w:t>
            </w:r>
          </w:p>
        </w:tc>
      </w:tr>
    </w:tbl>
    <w:p w14:paraId="01CE2557" w14:textId="77777777" w:rsidR="009867E7" w:rsidRPr="00781852" w:rsidRDefault="009867E7" w:rsidP="009867E7">
      <w:pPr>
        <w:pStyle w:val="Caption"/>
        <w:rPr>
          <w:rFonts w:asciiTheme="minorHAnsi" w:hAnsiTheme="minorHAnsi"/>
          <w:b w:val="0"/>
          <w:i/>
          <w:sz w:val="18"/>
        </w:rPr>
      </w:pPr>
      <w:r>
        <w:rPr>
          <w:rFonts w:asciiTheme="minorHAnsi" w:hAnsiTheme="minorHAnsi"/>
          <w:b w:val="0"/>
          <w:i/>
          <w:sz w:val="18"/>
        </w:rPr>
        <w:t>Source: 2009-2013 CHAS</w:t>
      </w:r>
    </w:p>
    <w:p w14:paraId="5C7B27B6" w14:textId="77777777" w:rsidR="009867E7" w:rsidRDefault="009867E7" w:rsidP="009867E7">
      <w:pPr>
        <w:spacing w:after="0" w:line="240" w:lineRule="auto"/>
        <w:rPr>
          <w:vanish/>
        </w:rPr>
      </w:pPr>
    </w:p>
    <w:p w14:paraId="7BAF584B" w14:textId="77777777" w:rsidR="009867E7" w:rsidRDefault="009867E7" w:rsidP="009867E7">
      <w:pPr>
        <w:spacing w:after="0" w:line="240" w:lineRule="auto"/>
        <w:rPr>
          <w:b/>
          <w:bCs/>
          <w:vanish/>
          <w:sz w:val="16"/>
          <w:szCs w:val="16"/>
        </w:rPr>
      </w:pPr>
    </w:p>
    <w:p w14:paraId="10DB2AA9" w14:textId="77777777" w:rsidR="009867E7" w:rsidRDefault="009867E7" w:rsidP="009867E7">
      <w:pPr>
        <w:spacing w:after="0" w:line="240" w:lineRule="auto"/>
      </w:pPr>
    </w:p>
    <w:p w14:paraId="43006126" w14:textId="77777777" w:rsidR="009867E7" w:rsidRDefault="009867E7" w:rsidP="009867E7">
      <w:pPr>
        <w:keepNext/>
        <w:widowControl w:val="0"/>
        <w:rPr>
          <w:b/>
          <w:sz w:val="24"/>
          <w:szCs w:val="24"/>
        </w:rPr>
      </w:pPr>
      <w:r>
        <w:rPr>
          <w:b/>
          <w:sz w:val="24"/>
          <w:szCs w:val="24"/>
        </w:rPr>
        <w:t xml:space="preserve">Table 12 – 80%-100%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63DC8939"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009BBAC9"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71596B89"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0E7F61A8"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47D224DA"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71CD1913"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1E893B3B"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11B21303" w14:textId="77777777" w:rsidR="009867E7" w:rsidRPr="00300C59" w:rsidRDefault="009867E7" w:rsidP="007C520D">
            <w:pPr>
              <w:keepNext/>
              <w:widowControl w:val="0"/>
              <w:spacing w:after="0" w:line="240" w:lineRule="auto"/>
              <w:rPr>
                <w:sz w:val="20"/>
              </w:rPr>
            </w:pPr>
            <w:r w:rsidRPr="00300C59">
              <w:rPr>
                <w:sz w:val="20"/>
              </w:rPr>
              <w:t>22</w:t>
            </w:r>
            <w:r>
              <w:rPr>
                <w:sz w:val="20"/>
              </w:rPr>
              <w:t>,</w:t>
            </w:r>
            <w:r w:rsidRPr="00300C59">
              <w:rPr>
                <w:sz w:val="20"/>
              </w:rPr>
              <w:t>659</w:t>
            </w:r>
          </w:p>
        </w:tc>
        <w:tc>
          <w:tcPr>
            <w:tcW w:w="1948" w:type="dxa"/>
          </w:tcPr>
          <w:p w14:paraId="779025F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98</w:t>
            </w:r>
            <w:r>
              <w:rPr>
                <w:sz w:val="20"/>
              </w:rPr>
              <w:t>,</w:t>
            </w:r>
            <w:r w:rsidRPr="00300C59">
              <w:rPr>
                <w:sz w:val="20"/>
              </w:rPr>
              <w:t>741</w:t>
            </w:r>
          </w:p>
        </w:tc>
        <w:tc>
          <w:tcPr>
            <w:cnfStyle w:val="000010000000" w:firstRow="0" w:lastRow="0" w:firstColumn="0" w:lastColumn="0" w:oddVBand="1" w:evenVBand="0" w:oddHBand="0" w:evenHBand="0" w:firstRowFirstColumn="0" w:firstRowLastColumn="0" w:lastRowFirstColumn="0" w:lastRowLastColumn="0"/>
            <w:tcW w:w="1948" w:type="dxa"/>
          </w:tcPr>
          <w:p w14:paraId="700E5B2F" w14:textId="77777777" w:rsidR="009867E7" w:rsidRPr="00300C59" w:rsidRDefault="009867E7" w:rsidP="007C520D">
            <w:pPr>
              <w:keepNext/>
              <w:widowControl w:val="0"/>
              <w:spacing w:after="0" w:line="240" w:lineRule="auto"/>
              <w:rPr>
                <w:sz w:val="20"/>
              </w:rPr>
            </w:pPr>
            <w:r w:rsidRPr="00300C59">
              <w:rPr>
                <w:sz w:val="20"/>
              </w:rPr>
              <w:t>0</w:t>
            </w:r>
          </w:p>
        </w:tc>
      </w:tr>
      <w:tr w:rsidR="009867E7" w14:paraId="3E5465CE"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447E99B"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35D9DB51" w14:textId="77777777" w:rsidR="009867E7" w:rsidRPr="00300C59" w:rsidRDefault="009867E7" w:rsidP="007C520D">
            <w:pPr>
              <w:keepNext/>
              <w:widowControl w:val="0"/>
              <w:spacing w:after="0" w:line="240" w:lineRule="auto"/>
              <w:rPr>
                <w:sz w:val="20"/>
              </w:rPr>
            </w:pPr>
            <w:r w:rsidRPr="00300C59">
              <w:rPr>
                <w:sz w:val="20"/>
              </w:rPr>
              <w:t>18</w:t>
            </w:r>
            <w:r>
              <w:rPr>
                <w:sz w:val="20"/>
              </w:rPr>
              <w:t>,</w:t>
            </w:r>
            <w:r w:rsidRPr="00300C59">
              <w:rPr>
                <w:sz w:val="20"/>
              </w:rPr>
              <w:t>860</w:t>
            </w:r>
          </w:p>
        </w:tc>
        <w:tc>
          <w:tcPr>
            <w:tcW w:w="1948" w:type="dxa"/>
          </w:tcPr>
          <w:p w14:paraId="01BF7D8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84</w:t>
            </w:r>
            <w:r>
              <w:rPr>
                <w:sz w:val="20"/>
              </w:rPr>
              <w:t>,</w:t>
            </w:r>
            <w:r w:rsidRPr="00300C59">
              <w:rPr>
                <w:sz w:val="20"/>
              </w:rPr>
              <w:t>672</w:t>
            </w:r>
          </w:p>
        </w:tc>
        <w:tc>
          <w:tcPr>
            <w:cnfStyle w:val="000010000000" w:firstRow="0" w:lastRow="0" w:firstColumn="0" w:lastColumn="0" w:oddVBand="1" w:evenVBand="0" w:oddHBand="0" w:evenHBand="0" w:firstRowFirstColumn="0" w:firstRowLastColumn="0" w:lastRowFirstColumn="0" w:lastRowLastColumn="0"/>
            <w:tcW w:w="1948" w:type="dxa"/>
          </w:tcPr>
          <w:p w14:paraId="2A3E97DB" w14:textId="77777777" w:rsidR="009867E7" w:rsidRPr="00300C59" w:rsidRDefault="009867E7" w:rsidP="007C520D">
            <w:pPr>
              <w:keepNext/>
              <w:widowControl w:val="0"/>
              <w:spacing w:after="0" w:line="240" w:lineRule="auto"/>
              <w:rPr>
                <w:sz w:val="20"/>
              </w:rPr>
            </w:pPr>
            <w:r w:rsidRPr="00300C59">
              <w:rPr>
                <w:sz w:val="20"/>
              </w:rPr>
              <w:t>0</w:t>
            </w:r>
          </w:p>
        </w:tc>
      </w:tr>
      <w:tr w:rsidR="009867E7" w14:paraId="50C1DF6A"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6D277FC"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1351EAD2"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100</w:t>
            </w:r>
          </w:p>
        </w:tc>
        <w:tc>
          <w:tcPr>
            <w:tcW w:w="1948" w:type="dxa"/>
          </w:tcPr>
          <w:p w14:paraId="48AA3FD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w:t>
            </w:r>
            <w:r>
              <w:rPr>
                <w:sz w:val="20"/>
              </w:rPr>
              <w:t>,</w:t>
            </w:r>
            <w:r w:rsidRPr="00300C59">
              <w:rPr>
                <w:sz w:val="20"/>
              </w:rPr>
              <w:t>503</w:t>
            </w:r>
          </w:p>
        </w:tc>
        <w:tc>
          <w:tcPr>
            <w:cnfStyle w:val="000010000000" w:firstRow="0" w:lastRow="0" w:firstColumn="0" w:lastColumn="0" w:oddVBand="1" w:evenVBand="0" w:oddHBand="0" w:evenHBand="0" w:firstRowFirstColumn="0" w:firstRowLastColumn="0" w:lastRowFirstColumn="0" w:lastRowLastColumn="0"/>
            <w:tcW w:w="1948" w:type="dxa"/>
          </w:tcPr>
          <w:p w14:paraId="465F4AB5" w14:textId="77777777" w:rsidR="009867E7" w:rsidRPr="00300C59" w:rsidRDefault="009867E7" w:rsidP="007C520D">
            <w:pPr>
              <w:keepNext/>
              <w:widowControl w:val="0"/>
              <w:spacing w:after="0" w:line="240" w:lineRule="auto"/>
              <w:rPr>
                <w:sz w:val="20"/>
              </w:rPr>
            </w:pPr>
            <w:r w:rsidRPr="00300C59">
              <w:rPr>
                <w:sz w:val="20"/>
              </w:rPr>
              <w:t>0</w:t>
            </w:r>
          </w:p>
        </w:tc>
      </w:tr>
      <w:tr w:rsidR="009867E7" w14:paraId="43C734F4"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8A4C14C"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239847A5" w14:textId="77777777" w:rsidR="009867E7" w:rsidRPr="00300C59" w:rsidRDefault="009867E7" w:rsidP="007C520D">
            <w:pPr>
              <w:keepNext/>
              <w:widowControl w:val="0"/>
              <w:spacing w:after="0" w:line="240" w:lineRule="auto"/>
              <w:rPr>
                <w:sz w:val="20"/>
              </w:rPr>
            </w:pPr>
            <w:r w:rsidRPr="00300C59">
              <w:rPr>
                <w:sz w:val="20"/>
              </w:rPr>
              <w:t>466</w:t>
            </w:r>
          </w:p>
        </w:tc>
        <w:tc>
          <w:tcPr>
            <w:tcW w:w="1948" w:type="dxa"/>
          </w:tcPr>
          <w:p w14:paraId="24013FE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w:t>
            </w:r>
            <w:r>
              <w:rPr>
                <w:sz w:val="20"/>
              </w:rPr>
              <w:t>,</w:t>
            </w:r>
            <w:r w:rsidRPr="00300C59">
              <w:rPr>
                <w:sz w:val="20"/>
              </w:rPr>
              <w:t>554</w:t>
            </w:r>
          </w:p>
        </w:tc>
        <w:tc>
          <w:tcPr>
            <w:cnfStyle w:val="000010000000" w:firstRow="0" w:lastRow="0" w:firstColumn="0" w:lastColumn="0" w:oddVBand="1" w:evenVBand="0" w:oddHBand="0" w:evenHBand="0" w:firstRowFirstColumn="0" w:firstRowLastColumn="0" w:lastRowFirstColumn="0" w:lastRowLastColumn="0"/>
            <w:tcW w:w="1948" w:type="dxa"/>
          </w:tcPr>
          <w:p w14:paraId="5EFDA59C" w14:textId="77777777" w:rsidR="009867E7" w:rsidRPr="00300C59" w:rsidRDefault="009867E7" w:rsidP="007C520D">
            <w:pPr>
              <w:keepNext/>
              <w:widowControl w:val="0"/>
              <w:spacing w:after="0" w:line="240" w:lineRule="auto"/>
              <w:rPr>
                <w:sz w:val="20"/>
              </w:rPr>
            </w:pPr>
            <w:r w:rsidRPr="00300C59">
              <w:rPr>
                <w:sz w:val="20"/>
              </w:rPr>
              <w:t>0</w:t>
            </w:r>
          </w:p>
        </w:tc>
      </w:tr>
      <w:tr w:rsidR="009867E7" w14:paraId="59125F7E"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C4741F7"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64BA8BF3" w14:textId="77777777" w:rsidR="009867E7" w:rsidRPr="00300C59" w:rsidRDefault="009867E7" w:rsidP="007C520D">
            <w:pPr>
              <w:keepNext/>
              <w:widowControl w:val="0"/>
              <w:spacing w:after="0" w:line="240" w:lineRule="auto"/>
              <w:rPr>
                <w:sz w:val="20"/>
              </w:rPr>
            </w:pPr>
            <w:r w:rsidRPr="00300C59">
              <w:rPr>
                <w:sz w:val="20"/>
              </w:rPr>
              <w:t>155</w:t>
            </w:r>
          </w:p>
        </w:tc>
        <w:tc>
          <w:tcPr>
            <w:tcW w:w="1948" w:type="dxa"/>
          </w:tcPr>
          <w:p w14:paraId="6397E6B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671</w:t>
            </w:r>
          </w:p>
        </w:tc>
        <w:tc>
          <w:tcPr>
            <w:cnfStyle w:val="000010000000" w:firstRow="0" w:lastRow="0" w:firstColumn="0" w:lastColumn="0" w:oddVBand="1" w:evenVBand="0" w:oddHBand="0" w:evenHBand="0" w:firstRowFirstColumn="0" w:firstRowLastColumn="0" w:lastRowFirstColumn="0" w:lastRowLastColumn="0"/>
            <w:tcW w:w="1948" w:type="dxa"/>
          </w:tcPr>
          <w:p w14:paraId="557A8A24" w14:textId="77777777" w:rsidR="009867E7" w:rsidRPr="00300C59" w:rsidRDefault="009867E7" w:rsidP="007C520D">
            <w:pPr>
              <w:keepNext/>
              <w:widowControl w:val="0"/>
              <w:spacing w:after="0" w:line="240" w:lineRule="auto"/>
              <w:rPr>
                <w:sz w:val="20"/>
              </w:rPr>
            </w:pPr>
            <w:r w:rsidRPr="00300C59">
              <w:rPr>
                <w:sz w:val="20"/>
              </w:rPr>
              <w:t>0</w:t>
            </w:r>
          </w:p>
        </w:tc>
      </w:tr>
      <w:tr w:rsidR="009867E7" w14:paraId="7DAF4B56"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0E64B80"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0DEB4877" w14:textId="77777777" w:rsidR="009867E7" w:rsidRPr="00300C59" w:rsidRDefault="009867E7" w:rsidP="007C520D">
            <w:pPr>
              <w:keepNext/>
              <w:widowControl w:val="0"/>
              <w:spacing w:after="0" w:line="240" w:lineRule="auto"/>
              <w:rPr>
                <w:sz w:val="20"/>
              </w:rPr>
            </w:pPr>
            <w:r w:rsidRPr="00300C59">
              <w:rPr>
                <w:sz w:val="20"/>
              </w:rPr>
              <w:t>10</w:t>
            </w:r>
          </w:p>
        </w:tc>
        <w:tc>
          <w:tcPr>
            <w:tcW w:w="1948" w:type="dxa"/>
          </w:tcPr>
          <w:p w14:paraId="1647C45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29</w:t>
            </w:r>
          </w:p>
        </w:tc>
        <w:tc>
          <w:tcPr>
            <w:cnfStyle w:val="000010000000" w:firstRow="0" w:lastRow="0" w:firstColumn="0" w:lastColumn="0" w:oddVBand="1" w:evenVBand="0" w:oddHBand="0" w:evenHBand="0" w:firstRowFirstColumn="0" w:firstRowLastColumn="0" w:lastRowFirstColumn="0" w:lastRowLastColumn="0"/>
            <w:tcW w:w="1948" w:type="dxa"/>
          </w:tcPr>
          <w:p w14:paraId="5A43FF8B" w14:textId="77777777" w:rsidR="009867E7" w:rsidRPr="00300C59" w:rsidRDefault="009867E7" w:rsidP="007C520D">
            <w:pPr>
              <w:keepNext/>
              <w:widowControl w:val="0"/>
              <w:spacing w:after="0" w:line="240" w:lineRule="auto"/>
              <w:rPr>
                <w:sz w:val="20"/>
              </w:rPr>
            </w:pPr>
            <w:r w:rsidRPr="00300C59">
              <w:rPr>
                <w:sz w:val="20"/>
              </w:rPr>
              <w:t>0</w:t>
            </w:r>
          </w:p>
        </w:tc>
      </w:tr>
      <w:tr w:rsidR="009867E7" w14:paraId="7D7D2182"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8EA2C43"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5AB0D04B"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888</w:t>
            </w:r>
          </w:p>
        </w:tc>
        <w:tc>
          <w:tcPr>
            <w:tcW w:w="1948" w:type="dxa"/>
          </w:tcPr>
          <w:p w14:paraId="4C33B1C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5</w:t>
            </w:r>
            <w:r>
              <w:rPr>
                <w:sz w:val="20"/>
              </w:rPr>
              <w:t>,</w:t>
            </w:r>
            <w:r w:rsidRPr="00300C59">
              <w:rPr>
                <w:sz w:val="20"/>
              </w:rPr>
              <w:t>893</w:t>
            </w:r>
          </w:p>
        </w:tc>
        <w:tc>
          <w:tcPr>
            <w:cnfStyle w:val="000010000000" w:firstRow="0" w:lastRow="0" w:firstColumn="0" w:lastColumn="0" w:oddVBand="1" w:evenVBand="0" w:oddHBand="0" w:evenHBand="0" w:firstRowFirstColumn="0" w:firstRowLastColumn="0" w:lastRowFirstColumn="0" w:lastRowLastColumn="0"/>
            <w:tcW w:w="1948" w:type="dxa"/>
          </w:tcPr>
          <w:p w14:paraId="7638D62B" w14:textId="77777777" w:rsidR="009867E7" w:rsidRPr="00300C59" w:rsidRDefault="009867E7" w:rsidP="007C520D">
            <w:pPr>
              <w:keepNext/>
              <w:widowControl w:val="0"/>
              <w:spacing w:after="0" w:line="240" w:lineRule="auto"/>
              <w:rPr>
                <w:sz w:val="20"/>
              </w:rPr>
            </w:pPr>
            <w:r w:rsidRPr="00300C59">
              <w:rPr>
                <w:sz w:val="20"/>
              </w:rPr>
              <w:t>0</w:t>
            </w:r>
          </w:p>
        </w:tc>
      </w:tr>
    </w:tbl>
    <w:p w14:paraId="447B7C07" w14:textId="77777777" w:rsidR="009867E7" w:rsidRPr="00781852" w:rsidRDefault="009867E7" w:rsidP="009867E7">
      <w:pPr>
        <w:pStyle w:val="Caption"/>
        <w:rPr>
          <w:rFonts w:asciiTheme="minorHAnsi" w:hAnsiTheme="minorHAnsi"/>
          <w:b w:val="0"/>
          <w:i/>
          <w:sz w:val="18"/>
        </w:rPr>
      </w:pPr>
      <w:r>
        <w:rPr>
          <w:rFonts w:asciiTheme="minorHAnsi" w:hAnsiTheme="minorHAnsi"/>
          <w:b w:val="0"/>
          <w:i/>
          <w:sz w:val="18"/>
        </w:rPr>
        <w:t>Source: 2009-2013 CHAS</w:t>
      </w:r>
    </w:p>
    <w:p w14:paraId="5051DF80" w14:textId="77777777" w:rsidR="009867E7" w:rsidRDefault="009867E7" w:rsidP="009867E7">
      <w:pPr>
        <w:spacing w:after="0" w:line="240" w:lineRule="auto"/>
        <w:rPr>
          <w:vanish/>
        </w:rPr>
      </w:pPr>
    </w:p>
    <w:p w14:paraId="6FF80BDC" w14:textId="77777777" w:rsidR="009867E7" w:rsidRDefault="009867E7" w:rsidP="009867E7">
      <w:pPr>
        <w:spacing w:after="0" w:line="240" w:lineRule="auto"/>
        <w:rPr>
          <w:b/>
          <w:bCs/>
          <w:vanish/>
          <w:sz w:val="16"/>
          <w:szCs w:val="16"/>
        </w:rPr>
      </w:pPr>
    </w:p>
    <w:p w14:paraId="19EBF960" w14:textId="77777777" w:rsidR="009867E7" w:rsidRDefault="009867E7" w:rsidP="009867E7">
      <w:pPr>
        <w:spacing w:after="0" w:line="240" w:lineRule="auto"/>
      </w:pPr>
    </w:p>
    <w:p w14:paraId="0CCA947F" w14:textId="77777777" w:rsidR="009867E7" w:rsidRDefault="009867E7" w:rsidP="009867E7">
      <w:pPr>
        <w:spacing w:line="204" w:lineRule="auto"/>
        <w:rPr>
          <w:b/>
          <w:sz w:val="24"/>
          <w:szCs w:val="24"/>
        </w:rPr>
      </w:pPr>
      <w:r>
        <w:rPr>
          <w:b/>
          <w:sz w:val="24"/>
          <w:szCs w:val="24"/>
        </w:rPr>
        <w:t>Discussion</w:t>
      </w:r>
    </w:p>
    <w:p w14:paraId="52AF7D97" w14:textId="77777777" w:rsidR="009867E7" w:rsidRPr="00B24E17" w:rsidRDefault="009867E7" w:rsidP="009867E7">
      <w:pPr>
        <w:jc w:val="both"/>
        <w:rPr>
          <w:sz w:val="24"/>
          <w:szCs w:val="24"/>
        </w:rPr>
      </w:pPr>
      <w:r>
        <w:rPr>
          <w:sz w:val="24"/>
          <w:szCs w:val="24"/>
        </w:rPr>
        <w:t>As noted from the tables above, t</w:t>
      </w:r>
      <w:r w:rsidRPr="00B24E17">
        <w:rPr>
          <w:sz w:val="24"/>
          <w:szCs w:val="24"/>
        </w:rPr>
        <w:t xml:space="preserve">he following </w:t>
      </w:r>
      <w:r>
        <w:rPr>
          <w:sz w:val="24"/>
          <w:szCs w:val="24"/>
        </w:rPr>
        <w:t xml:space="preserve">racial/ethnic household experienced one or more housing problem </w:t>
      </w:r>
      <w:r w:rsidRPr="00B24E17">
        <w:rPr>
          <w:sz w:val="24"/>
          <w:szCs w:val="24"/>
        </w:rPr>
        <w:t xml:space="preserve">disproportionately for </w:t>
      </w:r>
      <w:r>
        <w:rPr>
          <w:sz w:val="24"/>
          <w:szCs w:val="24"/>
        </w:rPr>
        <w:t>renters and owners combined:</w:t>
      </w:r>
    </w:p>
    <w:p w14:paraId="3171DF33" w14:textId="77777777" w:rsidR="009867E7" w:rsidRPr="00D25C9B" w:rsidRDefault="009867E7" w:rsidP="00A121EE">
      <w:pPr>
        <w:pStyle w:val="ListParagraph"/>
        <w:numPr>
          <w:ilvl w:val="0"/>
          <w:numId w:val="5"/>
        </w:numPr>
        <w:ind w:left="1440"/>
        <w:jc w:val="both"/>
        <w:rPr>
          <w:rFonts w:asciiTheme="minorHAnsi" w:hAnsiTheme="minorHAnsi"/>
          <w:sz w:val="24"/>
          <w:szCs w:val="24"/>
        </w:rPr>
      </w:pPr>
      <w:r>
        <w:rPr>
          <w:sz w:val="24"/>
          <w:szCs w:val="24"/>
        </w:rPr>
        <w:t>Pacific Islander: 31-50% AMI and 51-80% AMI</w:t>
      </w:r>
    </w:p>
    <w:p w14:paraId="788C7D18" w14:textId="77777777" w:rsidR="009867E7" w:rsidRDefault="009867E7" w:rsidP="009867E7">
      <w:pPr>
        <w:pStyle w:val="Heading2"/>
        <w:pageBreakBefore/>
        <w:shd w:val="clear" w:color="auto" w:fill="95B3D7" w:themeFill="accent1" w:themeFillTint="99"/>
        <w:rPr>
          <w:rFonts w:ascii="Calibri" w:hAnsi="Calibri"/>
          <w:i w:val="0"/>
        </w:rPr>
      </w:pPr>
      <w:bookmarkStart w:id="26" w:name="_Toc524603012"/>
      <w:r>
        <w:rPr>
          <w:rFonts w:ascii="Calibri" w:hAnsi="Calibri"/>
          <w:i w:val="0"/>
        </w:rPr>
        <w:t>NA-20 Disproportionately Greater Need: Severe Housing Problems – 91.305(b)(2)</w:t>
      </w:r>
      <w:bookmarkEnd w:id="26"/>
    </w:p>
    <w:p w14:paraId="40A7EC31" w14:textId="77777777" w:rsidR="009867E7" w:rsidRPr="00021EE0" w:rsidRDefault="009867E7" w:rsidP="009867E7">
      <w:pPr>
        <w:rPr>
          <w:sz w:val="24"/>
        </w:rPr>
      </w:pPr>
      <w:r w:rsidRPr="00021EE0">
        <w:rPr>
          <w:sz w:val="24"/>
        </w:rPr>
        <w:t>Assess the need of any racial or ethnic group that has disproportionately greater need in comparison to the needs of that category of need as a whole.</w:t>
      </w:r>
    </w:p>
    <w:p w14:paraId="051CF1FD" w14:textId="77777777" w:rsidR="009867E7" w:rsidRDefault="009867E7" w:rsidP="009867E7">
      <w:pPr>
        <w:spacing w:line="204" w:lineRule="auto"/>
        <w:rPr>
          <w:b/>
          <w:sz w:val="24"/>
          <w:szCs w:val="24"/>
        </w:rPr>
      </w:pPr>
      <w:r>
        <w:rPr>
          <w:b/>
          <w:sz w:val="24"/>
          <w:szCs w:val="24"/>
        </w:rPr>
        <w:t>Introduction</w:t>
      </w:r>
    </w:p>
    <w:p w14:paraId="427C36C0" w14:textId="77777777" w:rsidR="009867E7" w:rsidRPr="00EB5D47" w:rsidRDefault="009867E7" w:rsidP="009867E7">
      <w:pPr>
        <w:rPr>
          <w:sz w:val="24"/>
          <w:szCs w:val="24"/>
        </w:rPr>
      </w:pPr>
      <w:r w:rsidRPr="00AA11EA">
        <w:rPr>
          <w:sz w:val="24"/>
          <w:szCs w:val="24"/>
        </w:rPr>
        <w:t>HUD defines a disproportionately greater housing need when a racial or ethnic group experiences housing problems at a rate greater than 10</w:t>
      </w:r>
      <w:r>
        <w:rPr>
          <w:sz w:val="24"/>
          <w:szCs w:val="24"/>
        </w:rPr>
        <w:t xml:space="preserve"> percentage points</w:t>
      </w:r>
      <w:r w:rsidRPr="00AA11EA">
        <w:rPr>
          <w:sz w:val="24"/>
          <w:szCs w:val="24"/>
        </w:rPr>
        <w:t xml:space="preserve"> </w:t>
      </w:r>
      <w:r>
        <w:rPr>
          <w:sz w:val="24"/>
          <w:szCs w:val="24"/>
        </w:rPr>
        <w:t>above</w:t>
      </w:r>
      <w:r w:rsidRPr="00AA11EA">
        <w:rPr>
          <w:sz w:val="24"/>
          <w:szCs w:val="24"/>
        </w:rPr>
        <w:t xml:space="preserve"> the income level as a whole. The 200</w:t>
      </w:r>
      <w:r>
        <w:rPr>
          <w:sz w:val="24"/>
          <w:szCs w:val="24"/>
        </w:rPr>
        <w:t>9-2013</w:t>
      </w:r>
      <w:r w:rsidRPr="00AA11EA">
        <w:rPr>
          <w:sz w:val="24"/>
          <w:szCs w:val="24"/>
        </w:rPr>
        <w:t xml:space="preserve"> CHAS data table below summarizes the percentage of each racial/ethnic group experiencing housing problems by HUD Adjusted Median Family Income (</w:t>
      </w:r>
      <w:r>
        <w:rPr>
          <w:sz w:val="24"/>
          <w:szCs w:val="24"/>
        </w:rPr>
        <w:t>H</w:t>
      </w:r>
      <w:r w:rsidRPr="00AA11EA">
        <w:rPr>
          <w:sz w:val="24"/>
          <w:szCs w:val="24"/>
        </w:rPr>
        <w:t>AM</w:t>
      </w:r>
      <w:r>
        <w:rPr>
          <w:sz w:val="24"/>
          <w:szCs w:val="24"/>
        </w:rPr>
        <w:t>F</w:t>
      </w:r>
      <w:r w:rsidRPr="00AA11EA">
        <w:rPr>
          <w:sz w:val="24"/>
          <w:szCs w:val="24"/>
        </w:rPr>
        <w:t xml:space="preserve">I) levels. </w:t>
      </w:r>
      <w:r w:rsidRPr="00EB5D47">
        <w:rPr>
          <w:sz w:val="24"/>
          <w:szCs w:val="24"/>
        </w:rPr>
        <w:t>There are four types of housing problems that HUD collects data on:</w:t>
      </w:r>
    </w:p>
    <w:p w14:paraId="324D344D" w14:textId="77777777" w:rsidR="009867E7" w:rsidRPr="00EB5D47" w:rsidRDefault="009867E7" w:rsidP="00A121EE">
      <w:pPr>
        <w:pStyle w:val="ListParagraph"/>
        <w:numPr>
          <w:ilvl w:val="0"/>
          <w:numId w:val="32"/>
        </w:numPr>
        <w:rPr>
          <w:sz w:val="24"/>
          <w:szCs w:val="24"/>
        </w:rPr>
      </w:pPr>
      <w:r w:rsidRPr="00EB5D47">
        <w:rPr>
          <w:sz w:val="24"/>
          <w:szCs w:val="24"/>
        </w:rPr>
        <w:t>Lacking complete kitchen facilities</w:t>
      </w:r>
    </w:p>
    <w:p w14:paraId="56DC2B90" w14:textId="77777777" w:rsidR="009867E7" w:rsidRPr="00EB5D47" w:rsidRDefault="009867E7" w:rsidP="00A121EE">
      <w:pPr>
        <w:pStyle w:val="ListParagraph"/>
        <w:numPr>
          <w:ilvl w:val="1"/>
          <w:numId w:val="32"/>
        </w:numPr>
        <w:spacing w:line="240" w:lineRule="auto"/>
        <w:rPr>
          <w:sz w:val="24"/>
          <w:szCs w:val="24"/>
        </w:rPr>
      </w:pPr>
      <w:r w:rsidRPr="00EB5D47">
        <w:rPr>
          <w:sz w:val="24"/>
          <w:szCs w:val="24"/>
        </w:rPr>
        <w:t>A complete kitchen consists of a sink with a faucet, a stove or range, and a refrigerator</w:t>
      </w:r>
    </w:p>
    <w:p w14:paraId="578018FD" w14:textId="77777777" w:rsidR="009867E7" w:rsidRPr="00EB5D47" w:rsidRDefault="009867E7" w:rsidP="00A121EE">
      <w:pPr>
        <w:pStyle w:val="ListParagraph"/>
        <w:numPr>
          <w:ilvl w:val="0"/>
          <w:numId w:val="32"/>
        </w:numPr>
        <w:spacing w:line="240" w:lineRule="auto"/>
        <w:rPr>
          <w:sz w:val="24"/>
          <w:szCs w:val="24"/>
        </w:rPr>
      </w:pPr>
      <w:r w:rsidRPr="00EB5D47">
        <w:rPr>
          <w:sz w:val="24"/>
          <w:szCs w:val="24"/>
        </w:rPr>
        <w:t>Housing unit complete plumbing facilities</w:t>
      </w:r>
    </w:p>
    <w:p w14:paraId="684B8E67" w14:textId="77777777" w:rsidR="009867E7" w:rsidRPr="00EB5D47" w:rsidRDefault="009867E7" w:rsidP="00A121EE">
      <w:pPr>
        <w:pStyle w:val="ListParagraph"/>
        <w:numPr>
          <w:ilvl w:val="1"/>
          <w:numId w:val="32"/>
        </w:numPr>
        <w:spacing w:line="240" w:lineRule="auto"/>
        <w:rPr>
          <w:sz w:val="24"/>
          <w:szCs w:val="24"/>
        </w:rPr>
      </w:pPr>
      <w:r w:rsidRPr="00EB5D47">
        <w:rPr>
          <w:sz w:val="24"/>
          <w:szCs w:val="24"/>
        </w:rPr>
        <w:t>Complete plumbing consists of hot and cold running water, a flush toilet, and a bathtub or shower</w:t>
      </w:r>
    </w:p>
    <w:p w14:paraId="35A30638" w14:textId="77777777" w:rsidR="009867E7" w:rsidRPr="00EB5D47" w:rsidRDefault="009867E7" w:rsidP="00A121EE">
      <w:pPr>
        <w:pStyle w:val="ListParagraph"/>
        <w:keepNext/>
        <w:widowControl w:val="0"/>
        <w:numPr>
          <w:ilvl w:val="0"/>
          <w:numId w:val="32"/>
        </w:numPr>
        <w:spacing w:line="240" w:lineRule="auto"/>
        <w:rPr>
          <w:bCs/>
          <w:sz w:val="24"/>
          <w:szCs w:val="24"/>
        </w:rPr>
      </w:pPr>
      <w:r w:rsidRPr="00EB5D47">
        <w:rPr>
          <w:bCs/>
          <w:sz w:val="24"/>
          <w:szCs w:val="24"/>
        </w:rPr>
        <w:t>Cost burden greater than 30% of income</w:t>
      </w:r>
    </w:p>
    <w:p w14:paraId="4A327566" w14:textId="77777777" w:rsidR="009867E7" w:rsidRPr="00EB5D47" w:rsidRDefault="009867E7" w:rsidP="00A121EE">
      <w:pPr>
        <w:pStyle w:val="ListParagraph"/>
        <w:keepNext/>
        <w:widowControl w:val="0"/>
        <w:numPr>
          <w:ilvl w:val="0"/>
          <w:numId w:val="32"/>
        </w:numPr>
        <w:spacing w:line="240" w:lineRule="auto"/>
        <w:rPr>
          <w:bCs/>
          <w:sz w:val="24"/>
          <w:szCs w:val="24"/>
        </w:rPr>
      </w:pPr>
      <w:r w:rsidRPr="00EB5D47">
        <w:rPr>
          <w:bCs/>
          <w:sz w:val="24"/>
          <w:szCs w:val="24"/>
        </w:rPr>
        <w:t>More than one person per room (overcrowding)</w:t>
      </w:r>
    </w:p>
    <w:p w14:paraId="0CCEA8D8" w14:textId="77777777" w:rsidR="009867E7" w:rsidRPr="00AA11EA" w:rsidRDefault="009867E7" w:rsidP="009867E7">
      <w:pPr>
        <w:contextualSpacing/>
        <w:rPr>
          <w:sz w:val="24"/>
          <w:szCs w:val="24"/>
        </w:rPr>
      </w:pPr>
      <w:r w:rsidRPr="00AA11EA">
        <w:rPr>
          <w:sz w:val="24"/>
          <w:szCs w:val="24"/>
        </w:rPr>
        <w:t>Income classifications are as follows: 0%-30% AMI is considered extremely low-income, 3</w:t>
      </w:r>
      <w:r>
        <w:rPr>
          <w:sz w:val="24"/>
          <w:szCs w:val="24"/>
        </w:rPr>
        <w:t>0</w:t>
      </w:r>
      <w:r w:rsidRPr="00AA11EA">
        <w:rPr>
          <w:sz w:val="24"/>
          <w:szCs w:val="24"/>
        </w:rPr>
        <w:t>%-50% AMI is low-income, 5</w:t>
      </w:r>
      <w:r>
        <w:rPr>
          <w:sz w:val="24"/>
          <w:szCs w:val="24"/>
        </w:rPr>
        <w:t>0</w:t>
      </w:r>
      <w:r w:rsidRPr="00AA11EA">
        <w:rPr>
          <w:sz w:val="24"/>
          <w:szCs w:val="24"/>
        </w:rPr>
        <w:t>%-80% AMI is moderate-income, and 8</w:t>
      </w:r>
      <w:r>
        <w:rPr>
          <w:sz w:val="24"/>
          <w:szCs w:val="24"/>
        </w:rPr>
        <w:t>0</w:t>
      </w:r>
      <w:r w:rsidRPr="00AA11EA">
        <w:rPr>
          <w:sz w:val="24"/>
          <w:szCs w:val="24"/>
        </w:rPr>
        <w:t xml:space="preserve">%-100% is middle-income. </w:t>
      </w:r>
    </w:p>
    <w:p w14:paraId="6F301153" w14:textId="77777777" w:rsidR="009867E7" w:rsidRPr="00AA11EA" w:rsidRDefault="009867E7" w:rsidP="009867E7">
      <w:pPr>
        <w:contextualSpacing/>
        <w:jc w:val="both"/>
        <w:rPr>
          <w:sz w:val="24"/>
          <w:szCs w:val="24"/>
        </w:rPr>
      </w:pPr>
      <w:r w:rsidRPr="00AA11EA">
        <w:rPr>
          <w:sz w:val="24"/>
          <w:szCs w:val="24"/>
        </w:rPr>
        <w:t>The following racial/ethnic household groups experienced disproportionately greater need, for both renters and owners combined, as exemplified by housing problems:</w:t>
      </w:r>
    </w:p>
    <w:p w14:paraId="22159976" w14:textId="77777777" w:rsidR="009867E7" w:rsidRPr="00962D8C" w:rsidRDefault="009867E7" w:rsidP="00A121EE">
      <w:pPr>
        <w:pStyle w:val="ListParagraph"/>
        <w:numPr>
          <w:ilvl w:val="0"/>
          <w:numId w:val="5"/>
        </w:numPr>
        <w:ind w:left="1440"/>
        <w:jc w:val="both"/>
        <w:rPr>
          <w:rFonts w:asciiTheme="minorHAnsi" w:hAnsiTheme="minorHAnsi"/>
          <w:sz w:val="24"/>
          <w:szCs w:val="24"/>
        </w:rPr>
      </w:pPr>
      <w:r w:rsidRPr="00962D8C">
        <w:rPr>
          <w:rFonts w:asciiTheme="minorHAnsi" w:hAnsiTheme="minorHAnsi"/>
          <w:sz w:val="24"/>
          <w:szCs w:val="24"/>
        </w:rPr>
        <w:t>Asian: 5</w:t>
      </w:r>
      <w:r>
        <w:rPr>
          <w:rFonts w:asciiTheme="minorHAnsi" w:hAnsiTheme="minorHAnsi"/>
          <w:sz w:val="24"/>
          <w:szCs w:val="24"/>
        </w:rPr>
        <w:t>0</w:t>
      </w:r>
      <w:r w:rsidRPr="00962D8C">
        <w:rPr>
          <w:rFonts w:asciiTheme="minorHAnsi" w:hAnsiTheme="minorHAnsi"/>
          <w:sz w:val="24"/>
          <w:szCs w:val="24"/>
        </w:rPr>
        <w:t>-80% AMI</w:t>
      </w:r>
    </w:p>
    <w:p w14:paraId="31AD0488" w14:textId="77777777" w:rsidR="009867E7" w:rsidRPr="00962D8C" w:rsidRDefault="009867E7" w:rsidP="00A121EE">
      <w:pPr>
        <w:pStyle w:val="ListParagraph"/>
        <w:numPr>
          <w:ilvl w:val="0"/>
          <w:numId w:val="5"/>
        </w:numPr>
        <w:ind w:left="1440"/>
        <w:jc w:val="both"/>
        <w:rPr>
          <w:rFonts w:asciiTheme="minorHAnsi" w:hAnsiTheme="minorHAnsi"/>
          <w:sz w:val="24"/>
          <w:szCs w:val="24"/>
        </w:rPr>
      </w:pPr>
      <w:r w:rsidRPr="00962D8C">
        <w:rPr>
          <w:sz w:val="24"/>
          <w:szCs w:val="24"/>
        </w:rPr>
        <w:t>Pacific Islander: 0-30% AMI</w:t>
      </w:r>
    </w:p>
    <w:p w14:paraId="5593A5E1" w14:textId="77777777" w:rsidR="009867E7" w:rsidRDefault="009867E7" w:rsidP="009867E7">
      <w:pPr>
        <w:contextualSpacing/>
        <w:jc w:val="both"/>
        <w:rPr>
          <w:sz w:val="24"/>
          <w:szCs w:val="24"/>
        </w:rPr>
      </w:pPr>
      <w:r w:rsidRPr="00AA11EA">
        <w:rPr>
          <w:sz w:val="24"/>
          <w:szCs w:val="24"/>
        </w:rPr>
        <w:t xml:space="preserve">This information is </w:t>
      </w:r>
      <w:r>
        <w:rPr>
          <w:sz w:val="24"/>
          <w:szCs w:val="24"/>
        </w:rPr>
        <w:t>summarized</w:t>
      </w:r>
      <w:r w:rsidRPr="00AA11EA">
        <w:rPr>
          <w:sz w:val="24"/>
          <w:szCs w:val="24"/>
        </w:rPr>
        <w:t xml:space="preserve"> in the </w:t>
      </w:r>
      <w:r>
        <w:rPr>
          <w:sz w:val="24"/>
          <w:szCs w:val="24"/>
        </w:rPr>
        <w:t xml:space="preserve">following </w:t>
      </w:r>
      <w:r w:rsidRPr="00AA11EA">
        <w:rPr>
          <w:sz w:val="24"/>
          <w:szCs w:val="24"/>
        </w:rPr>
        <w:t xml:space="preserve">table </w:t>
      </w:r>
      <w:r>
        <w:rPr>
          <w:sz w:val="24"/>
          <w:szCs w:val="24"/>
        </w:rPr>
        <w:t>based on the HUD-generated tables in the subsequent pages</w:t>
      </w:r>
      <w:r w:rsidRPr="00AA11EA">
        <w:rPr>
          <w:sz w:val="24"/>
          <w:szCs w:val="24"/>
        </w:rPr>
        <w:t>.</w:t>
      </w:r>
    </w:p>
    <w:p w14:paraId="1C4F85BA" w14:textId="77777777" w:rsidR="009867E7" w:rsidRDefault="009867E7" w:rsidP="009867E7">
      <w:pPr>
        <w:contextualSpacing/>
        <w:jc w:val="both"/>
        <w:rPr>
          <w:sz w:val="24"/>
          <w:szCs w:val="24"/>
        </w:rPr>
      </w:pPr>
    </w:p>
    <w:p w14:paraId="31C9F402" w14:textId="77777777" w:rsidR="009867E7" w:rsidRDefault="009867E7" w:rsidP="009867E7">
      <w:pPr>
        <w:keepNext/>
        <w:widowControl w:val="0"/>
        <w:spacing w:line="240" w:lineRule="auto"/>
        <w:contextualSpacing/>
        <w:rPr>
          <w:sz w:val="24"/>
          <w:szCs w:val="24"/>
        </w:rPr>
      </w:pPr>
      <w:r>
        <w:rPr>
          <w:b/>
          <w:sz w:val="24"/>
          <w:szCs w:val="24"/>
        </w:rPr>
        <w:t xml:space="preserve">Table 13 – Summary Table: Population with One or More </w:t>
      </w:r>
      <w:r w:rsidRPr="0058513D">
        <w:rPr>
          <w:b/>
          <w:sz w:val="24"/>
          <w:szCs w:val="24"/>
          <w:u w:val="single"/>
        </w:rPr>
        <w:t>Severe</w:t>
      </w:r>
      <w:r>
        <w:rPr>
          <w:b/>
          <w:sz w:val="24"/>
          <w:szCs w:val="24"/>
        </w:rPr>
        <w:t xml:space="preserve"> Housing Problems</w:t>
      </w:r>
      <w:r>
        <w:rPr>
          <w:bCs/>
          <w:sz w:val="24"/>
          <w:szCs w:val="24"/>
        </w:rPr>
        <w:t xml:space="preserve"> </w:t>
      </w:r>
    </w:p>
    <w:tbl>
      <w:tblPr>
        <w:tblStyle w:val="GridTable4-Accent1"/>
        <w:tblW w:w="0" w:type="auto"/>
        <w:tblLook w:val="04E0" w:firstRow="1" w:lastRow="1" w:firstColumn="1" w:lastColumn="0" w:noHBand="0" w:noVBand="1"/>
      </w:tblPr>
      <w:tblGrid>
        <w:gridCol w:w="2898"/>
        <w:gridCol w:w="1147"/>
        <w:gridCol w:w="1148"/>
        <w:gridCol w:w="1147"/>
        <w:gridCol w:w="1148"/>
      </w:tblGrid>
      <w:tr w:rsidR="009867E7" w:rsidRPr="00423FDF" w14:paraId="0453EE52"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BA2B67D" w14:textId="77777777" w:rsidR="009867E7" w:rsidRPr="00505F4C" w:rsidRDefault="009867E7" w:rsidP="007C520D">
            <w:pPr>
              <w:pStyle w:val="TableHeader"/>
              <w:contextualSpacing/>
            </w:pPr>
            <w:r w:rsidRPr="00505F4C">
              <w:t> Racial/Ethnic Group</w:t>
            </w:r>
          </w:p>
        </w:tc>
        <w:tc>
          <w:tcPr>
            <w:tcW w:w="1147" w:type="dxa"/>
          </w:tcPr>
          <w:p w14:paraId="1C3F9102" w14:textId="77777777" w:rsidR="009867E7" w:rsidRPr="00505F4C" w:rsidRDefault="009867E7" w:rsidP="007C520D">
            <w:pPr>
              <w:pStyle w:val="TableHeader"/>
              <w:contextualSpacing/>
              <w:jc w:val="center"/>
              <w:cnfStyle w:val="100000000000" w:firstRow="1" w:lastRow="0" w:firstColumn="0" w:lastColumn="0" w:oddVBand="0" w:evenVBand="0" w:oddHBand="0" w:evenHBand="0" w:firstRowFirstColumn="0" w:firstRowLastColumn="0" w:lastRowFirstColumn="0" w:lastRowLastColumn="0"/>
            </w:pPr>
            <w:r w:rsidRPr="00505F4C">
              <w:t>0-30% AMI</w:t>
            </w:r>
          </w:p>
        </w:tc>
        <w:tc>
          <w:tcPr>
            <w:tcW w:w="1148" w:type="dxa"/>
          </w:tcPr>
          <w:p w14:paraId="4DAACB06" w14:textId="77777777" w:rsidR="009867E7" w:rsidRPr="00505F4C" w:rsidRDefault="009867E7" w:rsidP="007C520D">
            <w:pPr>
              <w:pStyle w:val="TableHeader"/>
              <w:contextualSpacing/>
              <w:jc w:val="center"/>
              <w:cnfStyle w:val="100000000000" w:firstRow="1" w:lastRow="0" w:firstColumn="0" w:lastColumn="0" w:oddVBand="0" w:evenVBand="0" w:oddHBand="0" w:evenHBand="0" w:firstRowFirstColumn="0" w:firstRowLastColumn="0" w:lastRowFirstColumn="0" w:lastRowLastColumn="0"/>
            </w:pPr>
            <w:r w:rsidRPr="00505F4C">
              <w:t>30-50% AMI</w:t>
            </w:r>
          </w:p>
        </w:tc>
        <w:tc>
          <w:tcPr>
            <w:tcW w:w="1147" w:type="dxa"/>
          </w:tcPr>
          <w:p w14:paraId="2C3B8218" w14:textId="77777777" w:rsidR="009867E7" w:rsidRPr="00505F4C" w:rsidRDefault="009867E7" w:rsidP="007C520D">
            <w:pPr>
              <w:pStyle w:val="TableHeader"/>
              <w:contextualSpacing/>
              <w:jc w:val="center"/>
              <w:cnfStyle w:val="100000000000" w:firstRow="1" w:lastRow="0" w:firstColumn="0" w:lastColumn="0" w:oddVBand="0" w:evenVBand="0" w:oddHBand="0" w:evenHBand="0" w:firstRowFirstColumn="0" w:firstRowLastColumn="0" w:lastRowFirstColumn="0" w:lastRowLastColumn="0"/>
            </w:pPr>
            <w:r w:rsidRPr="00505F4C">
              <w:t>50-80% AMI</w:t>
            </w:r>
          </w:p>
        </w:tc>
        <w:tc>
          <w:tcPr>
            <w:tcW w:w="1148" w:type="dxa"/>
          </w:tcPr>
          <w:p w14:paraId="01FA8F31" w14:textId="77777777" w:rsidR="009867E7" w:rsidRPr="00505F4C" w:rsidRDefault="009867E7" w:rsidP="007C520D">
            <w:pPr>
              <w:pStyle w:val="TableHeader"/>
              <w:contextualSpacing/>
              <w:jc w:val="center"/>
              <w:cnfStyle w:val="100000000000" w:firstRow="1" w:lastRow="0" w:firstColumn="0" w:lastColumn="0" w:oddVBand="0" w:evenVBand="0" w:oddHBand="0" w:evenHBand="0" w:firstRowFirstColumn="0" w:firstRowLastColumn="0" w:lastRowFirstColumn="0" w:lastRowLastColumn="0"/>
            </w:pPr>
            <w:r w:rsidRPr="00505F4C">
              <w:t>80-100% AMI</w:t>
            </w:r>
          </w:p>
        </w:tc>
      </w:tr>
      <w:tr w:rsidR="009867E7" w:rsidRPr="00860553" w14:paraId="7FB5F1BA"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2EA7704" w14:textId="77777777" w:rsidR="009867E7" w:rsidRPr="00300C59" w:rsidRDefault="009867E7" w:rsidP="007C520D">
            <w:pPr>
              <w:pStyle w:val="TableBody"/>
              <w:rPr>
                <w:b w:val="0"/>
                <w:color w:val="000000" w:themeColor="text1"/>
              </w:rPr>
            </w:pPr>
            <w:r w:rsidRPr="00300C59">
              <w:rPr>
                <w:b w:val="0"/>
                <w:color w:val="000000" w:themeColor="text1"/>
              </w:rPr>
              <w:t xml:space="preserve">White </w:t>
            </w:r>
          </w:p>
        </w:tc>
        <w:tc>
          <w:tcPr>
            <w:tcW w:w="1147" w:type="dxa"/>
          </w:tcPr>
          <w:p w14:paraId="17E499E8"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61.5%</w:t>
            </w:r>
          </w:p>
        </w:tc>
        <w:tc>
          <w:tcPr>
            <w:tcW w:w="1148" w:type="dxa"/>
          </w:tcPr>
          <w:p w14:paraId="37F10C1F"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22.8%</w:t>
            </w:r>
          </w:p>
        </w:tc>
        <w:tc>
          <w:tcPr>
            <w:tcW w:w="1147" w:type="dxa"/>
          </w:tcPr>
          <w:p w14:paraId="356AD140"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8.0%</w:t>
            </w:r>
          </w:p>
        </w:tc>
        <w:tc>
          <w:tcPr>
            <w:tcW w:w="1148" w:type="dxa"/>
          </w:tcPr>
          <w:p w14:paraId="5DEA4716"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3.9%</w:t>
            </w:r>
          </w:p>
        </w:tc>
      </w:tr>
      <w:tr w:rsidR="009867E7" w:rsidRPr="00860553" w14:paraId="51DFB3F6" w14:textId="77777777" w:rsidTr="007C520D">
        <w:tc>
          <w:tcPr>
            <w:cnfStyle w:val="001000000000" w:firstRow="0" w:lastRow="0" w:firstColumn="1" w:lastColumn="0" w:oddVBand="0" w:evenVBand="0" w:oddHBand="0" w:evenHBand="0" w:firstRowFirstColumn="0" w:firstRowLastColumn="0" w:lastRowFirstColumn="0" w:lastRowLastColumn="0"/>
            <w:tcW w:w="2898" w:type="dxa"/>
          </w:tcPr>
          <w:p w14:paraId="02076B81" w14:textId="77777777" w:rsidR="009867E7" w:rsidRPr="00300C59" w:rsidRDefault="009867E7" w:rsidP="007C520D">
            <w:pPr>
              <w:pStyle w:val="TableBody"/>
              <w:rPr>
                <w:b w:val="0"/>
                <w:color w:val="000000" w:themeColor="text1"/>
              </w:rPr>
            </w:pPr>
            <w:r w:rsidRPr="00300C59">
              <w:rPr>
                <w:b w:val="0"/>
                <w:color w:val="000000" w:themeColor="text1"/>
              </w:rPr>
              <w:t>Black/African American</w:t>
            </w:r>
          </w:p>
        </w:tc>
        <w:tc>
          <w:tcPr>
            <w:tcW w:w="1147" w:type="dxa"/>
          </w:tcPr>
          <w:p w14:paraId="71B3DBF2"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63.5%</w:t>
            </w:r>
          </w:p>
        </w:tc>
        <w:tc>
          <w:tcPr>
            <w:tcW w:w="1148" w:type="dxa"/>
          </w:tcPr>
          <w:p w14:paraId="1C09D9F1"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26.8%</w:t>
            </w:r>
          </w:p>
        </w:tc>
        <w:tc>
          <w:tcPr>
            <w:tcW w:w="1147" w:type="dxa"/>
          </w:tcPr>
          <w:p w14:paraId="40FAA2E1"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9.3%</w:t>
            </w:r>
          </w:p>
        </w:tc>
        <w:tc>
          <w:tcPr>
            <w:tcW w:w="1148" w:type="dxa"/>
          </w:tcPr>
          <w:p w14:paraId="6A4771A5"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3.9%</w:t>
            </w:r>
          </w:p>
        </w:tc>
      </w:tr>
      <w:tr w:rsidR="009867E7" w:rsidRPr="00860553" w14:paraId="59F46351"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E07C939" w14:textId="77777777" w:rsidR="009867E7" w:rsidRPr="00300C59" w:rsidRDefault="009867E7" w:rsidP="007C520D">
            <w:pPr>
              <w:pStyle w:val="TableBody"/>
              <w:rPr>
                <w:b w:val="0"/>
                <w:color w:val="000000" w:themeColor="text1"/>
              </w:rPr>
            </w:pPr>
            <w:r w:rsidRPr="00300C59">
              <w:rPr>
                <w:b w:val="0"/>
                <w:color w:val="000000" w:themeColor="text1"/>
              </w:rPr>
              <w:t>Asian</w:t>
            </w:r>
          </w:p>
        </w:tc>
        <w:tc>
          <w:tcPr>
            <w:tcW w:w="1147" w:type="dxa"/>
          </w:tcPr>
          <w:p w14:paraId="5BBF55EA"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62.3%</w:t>
            </w:r>
          </w:p>
        </w:tc>
        <w:tc>
          <w:tcPr>
            <w:tcW w:w="1148" w:type="dxa"/>
          </w:tcPr>
          <w:p w14:paraId="564FD36A"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27.5%</w:t>
            </w:r>
          </w:p>
        </w:tc>
        <w:tc>
          <w:tcPr>
            <w:tcW w:w="1147" w:type="dxa"/>
          </w:tcPr>
          <w:p w14:paraId="4F6E6871"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300C59">
              <w:rPr>
                <w:b/>
                <w:color w:val="000000" w:themeColor="text1"/>
              </w:rPr>
              <w:t>18.7%</w:t>
            </w:r>
          </w:p>
        </w:tc>
        <w:tc>
          <w:tcPr>
            <w:tcW w:w="1148" w:type="dxa"/>
          </w:tcPr>
          <w:p w14:paraId="59A99635"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5.0%</w:t>
            </w:r>
          </w:p>
        </w:tc>
      </w:tr>
      <w:tr w:rsidR="009867E7" w:rsidRPr="00860553" w14:paraId="4FE861A6" w14:textId="77777777" w:rsidTr="007C520D">
        <w:tc>
          <w:tcPr>
            <w:cnfStyle w:val="001000000000" w:firstRow="0" w:lastRow="0" w:firstColumn="1" w:lastColumn="0" w:oddVBand="0" w:evenVBand="0" w:oddHBand="0" w:evenHBand="0" w:firstRowFirstColumn="0" w:firstRowLastColumn="0" w:lastRowFirstColumn="0" w:lastRowLastColumn="0"/>
            <w:tcW w:w="2898" w:type="dxa"/>
          </w:tcPr>
          <w:p w14:paraId="0F930221" w14:textId="77777777" w:rsidR="009867E7" w:rsidRPr="00300C59" w:rsidRDefault="009867E7" w:rsidP="007C520D">
            <w:pPr>
              <w:pStyle w:val="TableBody"/>
              <w:rPr>
                <w:b w:val="0"/>
                <w:color w:val="000000" w:themeColor="text1"/>
              </w:rPr>
            </w:pPr>
            <w:r w:rsidRPr="00300C59">
              <w:rPr>
                <w:b w:val="0"/>
                <w:color w:val="000000" w:themeColor="text1"/>
              </w:rPr>
              <w:t>American Indian, Alaska Native</w:t>
            </w:r>
          </w:p>
        </w:tc>
        <w:tc>
          <w:tcPr>
            <w:tcW w:w="1147" w:type="dxa"/>
          </w:tcPr>
          <w:p w14:paraId="15C56E74"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61.8%</w:t>
            </w:r>
          </w:p>
        </w:tc>
        <w:tc>
          <w:tcPr>
            <w:tcW w:w="1148" w:type="dxa"/>
          </w:tcPr>
          <w:p w14:paraId="522B1009"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25.6%</w:t>
            </w:r>
          </w:p>
        </w:tc>
        <w:tc>
          <w:tcPr>
            <w:tcW w:w="1147" w:type="dxa"/>
          </w:tcPr>
          <w:p w14:paraId="59131670"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7.6%</w:t>
            </w:r>
          </w:p>
        </w:tc>
        <w:tc>
          <w:tcPr>
            <w:tcW w:w="1148" w:type="dxa"/>
          </w:tcPr>
          <w:p w14:paraId="4C50B97A"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00C59">
              <w:rPr>
                <w:color w:val="000000" w:themeColor="text1"/>
              </w:rPr>
              <w:t>5.0%</w:t>
            </w:r>
          </w:p>
        </w:tc>
      </w:tr>
      <w:tr w:rsidR="009867E7" w:rsidRPr="00860553" w14:paraId="03FDD0C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0F6FF77" w14:textId="77777777" w:rsidR="009867E7" w:rsidRPr="00300C59" w:rsidRDefault="009867E7" w:rsidP="007C520D">
            <w:pPr>
              <w:pStyle w:val="TableBody"/>
              <w:rPr>
                <w:b w:val="0"/>
                <w:color w:val="000000" w:themeColor="text1"/>
              </w:rPr>
            </w:pPr>
            <w:r w:rsidRPr="00300C59">
              <w:rPr>
                <w:b w:val="0"/>
                <w:color w:val="000000" w:themeColor="text1"/>
              </w:rPr>
              <w:t>Pacific Islander</w:t>
            </w:r>
          </w:p>
        </w:tc>
        <w:tc>
          <w:tcPr>
            <w:tcW w:w="1147" w:type="dxa"/>
          </w:tcPr>
          <w:p w14:paraId="3EB329C2"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300C59">
              <w:rPr>
                <w:b/>
                <w:color w:val="000000" w:themeColor="text1"/>
              </w:rPr>
              <w:t>77.0%</w:t>
            </w:r>
          </w:p>
        </w:tc>
        <w:tc>
          <w:tcPr>
            <w:tcW w:w="1148" w:type="dxa"/>
          </w:tcPr>
          <w:p w14:paraId="7A55D3C9"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0.0%</w:t>
            </w:r>
          </w:p>
        </w:tc>
        <w:tc>
          <w:tcPr>
            <w:tcW w:w="1147" w:type="dxa"/>
          </w:tcPr>
          <w:p w14:paraId="49AABDD4"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3.6%</w:t>
            </w:r>
          </w:p>
        </w:tc>
        <w:tc>
          <w:tcPr>
            <w:tcW w:w="1148" w:type="dxa"/>
          </w:tcPr>
          <w:p w14:paraId="364158F0" w14:textId="77777777" w:rsidR="009867E7" w:rsidRPr="00300C59" w:rsidRDefault="009867E7" w:rsidP="007C520D">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00C59">
              <w:rPr>
                <w:color w:val="000000" w:themeColor="text1"/>
              </w:rPr>
              <w:t>0.0%</w:t>
            </w:r>
          </w:p>
        </w:tc>
      </w:tr>
      <w:tr w:rsidR="009867E7" w:rsidRPr="00860553" w14:paraId="4CEDA9EA" w14:textId="77777777" w:rsidTr="007C520D">
        <w:tc>
          <w:tcPr>
            <w:cnfStyle w:val="001000000000" w:firstRow="0" w:lastRow="0" w:firstColumn="1" w:lastColumn="0" w:oddVBand="0" w:evenVBand="0" w:oddHBand="0" w:evenHBand="0" w:firstRowFirstColumn="0" w:firstRowLastColumn="0" w:lastRowFirstColumn="0" w:lastRowLastColumn="0"/>
            <w:tcW w:w="2898" w:type="dxa"/>
          </w:tcPr>
          <w:p w14:paraId="3B3DF5E5" w14:textId="77777777" w:rsidR="009867E7" w:rsidRPr="00300C59" w:rsidRDefault="009867E7" w:rsidP="007C520D">
            <w:pPr>
              <w:pStyle w:val="TableBody"/>
              <w:rPr>
                <w:b w:val="0"/>
              </w:rPr>
            </w:pPr>
            <w:r w:rsidRPr="00300C59">
              <w:rPr>
                <w:b w:val="0"/>
              </w:rPr>
              <w:t>Hispanic</w:t>
            </w:r>
          </w:p>
        </w:tc>
        <w:tc>
          <w:tcPr>
            <w:tcW w:w="1147" w:type="dxa"/>
          </w:tcPr>
          <w:p w14:paraId="530F291B"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70.5%</w:t>
            </w:r>
          </w:p>
        </w:tc>
        <w:tc>
          <w:tcPr>
            <w:tcW w:w="1148" w:type="dxa"/>
          </w:tcPr>
          <w:p w14:paraId="07A8E5A0"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30.5%</w:t>
            </w:r>
          </w:p>
        </w:tc>
        <w:tc>
          <w:tcPr>
            <w:tcW w:w="1147" w:type="dxa"/>
          </w:tcPr>
          <w:p w14:paraId="757DE56B"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14.0%</w:t>
            </w:r>
          </w:p>
        </w:tc>
        <w:tc>
          <w:tcPr>
            <w:tcW w:w="1148" w:type="dxa"/>
          </w:tcPr>
          <w:p w14:paraId="79D71FD8" w14:textId="77777777" w:rsidR="009867E7" w:rsidRPr="00300C59" w:rsidRDefault="009867E7" w:rsidP="007C520D">
            <w:pPr>
              <w:pStyle w:val="TableBody"/>
              <w:jc w:val="center"/>
              <w:cnfStyle w:val="000000000000" w:firstRow="0" w:lastRow="0" w:firstColumn="0" w:lastColumn="0" w:oddVBand="0" w:evenVBand="0" w:oddHBand="0" w:evenHBand="0" w:firstRowFirstColumn="0" w:firstRowLastColumn="0" w:lastRowFirstColumn="0" w:lastRowLastColumn="0"/>
            </w:pPr>
            <w:r w:rsidRPr="00300C59">
              <w:t>12.4%</w:t>
            </w:r>
          </w:p>
        </w:tc>
      </w:tr>
      <w:tr w:rsidR="009867E7" w:rsidRPr="00860553" w14:paraId="7C1065F0"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49C4701" w14:textId="77777777" w:rsidR="009867E7" w:rsidRPr="00300C59" w:rsidRDefault="009867E7" w:rsidP="007C520D">
            <w:pPr>
              <w:pStyle w:val="TableBody"/>
              <w:rPr>
                <w:b w:val="0"/>
              </w:rPr>
            </w:pPr>
            <w:r w:rsidRPr="00300C59">
              <w:rPr>
                <w:b w:val="0"/>
              </w:rPr>
              <w:t>Jurisdiction as a Whole</w:t>
            </w:r>
          </w:p>
        </w:tc>
        <w:tc>
          <w:tcPr>
            <w:tcW w:w="1147" w:type="dxa"/>
          </w:tcPr>
          <w:p w14:paraId="0A5CD8C5" w14:textId="77777777" w:rsidR="009867E7" w:rsidRPr="00300C59" w:rsidRDefault="009867E7" w:rsidP="007C520D">
            <w:pPr>
              <w:pStyle w:val="TableBody"/>
              <w:jc w:val="center"/>
              <w:cnfStyle w:val="010000000000" w:firstRow="0" w:lastRow="1" w:firstColumn="0" w:lastColumn="0" w:oddVBand="0" w:evenVBand="0" w:oddHBand="0" w:evenHBand="0" w:firstRowFirstColumn="0" w:firstRowLastColumn="0" w:lastRowFirstColumn="0" w:lastRowLastColumn="0"/>
              <w:rPr>
                <w:b w:val="0"/>
              </w:rPr>
            </w:pPr>
            <w:r w:rsidRPr="00300C59">
              <w:rPr>
                <w:b w:val="0"/>
                <w:color w:val="000000" w:themeColor="text1"/>
              </w:rPr>
              <w:t>62.7%</w:t>
            </w:r>
          </w:p>
        </w:tc>
        <w:tc>
          <w:tcPr>
            <w:tcW w:w="1148" w:type="dxa"/>
          </w:tcPr>
          <w:p w14:paraId="26F4A428" w14:textId="77777777" w:rsidR="009867E7" w:rsidRPr="00300C59" w:rsidRDefault="009867E7" w:rsidP="007C520D">
            <w:pPr>
              <w:pStyle w:val="TableBody"/>
              <w:jc w:val="center"/>
              <w:cnfStyle w:val="010000000000" w:firstRow="0" w:lastRow="1" w:firstColumn="0" w:lastColumn="0" w:oddVBand="0" w:evenVBand="0" w:oddHBand="0" w:evenHBand="0" w:firstRowFirstColumn="0" w:firstRowLastColumn="0" w:lastRowFirstColumn="0" w:lastRowLastColumn="0"/>
              <w:rPr>
                <w:b w:val="0"/>
              </w:rPr>
            </w:pPr>
            <w:r w:rsidRPr="00300C59">
              <w:rPr>
                <w:b w:val="0"/>
              </w:rPr>
              <w:t>24.0%</w:t>
            </w:r>
          </w:p>
        </w:tc>
        <w:tc>
          <w:tcPr>
            <w:tcW w:w="1147" w:type="dxa"/>
          </w:tcPr>
          <w:p w14:paraId="124A5AEA" w14:textId="77777777" w:rsidR="009867E7" w:rsidRPr="00300C59" w:rsidRDefault="009867E7" w:rsidP="007C520D">
            <w:pPr>
              <w:pStyle w:val="TableBody"/>
              <w:jc w:val="center"/>
              <w:cnfStyle w:val="010000000000" w:firstRow="0" w:lastRow="1" w:firstColumn="0" w:lastColumn="0" w:oddVBand="0" w:evenVBand="0" w:oddHBand="0" w:evenHBand="0" w:firstRowFirstColumn="0" w:firstRowLastColumn="0" w:lastRowFirstColumn="0" w:lastRowLastColumn="0"/>
              <w:rPr>
                <w:b w:val="0"/>
                <w:color w:val="000000" w:themeColor="text1"/>
              </w:rPr>
            </w:pPr>
            <w:r w:rsidRPr="00300C59">
              <w:rPr>
                <w:b w:val="0"/>
                <w:color w:val="000000" w:themeColor="text1"/>
              </w:rPr>
              <w:t>8.7%</w:t>
            </w:r>
          </w:p>
        </w:tc>
        <w:tc>
          <w:tcPr>
            <w:tcW w:w="1148" w:type="dxa"/>
          </w:tcPr>
          <w:p w14:paraId="498E8851" w14:textId="77777777" w:rsidR="009867E7" w:rsidRPr="00300C59" w:rsidRDefault="009867E7" w:rsidP="007C520D">
            <w:pPr>
              <w:pStyle w:val="TableBody"/>
              <w:jc w:val="center"/>
              <w:cnfStyle w:val="010000000000" w:firstRow="0" w:lastRow="1" w:firstColumn="0" w:lastColumn="0" w:oddVBand="0" w:evenVBand="0" w:oddHBand="0" w:evenHBand="0" w:firstRowFirstColumn="0" w:firstRowLastColumn="0" w:lastRowFirstColumn="0" w:lastRowLastColumn="0"/>
              <w:rPr>
                <w:b w:val="0"/>
              </w:rPr>
            </w:pPr>
            <w:r w:rsidRPr="00300C59">
              <w:rPr>
                <w:b w:val="0"/>
              </w:rPr>
              <w:t>4.5%</w:t>
            </w:r>
          </w:p>
        </w:tc>
      </w:tr>
    </w:tbl>
    <w:p w14:paraId="1C239237" w14:textId="77777777" w:rsidR="009867E7" w:rsidRDefault="009867E7" w:rsidP="009867E7">
      <w:pPr>
        <w:jc w:val="both"/>
        <w:rPr>
          <w:sz w:val="24"/>
          <w:szCs w:val="24"/>
        </w:rPr>
      </w:pPr>
      <w:r w:rsidRPr="001E474B">
        <w:rPr>
          <w:i/>
          <w:sz w:val="18"/>
          <w:szCs w:val="24"/>
        </w:rPr>
        <w:t>Source: 2009-2013 CHAS</w:t>
      </w:r>
    </w:p>
    <w:p w14:paraId="1BACFC5C" w14:textId="77777777" w:rsidR="009867E7" w:rsidRDefault="009867E7" w:rsidP="009867E7">
      <w:pPr>
        <w:pStyle w:val="Body"/>
        <w:rPr>
          <w:sz w:val="24"/>
          <w:szCs w:val="24"/>
        </w:rPr>
      </w:pPr>
      <w:r w:rsidRPr="00AA11EA">
        <w:rPr>
          <w:sz w:val="24"/>
          <w:szCs w:val="24"/>
        </w:rPr>
        <w:t>The following tables are HUD-generated tables using 200</w:t>
      </w:r>
      <w:r>
        <w:rPr>
          <w:sz w:val="24"/>
          <w:szCs w:val="24"/>
        </w:rPr>
        <w:t>9-2013</w:t>
      </w:r>
      <w:r w:rsidRPr="00AA11EA">
        <w:rPr>
          <w:sz w:val="24"/>
          <w:szCs w:val="24"/>
        </w:rPr>
        <w:t xml:space="preserve"> CHAS data</w:t>
      </w:r>
      <w:r>
        <w:rPr>
          <w:sz w:val="24"/>
          <w:szCs w:val="24"/>
        </w:rPr>
        <w:t xml:space="preserve"> that</w:t>
      </w:r>
      <w:r w:rsidRPr="00AA11EA">
        <w:rPr>
          <w:sz w:val="24"/>
          <w:szCs w:val="24"/>
        </w:rPr>
        <w:t xml:space="preserve"> break down each income segment by racial/ethnic category an</w:t>
      </w:r>
      <w:r>
        <w:rPr>
          <w:sz w:val="24"/>
          <w:szCs w:val="24"/>
        </w:rPr>
        <w:t>d the number of severe problems</w:t>
      </w:r>
      <w:r w:rsidRPr="00AA11EA">
        <w:rPr>
          <w:sz w:val="24"/>
          <w:szCs w:val="24"/>
        </w:rPr>
        <w:t>.</w:t>
      </w:r>
    </w:p>
    <w:p w14:paraId="565A079F" w14:textId="77777777" w:rsidR="009867E7" w:rsidRDefault="009867E7" w:rsidP="009867E7">
      <w:pPr>
        <w:keepNext/>
        <w:widowControl w:val="0"/>
        <w:rPr>
          <w:b/>
          <w:sz w:val="24"/>
          <w:szCs w:val="24"/>
        </w:rPr>
      </w:pPr>
      <w:r>
        <w:rPr>
          <w:b/>
          <w:sz w:val="24"/>
          <w:szCs w:val="24"/>
        </w:rPr>
        <w:t xml:space="preserve">Table 14 – 0%-30%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10C8A887"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56E3536D" w14:textId="77777777" w:rsidR="009867E7" w:rsidRPr="00300C59" w:rsidRDefault="009867E7" w:rsidP="007C520D">
            <w:pPr>
              <w:keepNext/>
              <w:widowControl w:val="0"/>
              <w:spacing w:after="0" w:line="240" w:lineRule="auto"/>
              <w:jc w:val="center"/>
              <w:rPr>
                <w:b w:val="0"/>
                <w:sz w:val="20"/>
              </w:rPr>
            </w:pPr>
            <w:r w:rsidRPr="00300C59">
              <w:rPr>
                <w:b w:val="0"/>
                <w:bCs w:val="0"/>
                <w:sz w:val="20"/>
              </w:rPr>
              <w:t>Severe 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6A044F51"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4263C4A5"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087BCF34"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4470C3F5"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7CF60414"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05076696" w14:textId="77777777" w:rsidR="009867E7" w:rsidRPr="00300C59" w:rsidRDefault="009867E7" w:rsidP="007C520D">
            <w:pPr>
              <w:keepNext/>
              <w:widowControl w:val="0"/>
              <w:spacing w:after="0" w:line="240" w:lineRule="auto"/>
              <w:rPr>
                <w:sz w:val="20"/>
              </w:rPr>
            </w:pPr>
            <w:r w:rsidRPr="00300C59">
              <w:rPr>
                <w:sz w:val="20"/>
              </w:rPr>
              <w:t>76</w:t>
            </w:r>
            <w:r>
              <w:rPr>
                <w:sz w:val="20"/>
              </w:rPr>
              <w:t>,</w:t>
            </w:r>
            <w:r w:rsidRPr="00300C59">
              <w:rPr>
                <w:sz w:val="20"/>
              </w:rPr>
              <w:t>621</w:t>
            </w:r>
          </w:p>
        </w:tc>
        <w:tc>
          <w:tcPr>
            <w:tcW w:w="1948" w:type="dxa"/>
          </w:tcPr>
          <w:p w14:paraId="07F72A9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38</w:t>
            </w:r>
            <w:r>
              <w:rPr>
                <w:sz w:val="20"/>
              </w:rPr>
              <w:t>,</w:t>
            </w:r>
            <w:r w:rsidRPr="00300C59">
              <w:rPr>
                <w:sz w:val="20"/>
              </w:rPr>
              <w:t>499</w:t>
            </w:r>
          </w:p>
        </w:tc>
        <w:tc>
          <w:tcPr>
            <w:cnfStyle w:val="000010000000" w:firstRow="0" w:lastRow="0" w:firstColumn="0" w:lastColumn="0" w:oddVBand="1" w:evenVBand="0" w:oddHBand="0" w:evenHBand="0" w:firstRowFirstColumn="0" w:firstRowLastColumn="0" w:lastRowFirstColumn="0" w:lastRowLastColumn="0"/>
            <w:tcW w:w="1948" w:type="dxa"/>
          </w:tcPr>
          <w:p w14:paraId="302988C5" w14:textId="77777777" w:rsidR="009867E7" w:rsidRPr="00300C59" w:rsidRDefault="009867E7" w:rsidP="007C520D">
            <w:pPr>
              <w:keepNext/>
              <w:widowControl w:val="0"/>
              <w:spacing w:after="0" w:line="240" w:lineRule="auto"/>
              <w:rPr>
                <w:sz w:val="20"/>
              </w:rPr>
            </w:pPr>
            <w:r w:rsidRPr="00300C59">
              <w:rPr>
                <w:sz w:val="20"/>
              </w:rPr>
              <w:t>7</w:t>
            </w:r>
            <w:r>
              <w:rPr>
                <w:sz w:val="20"/>
              </w:rPr>
              <w:t>,</w:t>
            </w:r>
            <w:r w:rsidRPr="00300C59">
              <w:rPr>
                <w:sz w:val="20"/>
              </w:rPr>
              <w:t>111</w:t>
            </w:r>
          </w:p>
        </w:tc>
      </w:tr>
      <w:tr w:rsidR="009867E7" w14:paraId="7A84EAA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51A7867"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5389DE8F" w14:textId="77777777" w:rsidR="009867E7" w:rsidRPr="00300C59" w:rsidRDefault="009867E7" w:rsidP="007C520D">
            <w:pPr>
              <w:keepNext/>
              <w:widowControl w:val="0"/>
              <w:spacing w:after="0" w:line="240" w:lineRule="auto"/>
              <w:rPr>
                <w:sz w:val="20"/>
              </w:rPr>
            </w:pPr>
            <w:r w:rsidRPr="00300C59">
              <w:rPr>
                <w:sz w:val="20"/>
              </w:rPr>
              <w:t>55</w:t>
            </w:r>
            <w:r>
              <w:rPr>
                <w:sz w:val="20"/>
              </w:rPr>
              <w:t>,</w:t>
            </w:r>
            <w:r w:rsidRPr="00300C59">
              <w:rPr>
                <w:sz w:val="20"/>
              </w:rPr>
              <w:t>071</w:t>
            </w:r>
          </w:p>
        </w:tc>
        <w:tc>
          <w:tcPr>
            <w:tcW w:w="1948" w:type="dxa"/>
          </w:tcPr>
          <w:p w14:paraId="6B2BF74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29</w:t>
            </w:r>
            <w:r>
              <w:rPr>
                <w:sz w:val="20"/>
              </w:rPr>
              <w:t>,</w:t>
            </w:r>
            <w:r w:rsidRPr="00300C59">
              <w:rPr>
                <w:sz w:val="20"/>
              </w:rPr>
              <w:t>329</w:t>
            </w:r>
          </w:p>
        </w:tc>
        <w:tc>
          <w:tcPr>
            <w:cnfStyle w:val="000010000000" w:firstRow="0" w:lastRow="0" w:firstColumn="0" w:lastColumn="0" w:oddVBand="1" w:evenVBand="0" w:oddHBand="0" w:evenHBand="0" w:firstRowFirstColumn="0" w:firstRowLastColumn="0" w:lastRowFirstColumn="0" w:lastRowLastColumn="0"/>
            <w:tcW w:w="1948" w:type="dxa"/>
          </w:tcPr>
          <w:p w14:paraId="10BB3FA2" w14:textId="77777777" w:rsidR="009867E7" w:rsidRPr="00300C59" w:rsidRDefault="009867E7" w:rsidP="007C520D">
            <w:pPr>
              <w:keepNext/>
              <w:widowControl w:val="0"/>
              <w:spacing w:after="0" w:line="240" w:lineRule="auto"/>
              <w:rPr>
                <w:sz w:val="20"/>
              </w:rPr>
            </w:pPr>
            <w:r w:rsidRPr="00300C59">
              <w:rPr>
                <w:sz w:val="20"/>
              </w:rPr>
              <w:t>5</w:t>
            </w:r>
            <w:r>
              <w:rPr>
                <w:sz w:val="20"/>
              </w:rPr>
              <w:t>,</w:t>
            </w:r>
            <w:r w:rsidRPr="00300C59">
              <w:rPr>
                <w:sz w:val="20"/>
              </w:rPr>
              <w:t>218</w:t>
            </w:r>
          </w:p>
        </w:tc>
      </w:tr>
      <w:tr w:rsidR="009867E7" w14:paraId="7719111D"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582B5A2B"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122EF85E" w14:textId="77777777" w:rsidR="009867E7" w:rsidRPr="00300C59" w:rsidRDefault="009867E7" w:rsidP="007C520D">
            <w:pPr>
              <w:keepNext/>
              <w:widowControl w:val="0"/>
              <w:spacing w:after="0" w:line="240" w:lineRule="auto"/>
              <w:rPr>
                <w:sz w:val="20"/>
              </w:rPr>
            </w:pPr>
            <w:r w:rsidRPr="00300C59">
              <w:rPr>
                <w:sz w:val="20"/>
              </w:rPr>
              <w:t>9</w:t>
            </w:r>
            <w:r>
              <w:rPr>
                <w:sz w:val="20"/>
              </w:rPr>
              <w:t>,</w:t>
            </w:r>
            <w:r w:rsidRPr="00300C59">
              <w:rPr>
                <w:sz w:val="20"/>
              </w:rPr>
              <w:t>649</w:t>
            </w:r>
          </w:p>
        </w:tc>
        <w:tc>
          <w:tcPr>
            <w:tcW w:w="1948" w:type="dxa"/>
          </w:tcPr>
          <w:p w14:paraId="2EFAF25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w:t>
            </w:r>
            <w:r>
              <w:rPr>
                <w:sz w:val="20"/>
              </w:rPr>
              <w:t>,</w:t>
            </w:r>
            <w:r w:rsidRPr="00300C59">
              <w:rPr>
                <w:sz w:val="20"/>
              </w:rPr>
              <w:t>739</w:t>
            </w:r>
          </w:p>
        </w:tc>
        <w:tc>
          <w:tcPr>
            <w:cnfStyle w:val="000010000000" w:firstRow="0" w:lastRow="0" w:firstColumn="0" w:lastColumn="0" w:oddVBand="1" w:evenVBand="0" w:oddHBand="0" w:evenHBand="0" w:firstRowFirstColumn="0" w:firstRowLastColumn="0" w:lastRowFirstColumn="0" w:lastRowLastColumn="0"/>
            <w:tcW w:w="1948" w:type="dxa"/>
          </w:tcPr>
          <w:p w14:paraId="6C2F8BF4" w14:textId="77777777" w:rsidR="009867E7" w:rsidRPr="00300C59" w:rsidRDefault="009867E7" w:rsidP="007C520D">
            <w:pPr>
              <w:keepNext/>
              <w:widowControl w:val="0"/>
              <w:spacing w:after="0" w:line="240" w:lineRule="auto"/>
              <w:rPr>
                <w:sz w:val="20"/>
              </w:rPr>
            </w:pPr>
            <w:r w:rsidRPr="00300C59">
              <w:rPr>
                <w:sz w:val="20"/>
              </w:rPr>
              <w:t>802</w:t>
            </w:r>
          </w:p>
        </w:tc>
      </w:tr>
      <w:tr w:rsidR="009867E7" w14:paraId="76190195"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17B280F2"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36097DAF"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586</w:t>
            </w:r>
          </w:p>
        </w:tc>
        <w:tc>
          <w:tcPr>
            <w:tcW w:w="1948" w:type="dxa"/>
          </w:tcPr>
          <w:p w14:paraId="25277E23"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507</w:t>
            </w:r>
          </w:p>
        </w:tc>
        <w:tc>
          <w:tcPr>
            <w:cnfStyle w:val="000010000000" w:firstRow="0" w:lastRow="0" w:firstColumn="0" w:lastColumn="0" w:oddVBand="1" w:evenVBand="0" w:oddHBand="0" w:evenHBand="0" w:firstRowFirstColumn="0" w:firstRowLastColumn="0" w:lastRowFirstColumn="0" w:lastRowLastColumn="0"/>
            <w:tcW w:w="1948" w:type="dxa"/>
          </w:tcPr>
          <w:p w14:paraId="771EDD34" w14:textId="77777777" w:rsidR="009867E7" w:rsidRPr="00300C59" w:rsidRDefault="009867E7" w:rsidP="007C520D">
            <w:pPr>
              <w:keepNext/>
              <w:widowControl w:val="0"/>
              <w:spacing w:after="0" w:line="240" w:lineRule="auto"/>
              <w:rPr>
                <w:sz w:val="20"/>
              </w:rPr>
            </w:pPr>
            <w:r w:rsidRPr="00300C59">
              <w:rPr>
                <w:sz w:val="20"/>
              </w:rPr>
              <w:t>452</w:t>
            </w:r>
          </w:p>
        </w:tc>
      </w:tr>
      <w:tr w:rsidR="009867E7" w14:paraId="0646F18A"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85EAE56"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2352E0CD" w14:textId="77777777" w:rsidR="009867E7" w:rsidRPr="00300C59" w:rsidRDefault="009867E7" w:rsidP="007C520D">
            <w:pPr>
              <w:keepNext/>
              <w:widowControl w:val="0"/>
              <w:spacing w:after="0" w:line="240" w:lineRule="auto"/>
              <w:rPr>
                <w:sz w:val="20"/>
              </w:rPr>
            </w:pPr>
            <w:r w:rsidRPr="00300C59">
              <w:rPr>
                <w:sz w:val="20"/>
              </w:rPr>
              <w:t>744</w:t>
            </w:r>
          </w:p>
        </w:tc>
        <w:tc>
          <w:tcPr>
            <w:tcW w:w="1948" w:type="dxa"/>
          </w:tcPr>
          <w:p w14:paraId="3D86DDDB"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436</w:t>
            </w:r>
          </w:p>
        </w:tc>
        <w:tc>
          <w:tcPr>
            <w:cnfStyle w:val="000010000000" w:firstRow="0" w:lastRow="0" w:firstColumn="0" w:lastColumn="0" w:oddVBand="1" w:evenVBand="0" w:oddHBand="0" w:evenHBand="0" w:firstRowFirstColumn="0" w:firstRowLastColumn="0" w:lastRowFirstColumn="0" w:lastRowLastColumn="0"/>
            <w:tcW w:w="1948" w:type="dxa"/>
          </w:tcPr>
          <w:p w14:paraId="79F9FC09" w14:textId="77777777" w:rsidR="009867E7" w:rsidRPr="00300C59" w:rsidRDefault="009867E7" w:rsidP="007C520D">
            <w:pPr>
              <w:keepNext/>
              <w:widowControl w:val="0"/>
              <w:spacing w:after="0" w:line="240" w:lineRule="auto"/>
              <w:rPr>
                <w:sz w:val="20"/>
              </w:rPr>
            </w:pPr>
            <w:r w:rsidRPr="00300C59">
              <w:rPr>
                <w:sz w:val="20"/>
              </w:rPr>
              <w:t>24</w:t>
            </w:r>
          </w:p>
        </w:tc>
      </w:tr>
      <w:tr w:rsidR="009867E7" w14:paraId="771155F5"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AACEFCE"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0778A647" w14:textId="77777777" w:rsidR="009867E7" w:rsidRPr="00300C59" w:rsidRDefault="009867E7" w:rsidP="007C520D">
            <w:pPr>
              <w:keepNext/>
              <w:widowControl w:val="0"/>
              <w:spacing w:after="0" w:line="240" w:lineRule="auto"/>
              <w:rPr>
                <w:sz w:val="20"/>
              </w:rPr>
            </w:pPr>
            <w:r w:rsidRPr="00300C59">
              <w:rPr>
                <w:sz w:val="20"/>
              </w:rPr>
              <w:t>114</w:t>
            </w:r>
          </w:p>
        </w:tc>
        <w:tc>
          <w:tcPr>
            <w:tcW w:w="1948" w:type="dxa"/>
          </w:tcPr>
          <w:p w14:paraId="3A8FAF9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34</w:t>
            </w:r>
          </w:p>
        </w:tc>
        <w:tc>
          <w:tcPr>
            <w:cnfStyle w:val="000010000000" w:firstRow="0" w:lastRow="0" w:firstColumn="0" w:lastColumn="0" w:oddVBand="1" w:evenVBand="0" w:oddHBand="0" w:evenHBand="0" w:firstRowFirstColumn="0" w:firstRowLastColumn="0" w:lastRowFirstColumn="0" w:lastRowLastColumn="0"/>
            <w:tcW w:w="1948" w:type="dxa"/>
          </w:tcPr>
          <w:p w14:paraId="3550C7E4" w14:textId="77777777" w:rsidR="009867E7" w:rsidRPr="00300C59" w:rsidRDefault="009867E7" w:rsidP="007C520D">
            <w:pPr>
              <w:keepNext/>
              <w:widowControl w:val="0"/>
              <w:spacing w:after="0" w:line="240" w:lineRule="auto"/>
              <w:rPr>
                <w:sz w:val="20"/>
              </w:rPr>
            </w:pPr>
            <w:r w:rsidRPr="00300C59">
              <w:rPr>
                <w:sz w:val="20"/>
              </w:rPr>
              <w:t>0</w:t>
            </w:r>
          </w:p>
        </w:tc>
      </w:tr>
      <w:tr w:rsidR="009867E7" w14:paraId="168B48E7"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F1B99ED"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10ED181B" w14:textId="77777777" w:rsidR="009867E7" w:rsidRPr="00300C59" w:rsidRDefault="009867E7" w:rsidP="007C520D">
            <w:pPr>
              <w:keepNext/>
              <w:widowControl w:val="0"/>
              <w:spacing w:after="0" w:line="240" w:lineRule="auto"/>
              <w:rPr>
                <w:sz w:val="20"/>
              </w:rPr>
            </w:pPr>
            <w:r w:rsidRPr="00300C59">
              <w:rPr>
                <w:sz w:val="20"/>
              </w:rPr>
              <w:t>7</w:t>
            </w:r>
            <w:r>
              <w:rPr>
                <w:sz w:val="20"/>
              </w:rPr>
              <w:t>,</w:t>
            </w:r>
            <w:r w:rsidRPr="00300C59">
              <w:rPr>
                <w:sz w:val="20"/>
              </w:rPr>
              <w:t>737</w:t>
            </w:r>
          </w:p>
        </w:tc>
        <w:tc>
          <w:tcPr>
            <w:tcW w:w="1948" w:type="dxa"/>
          </w:tcPr>
          <w:p w14:paraId="72C272C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w:t>
            </w:r>
            <w:r>
              <w:rPr>
                <w:sz w:val="20"/>
              </w:rPr>
              <w:t>,</w:t>
            </w:r>
            <w:r w:rsidRPr="00300C59">
              <w:rPr>
                <w:sz w:val="20"/>
              </w:rPr>
              <w:t>720</w:t>
            </w:r>
          </w:p>
        </w:tc>
        <w:tc>
          <w:tcPr>
            <w:cnfStyle w:val="000010000000" w:firstRow="0" w:lastRow="0" w:firstColumn="0" w:lastColumn="0" w:oddVBand="1" w:evenVBand="0" w:oddHBand="0" w:evenHBand="0" w:firstRowFirstColumn="0" w:firstRowLastColumn="0" w:lastRowFirstColumn="0" w:lastRowLastColumn="0"/>
            <w:tcW w:w="1948" w:type="dxa"/>
          </w:tcPr>
          <w:p w14:paraId="28BA84F4" w14:textId="77777777" w:rsidR="009867E7" w:rsidRPr="00300C59" w:rsidRDefault="009867E7" w:rsidP="007C520D">
            <w:pPr>
              <w:keepNext/>
              <w:widowControl w:val="0"/>
              <w:spacing w:after="0" w:line="240" w:lineRule="auto"/>
              <w:rPr>
                <w:sz w:val="20"/>
              </w:rPr>
            </w:pPr>
            <w:r w:rsidRPr="00300C59">
              <w:rPr>
                <w:sz w:val="20"/>
              </w:rPr>
              <w:t>515</w:t>
            </w:r>
          </w:p>
        </w:tc>
      </w:tr>
    </w:tbl>
    <w:p w14:paraId="78788B99" w14:textId="77777777" w:rsidR="009867E7" w:rsidRDefault="009867E7" w:rsidP="009867E7">
      <w:pPr>
        <w:jc w:val="both"/>
        <w:rPr>
          <w:b/>
          <w:bCs/>
          <w:vanish/>
          <w:sz w:val="16"/>
          <w:szCs w:val="16"/>
        </w:rPr>
      </w:pPr>
      <w:r>
        <w:rPr>
          <w:i/>
          <w:sz w:val="18"/>
          <w:szCs w:val="24"/>
        </w:rPr>
        <w:t>Source: 2009-2013 CHAS</w:t>
      </w:r>
    </w:p>
    <w:p w14:paraId="439069F0" w14:textId="77777777" w:rsidR="009867E7" w:rsidRDefault="009867E7" w:rsidP="009867E7">
      <w:pPr>
        <w:spacing w:after="0" w:line="240" w:lineRule="auto"/>
      </w:pPr>
    </w:p>
    <w:p w14:paraId="163CF1AF" w14:textId="77777777" w:rsidR="009867E7" w:rsidRDefault="009867E7" w:rsidP="009867E7">
      <w:pPr>
        <w:spacing w:after="0" w:line="240" w:lineRule="auto"/>
      </w:pPr>
    </w:p>
    <w:p w14:paraId="3B1083B7" w14:textId="77777777" w:rsidR="009867E7" w:rsidRDefault="009867E7" w:rsidP="009867E7">
      <w:pPr>
        <w:spacing w:after="0" w:line="240" w:lineRule="auto"/>
      </w:pPr>
    </w:p>
    <w:p w14:paraId="0399E5B7" w14:textId="77777777" w:rsidR="009867E7" w:rsidRDefault="009867E7" w:rsidP="009867E7">
      <w:pPr>
        <w:keepNext/>
        <w:widowControl w:val="0"/>
        <w:rPr>
          <w:b/>
          <w:sz w:val="24"/>
          <w:szCs w:val="24"/>
        </w:rPr>
      </w:pPr>
      <w:r>
        <w:rPr>
          <w:b/>
          <w:sz w:val="24"/>
          <w:szCs w:val="24"/>
        </w:rPr>
        <w:t xml:space="preserve">Table 15 – 30%-50%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1DCF5771"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420E55FA" w14:textId="77777777" w:rsidR="009867E7" w:rsidRPr="00300C59" w:rsidRDefault="009867E7" w:rsidP="007C520D">
            <w:pPr>
              <w:keepNext/>
              <w:widowControl w:val="0"/>
              <w:spacing w:after="0" w:line="240" w:lineRule="auto"/>
              <w:jc w:val="center"/>
              <w:rPr>
                <w:b w:val="0"/>
                <w:sz w:val="20"/>
              </w:rPr>
            </w:pPr>
            <w:r w:rsidRPr="00300C59">
              <w:rPr>
                <w:b w:val="0"/>
                <w:bCs w:val="0"/>
                <w:sz w:val="20"/>
              </w:rPr>
              <w:t>Severe 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3B053003"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510FB4E9"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629C35F8"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10FAD82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65A568E"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42B74A85" w14:textId="77777777" w:rsidR="009867E7" w:rsidRPr="00300C59" w:rsidRDefault="009867E7" w:rsidP="007C520D">
            <w:pPr>
              <w:keepNext/>
              <w:widowControl w:val="0"/>
              <w:spacing w:after="0" w:line="240" w:lineRule="auto"/>
              <w:rPr>
                <w:sz w:val="20"/>
              </w:rPr>
            </w:pPr>
            <w:r w:rsidRPr="00300C59">
              <w:rPr>
                <w:sz w:val="20"/>
              </w:rPr>
              <w:t>30</w:t>
            </w:r>
            <w:r>
              <w:rPr>
                <w:sz w:val="20"/>
              </w:rPr>
              <w:t>,</w:t>
            </w:r>
            <w:r w:rsidRPr="00300C59">
              <w:rPr>
                <w:sz w:val="20"/>
              </w:rPr>
              <w:t>627</w:t>
            </w:r>
          </w:p>
        </w:tc>
        <w:tc>
          <w:tcPr>
            <w:tcW w:w="1948" w:type="dxa"/>
          </w:tcPr>
          <w:p w14:paraId="0CB2AE5B"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97</w:t>
            </w:r>
            <w:r>
              <w:rPr>
                <w:sz w:val="20"/>
              </w:rPr>
              <w:t>,</w:t>
            </w:r>
            <w:r w:rsidRPr="00300C59">
              <w:rPr>
                <w:sz w:val="20"/>
              </w:rPr>
              <w:t>124</w:t>
            </w:r>
          </w:p>
        </w:tc>
        <w:tc>
          <w:tcPr>
            <w:cnfStyle w:val="000010000000" w:firstRow="0" w:lastRow="0" w:firstColumn="0" w:lastColumn="0" w:oddVBand="1" w:evenVBand="0" w:oddHBand="0" w:evenHBand="0" w:firstRowFirstColumn="0" w:firstRowLastColumn="0" w:lastRowFirstColumn="0" w:lastRowLastColumn="0"/>
            <w:tcW w:w="1948" w:type="dxa"/>
          </w:tcPr>
          <w:p w14:paraId="3DD78AF6" w14:textId="77777777" w:rsidR="009867E7" w:rsidRPr="00300C59" w:rsidRDefault="009867E7" w:rsidP="007C520D">
            <w:pPr>
              <w:keepNext/>
              <w:widowControl w:val="0"/>
              <w:spacing w:after="0" w:line="240" w:lineRule="auto"/>
              <w:rPr>
                <w:sz w:val="20"/>
              </w:rPr>
            </w:pPr>
            <w:r w:rsidRPr="00300C59">
              <w:rPr>
                <w:sz w:val="20"/>
              </w:rPr>
              <w:t>0</w:t>
            </w:r>
          </w:p>
        </w:tc>
      </w:tr>
      <w:tr w:rsidR="009867E7" w14:paraId="71FDA69F"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24359BE"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6CD66E04" w14:textId="77777777" w:rsidR="009867E7" w:rsidRPr="00300C59" w:rsidRDefault="009867E7" w:rsidP="007C520D">
            <w:pPr>
              <w:keepNext/>
              <w:widowControl w:val="0"/>
              <w:spacing w:after="0" w:line="240" w:lineRule="auto"/>
              <w:rPr>
                <w:sz w:val="20"/>
              </w:rPr>
            </w:pPr>
            <w:r w:rsidRPr="00300C59">
              <w:rPr>
                <w:sz w:val="20"/>
              </w:rPr>
              <w:t>22</w:t>
            </w:r>
            <w:r>
              <w:rPr>
                <w:sz w:val="20"/>
              </w:rPr>
              <w:t>,</w:t>
            </w:r>
            <w:r w:rsidRPr="00300C59">
              <w:rPr>
                <w:sz w:val="20"/>
              </w:rPr>
              <w:t>864</w:t>
            </w:r>
          </w:p>
        </w:tc>
        <w:tc>
          <w:tcPr>
            <w:tcW w:w="1948" w:type="dxa"/>
          </w:tcPr>
          <w:p w14:paraId="79477EC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77</w:t>
            </w:r>
            <w:r>
              <w:rPr>
                <w:sz w:val="20"/>
              </w:rPr>
              <w:t>,</w:t>
            </w:r>
            <w:r w:rsidRPr="00300C59">
              <w:rPr>
                <w:sz w:val="20"/>
              </w:rPr>
              <w:t>341</w:t>
            </w:r>
          </w:p>
        </w:tc>
        <w:tc>
          <w:tcPr>
            <w:cnfStyle w:val="000010000000" w:firstRow="0" w:lastRow="0" w:firstColumn="0" w:lastColumn="0" w:oddVBand="1" w:evenVBand="0" w:oddHBand="0" w:evenHBand="0" w:firstRowFirstColumn="0" w:firstRowLastColumn="0" w:lastRowFirstColumn="0" w:lastRowLastColumn="0"/>
            <w:tcW w:w="1948" w:type="dxa"/>
          </w:tcPr>
          <w:p w14:paraId="46D845E1" w14:textId="77777777" w:rsidR="009867E7" w:rsidRPr="00300C59" w:rsidRDefault="009867E7" w:rsidP="007C520D">
            <w:pPr>
              <w:keepNext/>
              <w:widowControl w:val="0"/>
              <w:spacing w:after="0" w:line="240" w:lineRule="auto"/>
              <w:rPr>
                <w:sz w:val="20"/>
              </w:rPr>
            </w:pPr>
            <w:r w:rsidRPr="00300C59">
              <w:rPr>
                <w:sz w:val="20"/>
              </w:rPr>
              <w:t>0</w:t>
            </w:r>
          </w:p>
        </w:tc>
      </w:tr>
      <w:tr w:rsidR="009867E7" w14:paraId="02BA44F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2AEE1275"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0A46CD2D" w14:textId="77777777" w:rsidR="009867E7" w:rsidRPr="00300C59" w:rsidRDefault="009867E7" w:rsidP="007C520D">
            <w:pPr>
              <w:keepNext/>
              <w:widowControl w:val="0"/>
              <w:spacing w:after="0" w:line="240" w:lineRule="auto"/>
              <w:rPr>
                <w:sz w:val="20"/>
              </w:rPr>
            </w:pPr>
            <w:r w:rsidRPr="00300C59">
              <w:rPr>
                <w:sz w:val="20"/>
              </w:rPr>
              <w:t>2</w:t>
            </w:r>
            <w:r>
              <w:rPr>
                <w:sz w:val="20"/>
              </w:rPr>
              <w:t>,</w:t>
            </w:r>
            <w:r w:rsidRPr="00300C59">
              <w:rPr>
                <w:sz w:val="20"/>
              </w:rPr>
              <w:t>703</w:t>
            </w:r>
          </w:p>
        </w:tc>
        <w:tc>
          <w:tcPr>
            <w:tcW w:w="1948" w:type="dxa"/>
          </w:tcPr>
          <w:p w14:paraId="5939F370"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7</w:t>
            </w:r>
            <w:r>
              <w:rPr>
                <w:sz w:val="20"/>
              </w:rPr>
              <w:t>,</w:t>
            </w:r>
            <w:r w:rsidRPr="00300C59">
              <w:rPr>
                <w:sz w:val="20"/>
              </w:rPr>
              <w:t>394</w:t>
            </w:r>
          </w:p>
        </w:tc>
        <w:tc>
          <w:tcPr>
            <w:cnfStyle w:val="000010000000" w:firstRow="0" w:lastRow="0" w:firstColumn="0" w:lastColumn="0" w:oddVBand="1" w:evenVBand="0" w:oddHBand="0" w:evenHBand="0" w:firstRowFirstColumn="0" w:firstRowLastColumn="0" w:lastRowFirstColumn="0" w:lastRowLastColumn="0"/>
            <w:tcW w:w="1948" w:type="dxa"/>
          </w:tcPr>
          <w:p w14:paraId="1F3D0374" w14:textId="77777777" w:rsidR="009867E7" w:rsidRPr="00300C59" w:rsidRDefault="009867E7" w:rsidP="007C520D">
            <w:pPr>
              <w:keepNext/>
              <w:widowControl w:val="0"/>
              <w:spacing w:after="0" w:line="240" w:lineRule="auto"/>
              <w:rPr>
                <w:sz w:val="20"/>
              </w:rPr>
            </w:pPr>
            <w:r w:rsidRPr="00300C59">
              <w:rPr>
                <w:sz w:val="20"/>
              </w:rPr>
              <w:t>0</w:t>
            </w:r>
          </w:p>
        </w:tc>
      </w:tr>
      <w:tr w:rsidR="009867E7" w14:paraId="3623384E"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EF4B10A"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4C38A965" w14:textId="77777777" w:rsidR="009867E7" w:rsidRPr="00300C59" w:rsidRDefault="009867E7" w:rsidP="007C520D">
            <w:pPr>
              <w:keepNext/>
              <w:widowControl w:val="0"/>
              <w:spacing w:after="0" w:line="240" w:lineRule="auto"/>
              <w:rPr>
                <w:sz w:val="20"/>
              </w:rPr>
            </w:pPr>
            <w:r w:rsidRPr="00300C59">
              <w:rPr>
                <w:sz w:val="20"/>
              </w:rPr>
              <w:t>460</w:t>
            </w:r>
          </w:p>
        </w:tc>
        <w:tc>
          <w:tcPr>
            <w:tcW w:w="1948" w:type="dxa"/>
          </w:tcPr>
          <w:p w14:paraId="34C77397"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w:t>
            </w:r>
            <w:r>
              <w:rPr>
                <w:sz w:val="20"/>
              </w:rPr>
              <w:t>,</w:t>
            </w:r>
            <w:r w:rsidRPr="00300C59">
              <w:rPr>
                <w:sz w:val="20"/>
              </w:rPr>
              <w:t>211</w:t>
            </w:r>
          </w:p>
        </w:tc>
        <w:tc>
          <w:tcPr>
            <w:cnfStyle w:val="000010000000" w:firstRow="0" w:lastRow="0" w:firstColumn="0" w:lastColumn="0" w:oddVBand="1" w:evenVBand="0" w:oddHBand="0" w:evenHBand="0" w:firstRowFirstColumn="0" w:firstRowLastColumn="0" w:lastRowFirstColumn="0" w:lastRowLastColumn="0"/>
            <w:tcW w:w="1948" w:type="dxa"/>
          </w:tcPr>
          <w:p w14:paraId="62AA30E9" w14:textId="77777777" w:rsidR="009867E7" w:rsidRPr="00300C59" w:rsidRDefault="009867E7" w:rsidP="007C520D">
            <w:pPr>
              <w:keepNext/>
              <w:widowControl w:val="0"/>
              <w:spacing w:after="0" w:line="240" w:lineRule="auto"/>
              <w:rPr>
                <w:sz w:val="20"/>
              </w:rPr>
            </w:pPr>
            <w:r w:rsidRPr="00300C59">
              <w:rPr>
                <w:sz w:val="20"/>
              </w:rPr>
              <w:t>0</w:t>
            </w:r>
          </w:p>
        </w:tc>
      </w:tr>
      <w:tr w:rsidR="009867E7" w14:paraId="6D4DD732"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0033E421"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61C366A8" w14:textId="77777777" w:rsidR="009867E7" w:rsidRPr="00300C59" w:rsidRDefault="009867E7" w:rsidP="007C520D">
            <w:pPr>
              <w:keepNext/>
              <w:widowControl w:val="0"/>
              <w:spacing w:after="0" w:line="240" w:lineRule="auto"/>
              <w:rPr>
                <w:sz w:val="20"/>
              </w:rPr>
            </w:pPr>
            <w:r w:rsidRPr="00300C59">
              <w:rPr>
                <w:sz w:val="20"/>
              </w:rPr>
              <w:t>271</w:t>
            </w:r>
          </w:p>
        </w:tc>
        <w:tc>
          <w:tcPr>
            <w:tcW w:w="1948" w:type="dxa"/>
          </w:tcPr>
          <w:p w14:paraId="20461C5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789</w:t>
            </w:r>
          </w:p>
        </w:tc>
        <w:tc>
          <w:tcPr>
            <w:cnfStyle w:val="000010000000" w:firstRow="0" w:lastRow="0" w:firstColumn="0" w:lastColumn="0" w:oddVBand="1" w:evenVBand="0" w:oddHBand="0" w:evenHBand="0" w:firstRowFirstColumn="0" w:firstRowLastColumn="0" w:lastRowFirstColumn="0" w:lastRowLastColumn="0"/>
            <w:tcW w:w="1948" w:type="dxa"/>
          </w:tcPr>
          <w:p w14:paraId="3CBB0223" w14:textId="77777777" w:rsidR="009867E7" w:rsidRPr="00300C59" w:rsidRDefault="009867E7" w:rsidP="007C520D">
            <w:pPr>
              <w:keepNext/>
              <w:widowControl w:val="0"/>
              <w:spacing w:after="0" w:line="240" w:lineRule="auto"/>
              <w:rPr>
                <w:sz w:val="20"/>
              </w:rPr>
            </w:pPr>
            <w:r w:rsidRPr="00300C59">
              <w:rPr>
                <w:sz w:val="20"/>
              </w:rPr>
              <w:t>0</w:t>
            </w:r>
          </w:p>
        </w:tc>
      </w:tr>
      <w:tr w:rsidR="009867E7" w14:paraId="68505EAA"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5E459B3D"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2F615997" w14:textId="77777777" w:rsidR="009867E7" w:rsidRPr="00300C59" w:rsidRDefault="009867E7" w:rsidP="007C520D">
            <w:pPr>
              <w:keepNext/>
              <w:widowControl w:val="0"/>
              <w:spacing w:after="0" w:line="240" w:lineRule="auto"/>
              <w:rPr>
                <w:sz w:val="20"/>
              </w:rPr>
            </w:pPr>
            <w:r w:rsidRPr="00300C59">
              <w:rPr>
                <w:sz w:val="20"/>
              </w:rPr>
              <w:t>0</w:t>
            </w:r>
          </w:p>
        </w:tc>
        <w:tc>
          <w:tcPr>
            <w:tcW w:w="1948" w:type="dxa"/>
          </w:tcPr>
          <w:p w14:paraId="44B6B4F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18</w:t>
            </w:r>
          </w:p>
        </w:tc>
        <w:tc>
          <w:tcPr>
            <w:cnfStyle w:val="000010000000" w:firstRow="0" w:lastRow="0" w:firstColumn="0" w:lastColumn="0" w:oddVBand="1" w:evenVBand="0" w:oddHBand="0" w:evenHBand="0" w:firstRowFirstColumn="0" w:firstRowLastColumn="0" w:lastRowFirstColumn="0" w:lastRowLastColumn="0"/>
            <w:tcW w:w="1948" w:type="dxa"/>
          </w:tcPr>
          <w:p w14:paraId="30487F82" w14:textId="77777777" w:rsidR="009867E7" w:rsidRPr="00300C59" w:rsidRDefault="009867E7" w:rsidP="007C520D">
            <w:pPr>
              <w:keepNext/>
              <w:widowControl w:val="0"/>
              <w:spacing w:after="0" w:line="240" w:lineRule="auto"/>
              <w:rPr>
                <w:sz w:val="20"/>
              </w:rPr>
            </w:pPr>
            <w:r w:rsidRPr="00300C59">
              <w:rPr>
                <w:sz w:val="20"/>
              </w:rPr>
              <w:t>0</w:t>
            </w:r>
          </w:p>
        </w:tc>
      </w:tr>
      <w:tr w:rsidR="009867E7" w14:paraId="71B7D33D"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E4C81B0"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0818264A" w14:textId="77777777" w:rsidR="009867E7" w:rsidRPr="00300C59" w:rsidRDefault="009867E7" w:rsidP="007C520D">
            <w:pPr>
              <w:keepNext/>
              <w:widowControl w:val="0"/>
              <w:spacing w:after="0" w:line="240" w:lineRule="auto"/>
              <w:rPr>
                <w:sz w:val="20"/>
              </w:rPr>
            </w:pPr>
            <w:r w:rsidRPr="00300C59">
              <w:rPr>
                <w:sz w:val="20"/>
              </w:rPr>
              <w:t>3</w:t>
            </w:r>
            <w:r>
              <w:rPr>
                <w:sz w:val="20"/>
              </w:rPr>
              <w:t>,</w:t>
            </w:r>
            <w:r w:rsidRPr="00300C59">
              <w:rPr>
                <w:sz w:val="20"/>
              </w:rPr>
              <w:t>851</w:t>
            </w:r>
          </w:p>
        </w:tc>
        <w:tc>
          <w:tcPr>
            <w:tcW w:w="1948" w:type="dxa"/>
          </w:tcPr>
          <w:p w14:paraId="2181A75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8</w:t>
            </w:r>
            <w:r>
              <w:rPr>
                <w:sz w:val="20"/>
              </w:rPr>
              <w:t>,</w:t>
            </w:r>
            <w:r w:rsidRPr="00300C59">
              <w:rPr>
                <w:sz w:val="20"/>
              </w:rPr>
              <w:t>770</w:t>
            </w:r>
          </w:p>
        </w:tc>
        <w:tc>
          <w:tcPr>
            <w:cnfStyle w:val="000010000000" w:firstRow="0" w:lastRow="0" w:firstColumn="0" w:lastColumn="0" w:oddVBand="1" w:evenVBand="0" w:oddHBand="0" w:evenHBand="0" w:firstRowFirstColumn="0" w:firstRowLastColumn="0" w:lastRowFirstColumn="0" w:lastRowLastColumn="0"/>
            <w:tcW w:w="1948" w:type="dxa"/>
          </w:tcPr>
          <w:p w14:paraId="05FDB93B" w14:textId="77777777" w:rsidR="009867E7" w:rsidRPr="00300C59" w:rsidRDefault="009867E7" w:rsidP="007C520D">
            <w:pPr>
              <w:keepNext/>
              <w:widowControl w:val="0"/>
              <w:spacing w:after="0" w:line="240" w:lineRule="auto"/>
              <w:rPr>
                <w:sz w:val="20"/>
              </w:rPr>
            </w:pPr>
            <w:r w:rsidRPr="00300C59">
              <w:rPr>
                <w:sz w:val="20"/>
              </w:rPr>
              <w:t>0</w:t>
            </w:r>
          </w:p>
        </w:tc>
      </w:tr>
    </w:tbl>
    <w:p w14:paraId="342FBDF4" w14:textId="77777777" w:rsidR="009867E7" w:rsidRDefault="009867E7" w:rsidP="009867E7">
      <w:pPr>
        <w:jc w:val="both"/>
        <w:rPr>
          <w:b/>
          <w:bCs/>
          <w:vanish/>
          <w:sz w:val="16"/>
          <w:szCs w:val="16"/>
        </w:rPr>
      </w:pPr>
      <w:r>
        <w:rPr>
          <w:i/>
          <w:sz w:val="18"/>
          <w:szCs w:val="24"/>
        </w:rPr>
        <w:t>Source: 2009-2013 CHAS</w:t>
      </w:r>
    </w:p>
    <w:p w14:paraId="2696F79C" w14:textId="77777777" w:rsidR="009867E7" w:rsidRDefault="009867E7" w:rsidP="009867E7">
      <w:pPr>
        <w:spacing w:after="0" w:line="240" w:lineRule="auto"/>
      </w:pPr>
    </w:p>
    <w:p w14:paraId="08A5D778" w14:textId="77777777" w:rsidR="009867E7" w:rsidRDefault="009867E7" w:rsidP="009867E7">
      <w:pPr>
        <w:spacing w:after="0" w:line="240" w:lineRule="auto"/>
      </w:pPr>
    </w:p>
    <w:p w14:paraId="5D47C81F" w14:textId="77777777" w:rsidR="009867E7" w:rsidRDefault="009867E7" w:rsidP="009867E7">
      <w:pPr>
        <w:spacing w:after="0" w:line="240" w:lineRule="auto"/>
      </w:pPr>
    </w:p>
    <w:p w14:paraId="25D52993" w14:textId="77777777" w:rsidR="009867E7" w:rsidRDefault="009867E7" w:rsidP="009867E7">
      <w:pPr>
        <w:keepNext/>
        <w:widowControl w:val="0"/>
        <w:rPr>
          <w:b/>
          <w:sz w:val="24"/>
          <w:szCs w:val="24"/>
        </w:rPr>
      </w:pPr>
      <w:r>
        <w:rPr>
          <w:b/>
          <w:sz w:val="24"/>
          <w:szCs w:val="24"/>
        </w:rPr>
        <w:t xml:space="preserve">Table 16 – 50%-80%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4BCFB3EB"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7DA8BDD9" w14:textId="77777777" w:rsidR="009867E7" w:rsidRPr="00300C59" w:rsidRDefault="009867E7" w:rsidP="007C520D">
            <w:pPr>
              <w:keepNext/>
              <w:widowControl w:val="0"/>
              <w:spacing w:after="0" w:line="240" w:lineRule="auto"/>
              <w:jc w:val="center"/>
              <w:rPr>
                <w:b w:val="0"/>
                <w:sz w:val="20"/>
              </w:rPr>
            </w:pPr>
            <w:r w:rsidRPr="00300C59">
              <w:rPr>
                <w:b w:val="0"/>
                <w:bCs w:val="0"/>
                <w:sz w:val="20"/>
              </w:rPr>
              <w:t>Severe 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4D8818AE"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7927A5F2"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011633D9"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0C511E2C"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7A361F07"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095140FD" w14:textId="77777777" w:rsidR="009867E7" w:rsidRPr="00300C59" w:rsidRDefault="009867E7" w:rsidP="007C520D">
            <w:pPr>
              <w:keepNext/>
              <w:widowControl w:val="0"/>
              <w:spacing w:after="0" w:line="240" w:lineRule="auto"/>
              <w:rPr>
                <w:sz w:val="20"/>
              </w:rPr>
            </w:pPr>
            <w:r w:rsidRPr="00300C59">
              <w:rPr>
                <w:sz w:val="20"/>
              </w:rPr>
              <w:t>17</w:t>
            </w:r>
            <w:r>
              <w:rPr>
                <w:sz w:val="20"/>
              </w:rPr>
              <w:t>,</w:t>
            </w:r>
            <w:r w:rsidRPr="00300C59">
              <w:rPr>
                <w:sz w:val="20"/>
              </w:rPr>
              <w:t>322</w:t>
            </w:r>
          </w:p>
        </w:tc>
        <w:tc>
          <w:tcPr>
            <w:tcW w:w="1948" w:type="dxa"/>
          </w:tcPr>
          <w:p w14:paraId="0D36DDB0"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182</w:t>
            </w:r>
            <w:r>
              <w:rPr>
                <w:sz w:val="20"/>
              </w:rPr>
              <w:t>,</w:t>
            </w:r>
            <w:r w:rsidRPr="00300C59">
              <w:rPr>
                <w:sz w:val="20"/>
              </w:rPr>
              <w:t>288</w:t>
            </w:r>
          </w:p>
        </w:tc>
        <w:tc>
          <w:tcPr>
            <w:cnfStyle w:val="000010000000" w:firstRow="0" w:lastRow="0" w:firstColumn="0" w:lastColumn="0" w:oddVBand="1" w:evenVBand="0" w:oddHBand="0" w:evenHBand="0" w:firstRowFirstColumn="0" w:firstRowLastColumn="0" w:lastRowFirstColumn="0" w:lastRowLastColumn="0"/>
            <w:tcW w:w="1948" w:type="dxa"/>
          </w:tcPr>
          <w:p w14:paraId="0CE3701F" w14:textId="77777777" w:rsidR="009867E7" w:rsidRPr="00300C59" w:rsidRDefault="009867E7" w:rsidP="007C520D">
            <w:pPr>
              <w:keepNext/>
              <w:widowControl w:val="0"/>
              <w:spacing w:after="0" w:line="240" w:lineRule="auto"/>
              <w:rPr>
                <w:sz w:val="20"/>
              </w:rPr>
            </w:pPr>
            <w:r w:rsidRPr="00300C59">
              <w:rPr>
                <w:sz w:val="20"/>
              </w:rPr>
              <w:t>0</w:t>
            </w:r>
          </w:p>
        </w:tc>
      </w:tr>
      <w:tr w:rsidR="009867E7" w14:paraId="1680973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1EFF2759"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3D953F00" w14:textId="77777777" w:rsidR="009867E7" w:rsidRPr="00300C59" w:rsidRDefault="009867E7" w:rsidP="007C520D">
            <w:pPr>
              <w:keepNext/>
              <w:widowControl w:val="0"/>
              <w:spacing w:after="0" w:line="240" w:lineRule="auto"/>
              <w:rPr>
                <w:sz w:val="20"/>
              </w:rPr>
            </w:pPr>
            <w:r w:rsidRPr="00300C59">
              <w:rPr>
                <w:sz w:val="20"/>
              </w:rPr>
              <w:t>13</w:t>
            </w:r>
            <w:r>
              <w:rPr>
                <w:sz w:val="20"/>
              </w:rPr>
              <w:t>,</w:t>
            </w:r>
            <w:r w:rsidRPr="00300C59">
              <w:rPr>
                <w:sz w:val="20"/>
              </w:rPr>
              <w:t>102</w:t>
            </w:r>
          </w:p>
        </w:tc>
        <w:tc>
          <w:tcPr>
            <w:tcW w:w="1948" w:type="dxa"/>
          </w:tcPr>
          <w:p w14:paraId="219EA94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151</w:t>
            </w:r>
            <w:r>
              <w:rPr>
                <w:sz w:val="20"/>
              </w:rPr>
              <w:t>,</w:t>
            </w:r>
            <w:r w:rsidRPr="00300C59">
              <w:rPr>
                <w:sz w:val="20"/>
              </w:rPr>
              <w:t>153</w:t>
            </w:r>
          </w:p>
        </w:tc>
        <w:tc>
          <w:tcPr>
            <w:cnfStyle w:val="000010000000" w:firstRow="0" w:lastRow="0" w:firstColumn="0" w:lastColumn="0" w:oddVBand="1" w:evenVBand="0" w:oddHBand="0" w:evenHBand="0" w:firstRowFirstColumn="0" w:firstRowLastColumn="0" w:lastRowFirstColumn="0" w:lastRowLastColumn="0"/>
            <w:tcW w:w="1948" w:type="dxa"/>
          </w:tcPr>
          <w:p w14:paraId="5ED11788" w14:textId="77777777" w:rsidR="009867E7" w:rsidRPr="00300C59" w:rsidRDefault="009867E7" w:rsidP="007C520D">
            <w:pPr>
              <w:keepNext/>
              <w:widowControl w:val="0"/>
              <w:spacing w:after="0" w:line="240" w:lineRule="auto"/>
              <w:rPr>
                <w:sz w:val="20"/>
              </w:rPr>
            </w:pPr>
            <w:r w:rsidRPr="00300C59">
              <w:rPr>
                <w:sz w:val="20"/>
              </w:rPr>
              <w:t>0</w:t>
            </w:r>
          </w:p>
        </w:tc>
      </w:tr>
      <w:tr w:rsidR="009867E7" w14:paraId="6BC0B71C"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5E361EE0"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5D4B67EA" w14:textId="77777777" w:rsidR="009867E7" w:rsidRPr="00300C59" w:rsidRDefault="009867E7" w:rsidP="007C520D">
            <w:pPr>
              <w:keepNext/>
              <w:widowControl w:val="0"/>
              <w:spacing w:after="0" w:line="240" w:lineRule="auto"/>
              <w:rPr>
                <w:sz w:val="20"/>
              </w:rPr>
            </w:pPr>
            <w:r w:rsidRPr="00300C59">
              <w:rPr>
                <w:sz w:val="20"/>
              </w:rPr>
              <w:t>1</w:t>
            </w:r>
            <w:r>
              <w:rPr>
                <w:sz w:val="20"/>
              </w:rPr>
              <w:t>,</w:t>
            </w:r>
            <w:r w:rsidRPr="00300C59">
              <w:rPr>
                <w:sz w:val="20"/>
              </w:rPr>
              <w:t>112</w:t>
            </w:r>
          </w:p>
        </w:tc>
        <w:tc>
          <w:tcPr>
            <w:tcW w:w="1948" w:type="dxa"/>
          </w:tcPr>
          <w:p w14:paraId="30DE757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10</w:t>
            </w:r>
            <w:r>
              <w:rPr>
                <w:sz w:val="20"/>
              </w:rPr>
              <w:t>,</w:t>
            </w:r>
            <w:r w:rsidRPr="00300C59">
              <w:rPr>
                <w:sz w:val="20"/>
              </w:rPr>
              <w:t>904</w:t>
            </w:r>
          </w:p>
        </w:tc>
        <w:tc>
          <w:tcPr>
            <w:cnfStyle w:val="000010000000" w:firstRow="0" w:lastRow="0" w:firstColumn="0" w:lastColumn="0" w:oddVBand="1" w:evenVBand="0" w:oddHBand="0" w:evenHBand="0" w:firstRowFirstColumn="0" w:firstRowLastColumn="0" w:lastRowFirstColumn="0" w:lastRowLastColumn="0"/>
            <w:tcW w:w="1948" w:type="dxa"/>
          </w:tcPr>
          <w:p w14:paraId="614D40ED" w14:textId="77777777" w:rsidR="009867E7" w:rsidRPr="00300C59" w:rsidRDefault="009867E7" w:rsidP="007C520D">
            <w:pPr>
              <w:keepNext/>
              <w:widowControl w:val="0"/>
              <w:spacing w:after="0" w:line="240" w:lineRule="auto"/>
              <w:rPr>
                <w:sz w:val="20"/>
              </w:rPr>
            </w:pPr>
            <w:r w:rsidRPr="00300C59">
              <w:rPr>
                <w:sz w:val="20"/>
              </w:rPr>
              <w:t>0</w:t>
            </w:r>
          </w:p>
        </w:tc>
      </w:tr>
      <w:tr w:rsidR="009867E7" w14:paraId="689ADD2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5B3DA668"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6725B9B9" w14:textId="77777777" w:rsidR="009867E7" w:rsidRPr="00300C59" w:rsidRDefault="009867E7" w:rsidP="007C520D">
            <w:pPr>
              <w:keepNext/>
              <w:widowControl w:val="0"/>
              <w:spacing w:after="0" w:line="240" w:lineRule="auto"/>
              <w:rPr>
                <w:sz w:val="20"/>
              </w:rPr>
            </w:pPr>
            <w:r w:rsidRPr="00300C59">
              <w:rPr>
                <w:sz w:val="20"/>
              </w:rPr>
              <w:t>567</w:t>
            </w:r>
          </w:p>
        </w:tc>
        <w:tc>
          <w:tcPr>
            <w:tcW w:w="1948" w:type="dxa"/>
          </w:tcPr>
          <w:p w14:paraId="2D52D52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2</w:t>
            </w:r>
            <w:r>
              <w:rPr>
                <w:sz w:val="20"/>
              </w:rPr>
              <w:t>,</w:t>
            </w:r>
            <w:r w:rsidRPr="00300C59">
              <w:rPr>
                <w:sz w:val="20"/>
              </w:rPr>
              <w:t>464</w:t>
            </w:r>
          </w:p>
        </w:tc>
        <w:tc>
          <w:tcPr>
            <w:cnfStyle w:val="000010000000" w:firstRow="0" w:lastRow="0" w:firstColumn="0" w:lastColumn="0" w:oddVBand="1" w:evenVBand="0" w:oddHBand="0" w:evenHBand="0" w:firstRowFirstColumn="0" w:firstRowLastColumn="0" w:lastRowFirstColumn="0" w:lastRowLastColumn="0"/>
            <w:tcW w:w="1948" w:type="dxa"/>
          </w:tcPr>
          <w:p w14:paraId="5DC84F66" w14:textId="77777777" w:rsidR="009867E7" w:rsidRPr="00300C59" w:rsidRDefault="009867E7" w:rsidP="007C520D">
            <w:pPr>
              <w:keepNext/>
              <w:widowControl w:val="0"/>
              <w:spacing w:after="0" w:line="240" w:lineRule="auto"/>
              <w:rPr>
                <w:sz w:val="20"/>
              </w:rPr>
            </w:pPr>
            <w:r w:rsidRPr="00300C59">
              <w:rPr>
                <w:sz w:val="20"/>
              </w:rPr>
              <w:t>0</w:t>
            </w:r>
          </w:p>
        </w:tc>
      </w:tr>
      <w:tr w:rsidR="009867E7" w14:paraId="5F2D7FEF"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18235752"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1ED9AE12" w14:textId="77777777" w:rsidR="009867E7" w:rsidRPr="00300C59" w:rsidRDefault="009867E7" w:rsidP="007C520D">
            <w:pPr>
              <w:keepNext/>
              <w:widowControl w:val="0"/>
              <w:spacing w:after="0" w:line="240" w:lineRule="auto"/>
              <w:rPr>
                <w:sz w:val="20"/>
              </w:rPr>
            </w:pPr>
            <w:r w:rsidRPr="00300C59">
              <w:rPr>
                <w:sz w:val="20"/>
              </w:rPr>
              <w:t>98</w:t>
            </w:r>
          </w:p>
        </w:tc>
        <w:tc>
          <w:tcPr>
            <w:tcW w:w="1948" w:type="dxa"/>
          </w:tcPr>
          <w:p w14:paraId="1FF7B4B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w:t>
            </w:r>
            <w:r>
              <w:rPr>
                <w:sz w:val="20"/>
              </w:rPr>
              <w:t>,</w:t>
            </w:r>
            <w:r w:rsidRPr="00300C59">
              <w:rPr>
                <w:sz w:val="20"/>
              </w:rPr>
              <w:t>199</w:t>
            </w:r>
          </w:p>
        </w:tc>
        <w:tc>
          <w:tcPr>
            <w:cnfStyle w:val="000010000000" w:firstRow="0" w:lastRow="0" w:firstColumn="0" w:lastColumn="0" w:oddVBand="1" w:evenVBand="0" w:oddHBand="0" w:evenHBand="0" w:firstRowFirstColumn="0" w:firstRowLastColumn="0" w:lastRowFirstColumn="0" w:lastRowLastColumn="0"/>
            <w:tcW w:w="1948" w:type="dxa"/>
          </w:tcPr>
          <w:p w14:paraId="7CDDAC72" w14:textId="77777777" w:rsidR="009867E7" w:rsidRPr="00300C59" w:rsidRDefault="009867E7" w:rsidP="007C520D">
            <w:pPr>
              <w:keepNext/>
              <w:widowControl w:val="0"/>
              <w:spacing w:after="0" w:line="240" w:lineRule="auto"/>
              <w:rPr>
                <w:sz w:val="20"/>
              </w:rPr>
            </w:pPr>
            <w:r w:rsidRPr="00300C59">
              <w:rPr>
                <w:sz w:val="20"/>
              </w:rPr>
              <w:t>0</w:t>
            </w:r>
          </w:p>
        </w:tc>
      </w:tr>
      <w:tr w:rsidR="009867E7" w14:paraId="2DC7C983"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F91CAAA"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4718C99A" w14:textId="77777777" w:rsidR="009867E7" w:rsidRPr="00300C59" w:rsidRDefault="009867E7" w:rsidP="007C520D">
            <w:pPr>
              <w:keepNext/>
              <w:widowControl w:val="0"/>
              <w:spacing w:after="0" w:line="240" w:lineRule="auto"/>
              <w:rPr>
                <w:sz w:val="20"/>
              </w:rPr>
            </w:pPr>
            <w:r w:rsidRPr="00300C59">
              <w:rPr>
                <w:sz w:val="20"/>
              </w:rPr>
              <w:t>4</w:t>
            </w:r>
          </w:p>
        </w:tc>
        <w:tc>
          <w:tcPr>
            <w:tcW w:w="1948" w:type="dxa"/>
          </w:tcPr>
          <w:p w14:paraId="1CFAFDE0"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108</w:t>
            </w:r>
          </w:p>
        </w:tc>
        <w:tc>
          <w:tcPr>
            <w:cnfStyle w:val="000010000000" w:firstRow="0" w:lastRow="0" w:firstColumn="0" w:lastColumn="0" w:oddVBand="1" w:evenVBand="0" w:oddHBand="0" w:evenHBand="0" w:firstRowFirstColumn="0" w:firstRowLastColumn="0" w:lastRowFirstColumn="0" w:lastRowLastColumn="0"/>
            <w:tcW w:w="1948" w:type="dxa"/>
          </w:tcPr>
          <w:p w14:paraId="63EA478D" w14:textId="77777777" w:rsidR="009867E7" w:rsidRPr="00300C59" w:rsidRDefault="009867E7" w:rsidP="007C520D">
            <w:pPr>
              <w:keepNext/>
              <w:widowControl w:val="0"/>
              <w:spacing w:after="0" w:line="240" w:lineRule="auto"/>
              <w:rPr>
                <w:sz w:val="20"/>
              </w:rPr>
            </w:pPr>
            <w:r w:rsidRPr="00300C59">
              <w:rPr>
                <w:sz w:val="20"/>
              </w:rPr>
              <w:t>0</w:t>
            </w:r>
          </w:p>
        </w:tc>
      </w:tr>
      <w:tr w:rsidR="009867E7" w14:paraId="26021784"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48A5F89"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2B7FE669" w14:textId="77777777" w:rsidR="009867E7" w:rsidRPr="00300C59" w:rsidRDefault="009867E7" w:rsidP="007C520D">
            <w:pPr>
              <w:keepNext/>
              <w:widowControl w:val="0"/>
              <w:spacing w:after="0" w:line="240" w:lineRule="auto"/>
              <w:rPr>
                <w:sz w:val="20"/>
              </w:rPr>
            </w:pPr>
            <w:r w:rsidRPr="00300C59">
              <w:rPr>
                <w:sz w:val="20"/>
              </w:rPr>
              <w:t>2</w:t>
            </w:r>
            <w:r>
              <w:rPr>
                <w:sz w:val="20"/>
              </w:rPr>
              <w:t>,</w:t>
            </w:r>
            <w:r w:rsidRPr="00300C59">
              <w:rPr>
                <w:sz w:val="20"/>
              </w:rPr>
              <w:t>228</w:t>
            </w:r>
          </w:p>
        </w:tc>
        <w:tc>
          <w:tcPr>
            <w:tcW w:w="1948" w:type="dxa"/>
          </w:tcPr>
          <w:p w14:paraId="64B7033D"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13</w:t>
            </w:r>
            <w:r>
              <w:rPr>
                <w:sz w:val="20"/>
              </w:rPr>
              <w:t>,</w:t>
            </w:r>
            <w:r w:rsidRPr="00300C59">
              <w:rPr>
                <w:sz w:val="20"/>
              </w:rPr>
              <w:t>714</w:t>
            </w:r>
          </w:p>
        </w:tc>
        <w:tc>
          <w:tcPr>
            <w:cnfStyle w:val="000010000000" w:firstRow="0" w:lastRow="0" w:firstColumn="0" w:lastColumn="0" w:oddVBand="1" w:evenVBand="0" w:oddHBand="0" w:evenHBand="0" w:firstRowFirstColumn="0" w:firstRowLastColumn="0" w:lastRowFirstColumn="0" w:lastRowLastColumn="0"/>
            <w:tcW w:w="1948" w:type="dxa"/>
          </w:tcPr>
          <w:p w14:paraId="5C0424BC" w14:textId="77777777" w:rsidR="009867E7" w:rsidRPr="00300C59" w:rsidRDefault="009867E7" w:rsidP="007C520D">
            <w:pPr>
              <w:keepNext/>
              <w:widowControl w:val="0"/>
              <w:spacing w:after="0" w:line="240" w:lineRule="auto"/>
              <w:rPr>
                <w:sz w:val="20"/>
              </w:rPr>
            </w:pPr>
            <w:r w:rsidRPr="00300C59">
              <w:rPr>
                <w:sz w:val="20"/>
              </w:rPr>
              <w:t>0</w:t>
            </w:r>
          </w:p>
        </w:tc>
      </w:tr>
    </w:tbl>
    <w:p w14:paraId="394CE6EA" w14:textId="77777777" w:rsidR="009867E7" w:rsidRDefault="009867E7" w:rsidP="009867E7">
      <w:pPr>
        <w:spacing w:line="240" w:lineRule="auto"/>
        <w:contextualSpacing/>
        <w:jc w:val="both"/>
      </w:pPr>
      <w:r>
        <w:rPr>
          <w:i/>
          <w:sz w:val="18"/>
          <w:szCs w:val="24"/>
        </w:rPr>
        <w:t>Source: 2009-2013 CHAS</w:t>
      </w:r>
    </w:p>
    <w:p w14:paraId="56436F2E" w14:textId="77777777" w:rsidR="009867E7" w:rsidRDefault="009867E7" w:rsidP="009867E7">
      <w:pPr>
        <w:spacing w:after="0" w:line="240" w:lineRule="auto"/>
      </w:pPr>
    </w:p>
    <w:p w14:paraId="740D1F2F" w14:textId="77777777" w:rsidR="009867E7" w:rsidRDefault="009867E7" w:rsidP="009867E7">
      <w:pPr>
        <w:spacing w:after="0" w:line="240" w:lineRule="auto"/>
      </w:pPr>
    </w:p>
    <w:p w14:paraId="3672485C" w14:textId="77777777" w:rsidR="009867E7" w:rsidRDefault="009867E7" w:rsidP="009867E7">
      <w:pPr>
        <w:keepNext/>
        <w:widowControl w:val="0"/>
        <w:rPr>
          <w:b/>
          <w:sz w:val="24"/>
          <w:szCs w:val="24"/>
        </w:rPr>
      </w:pPr>
      <w:r>
        <w:rPr>
          <w:b/>
          <w:sz w:val="24"/>
          <w:szCs w:val="24"/>
        </w:rPr>
        <w:t xml:space="preserve">Table 17 – 80%-100% of Area Median Income, </w:t>
      </w:r>
      <w:r w:rsidRPr="00781852">
        <w:rPr>
          <w:b/>
          <w:sz w:val="24"/>
        </w:rPr>
        <w:t>by Housing Problems and Race/Ethnicity</w:t>
      </w:r>
    </w:p>
    <w:tbl>
      <w:tblPr>
        <w:tblStyle w:val="GridTable4-Accent1"/>
        <w:tblW w:w="5000" w:type="pct"/>
        <w:tblLayout w:type="fixed"/>
        <w:tblLook w:val="02A0" w:firstRow="1" w:lastRow="0" w:firstColumn="1" w:lastColumn="0" w:noHBand="1" w:noVBand="0"/>
      </w:tblPr>
      <w:tblGrid>
        <w:gridCol w:w="3507"/>
        <w:gridCol w:w="1947"/>
        <w:gridCol w:w="1948"/>
        <w:gridCol w:w="1948"/>
      </w:tblGrid>
      <w:tr w:rsidR="009867E7" w14:paraId="1A5DEB21"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Pr>
          <w:p w14:paraId="594EB5AE" w14:textId="77777777" w:rsidR="009867E7" w:rsidRPr="00300C59" w:rsidRDefault="009867E7" w:rsidP="007C520D">
            <w:pPr>
              <w:keepNext/>
              <w:widowControl w:val="0"/>
              <w:spacing w:after="0" w:line="240" w:lineRule="auto"/>
              <w:jc w:val="center"/>
              <w:rPr>
                <w:b w:val="0"/>
                <w:sz w:val="20"/>
              </w:rPr>
            </w:pPr>
            <w:r w:rsidRPr="00300C59">
              <w:rPr>
                <w:b w:val="0"/>
                <w:bCs w:val="0"/>
                <w:sz w:val="20"/>
              </w:rPr>
              <w:t>Severe Housing Problems*</w:t>
            </w:r>
          </w:p>
        </w:tc>
        <w:tc>
          <w:tcPr>
            <w:cnfStyle w:val="000010000000" w:firstRow="0" w:lastRow="0" w:firstColumn="0" w:lastColumn="0" w:oddVBand="1" w:evenVBand="0" w:oddHBand="0" w:evenHBand="0" w:firstRowFirstColumn="0" w:firstRowLastColumn="0" w:lastRowFirstColumn="0" w:lastRowLastColumn="0"/>
            <w:tcW w:w="1947" w:type="dxa"/>
          </w:tcPr>
          <w:p w14:paraId="3B9CC042" w14:textId="77777777" w:rsidR="009867E7" w:rsidRPr="00300C59" w:rsidRDefault="009867E7" w:rsidP="007C520D">
            <w:pPr>
              <w:keepNext/>
              <w:widowControl w:val="0"/>
              <w:spacing w:after="0" w:line="240" w:lineRule="auto"/>
              <w:jc w:val="center"/>
              <w:rPr>
                <w:b w:val="0"/>
                <w:sz w:val="20"/>
              </w:rPr>
            </w:pPr>
            <w:r w:rsidRPr="00300C59">
              <w:rPr>
                <w:b w:val="0"/>
                <w:bCs w:val="0"/>
                <w:sz w:val="20"/>
              </w:rPr>
              <w:t>Has one or more of four housing problems</w:t>
            </w:r>
          </w:p>
        </w:tc>
        <w:tc>
          <w:tcPr>
            <w:tcW w:w="1948" w:type="dxa"/>
          </w:tcPr>
          <w:p w14:paraId="07887AF9"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0"/>
              </w:rPr>
            </w:pPr>
            <w:r w:rsidRPr="00300C59">
              <w:rPr>
                <w:b w:val="0"/>
                <w:bCs w:val="0"/>
                <w:sz w:val="20"/>
              </w:rPr>
              <w:t>Has none of the four housing problems</w:t>
            </w:r>
          </w:p>
        </w:tc>
        <w:tc>
          <w:tcPr>
            <w:cnfStyle w:val="000010000000" w:firstRow="0" w:lastRow="0" w:firstColumn="0" w:lastColumn="0" w:oddVBand="1" w:evenVBand="0" w:oddHBand="0" w:evenHBand="0" w:firstRowFirstColumn="0" w:firstRowLastColumn="0" w:lastRowFirstColumn="0" w:lastRowLastColumn="0"/>
            <w:tcW w:w="1948" w:type="dxa"/>
          </w:tcPr>
          <w:p w14:paraId="19E25184" w14:textId="77777777" w:rsidR="009867E7" w:rsidRPr="00300C59" w:rsidRDefault="009867E7" w:rsidP="007C520D">
            <w:pPr>
              <w:keepNext/>
              <w:widowControl w:val="0"/>
              <w:spacing w:after="0" w:line="240" w:lineRule="auto"/>
              <w:jc w:val="center"/>
              <w:rPr>
                <w:b w:val="0"/>
                <w:sz w:val="20"/>
              </w:rPr>
            </w:pPr>
            <w:r w:rsidRPr="00300C59">
              <w:rPr>
                <w:b w:val="0"/>
                <w:bCs w:val="0"/>
                <w:sz w:val="20"/>
              </w:rPr>
              <w:t>Household has no/negative income, but none of the other housing problems</w:t>
            </w:r>
          </w:p>
        </w:tc>
      </w:tr>
      <w:tr w:rsidR="009867E7" w14:paraId="54225379"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201210FB" w14:textId="77777777" w:rsidR="009867E7" w:rsidRPr="00300C59" w:rsidRDefault="009867E7" w:rsidP="007C520D">
            <w:pPr>
              <w:keepNext/>
              <w:widowControl w:val="0"/>
              <w:spacing w:after="0" w:line="240" w:lineRule="auto"/>
              <w:rPr>
                <w:b w:val="0"/>
                <w:sz w:val="20"/>
              </w:rPr>
            </w:pPr>
            <w:r w:rsidRPr="00300C59">
              <w:rPr>
                <w:b w:val="0"/>
                <w:sz w:val="20"/>
              </w:rPr>
              <w:t>Jurisdiction as a whole</w:t>
            </w:r>
          </w:p>
        </w:tc>
        <w:tc>
          <w:tcPr>
            <w:cnfStyle w:val="000010000000" w:firstRow="0" w:lastRow="0" w:firstColumn="0" w:lastColumn="0" w:oddVBand="1" w:evenVBand="0" w:oddHBand="0" w:evenHBand="0" w:firstRowFirstColumn="0" w:firstRowLastColumn="0" w:lastRowFirstColumn="0" w:lastRowLastColumn="0"/>
            <w:tcW w:w="1947" w:type="dxa"/>
          </w:tcPr>
          <w:p w14:paraId="7022254D" w14:textId="77777777" w:rsidR="009867E7" w:rsidRPr="00300C59" w:rsidRDefault="009867E7" w:rsidP="007C520D">
            <w:pPr>
              <w:keepNext/>
              <w:widowControl w:val="0"/>
              <w:spacing w:after="0" w:line="240" w:lineRule="auto"/>
              <w:rPr>
                <w:sz w:val="20"/>
              </w:rPr>
            </w:pPr>
            <w:r w:rsidRPr="00300C59">
              <w:rPr>
                <w:sz w:val="20"/>
              </w:rPr>
              <w:t>5</w:t>
            </w:r>
            <w:r>
              <w:rPr>
                <w:sz w:val="20"/>
              </w:rPr>
              <w:t>,</w:t>
            </w:r>
            <w:r w:rsidRPr="00300C59">
              <w:rPr>
                <w:sz w:val="20"/>
              </w:rPr>
              <w:t>471</w:t>
            </w:r>
          </w:p>
        </w:tc>
        <w:tc>
          <w:tcPr>
            <w:tcW w:w="1948" w:type="dxa"/>
          </w:tcPr>
          <w:p w14:paraId="68FDFD0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115</w:t>
            </w:r>
            <w:r>
              <w:rPr>
                <w:sz w:val="20"/>
              </w:rPr>
              <w:t>,</w:t>
            </w:r>
            <w:r w:rsidRPr="00300C59">
              <w:rPr>
                <w:sz w:val="20"/>
              </w:rPr>
              <w:t>931</w:t>
            </w:r>
          </w:p>
        </w:tc>
        <w:tc>
          <w:tcPr>
            <w:cnfStyle w:val="000010000000" w:firstRow="0" w:lastRow="0" w:firstColumn="0" w:lastColumn="0" w:oddVBand="1" w:evenVBand="0" w:oddHBand="0" w:evenHBand="0" w:firstRowFirstColumn="0" w:firstRowLastColumn="0" w:lastRowFirstColumn="0" w:lastRowLastColumn="0"/>
            <w:tcW w:w="1948" w:type="dxa"/>
          </w:tcPr>
          <w:p w14:paraId="72E19BC9" w14:textId="77777777" w:rsidR="009867E7" w:rsidRPr="00300C59" w:rsidRDefault="009867E7" w:rsidP="007C520D">
            <w:pPr>
              <w:keepNext/>
              <w:widowControl w:val="0"/>
              <w:spacing w:after="0" w:line="240" w:lineRule="auto"/>
              <w:rPr>
                <w:sz w:val="20"/>
              </w:rPr>
            </w:pPr>
            <w:r w:rsidRPr="00300C59">
              <w:rPr>
                <w:sz w:val="20"/>
              </w:rPr>
              <w:t>0</w:t>
            </w:r>
          </w:p>
        </w:tc>
      </w:tr>
      <w:tr w:rsidR="009867E7" w14:paraId="04923CEB"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3E920B3" w14:textId="77777777" w:rsidR="009867E7" w:rsidRPr="00300C59" w:rsidRDefault="009867E7" w:rsidP="007C520D">
            <w:pPr>
              <w:keepNext/>
              <w:widowControl w:val="0"/>
              <w:spacing w:after="0" w:line="240" w:lineRule="auto"/>
              <w:rPr>
                <w:b w:val="0"/>
                <w:sz w:val="20"/>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947" w:type="dxa"/>
          </w:tcPr>
          <w:p w14:paraId="61984167" w14:textId="77777777" w:rsidR="009867E7" w:rsidRPr="00300C59" w:rsidRDefault="009867E7" w:rsidP="007C520D">
            <w:pPr>
              <w:keepNext/>
              <w:widowControl w:val="0"/>
              <w:spacing w:after="0" w:line="240" w:lineRule="auto"/>
              <w:rPr>
                <w:sz w:val="20"/>
              </w:rPr>
            </w:pPr>
            <w:r w:rsidRPr="00300C59">
              <w:rPr>
                <w:sz w:val="20"/>
              </w:rPr>
              <w:t>4</w:t>
            </w:r>
            <w:r>
              <w:rPr>
                <w:sz w:val="20"/>
              </w:rPr>
              <w:t>,</w:t>
            </w:r>
            <w:r w:rsidRPr="00300C59">
              <w:rPr>
                <w:sz w:val="20"/>
              </w:rPr>
              <w:t>085</w:t>
            </w:r>
          </w:p>
        </w:tc>
        <w:tc>
          <w:tcPr>
            <w:tcW w:w="1948" w:type="dxa"/>
          </w:tcPr>
          <w:p w14:paraId="2911E61C"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99</w:t>
            </w:r>
            <w:r>
              <w:rPr>
                <w:sz w:val="20"/>
              </w:rPr>
              <w:t>,</w:t>
            </w:r>
            <w:r w:rsidRPr="00300C59">
              <w:rPr>
                <w:sz w:val="20"/>
              </w:rPr>
              <w:t>430</w:t>
            </w:r>
          </w:p>
        </w:tc>
        <w:tc>
          <w:tcPr>
            <w:cnfStyle w:val="000010000000" w:firstRow="0" w:lastRow="0" w:firstColumn="0" w:lastColumn="0" w:oddVBand="1" w:evenVBand="0" w:oddHBand="0" w:evenHBand="0" w:firstRowFirstColumn="0" w:firstRowLastColumn="0" w:lastRowFirstColumn="0" w:lastRowLastColumn="0"/>
            <w:tcW w:w="1948" w:type="dxa"/>
          </w:tcPr>
          <w:p w14:paraId="2EB583E9" w14:textId="77777777" w:rsidR="009867E7" w:rsidRPr="00300C59" w:rsidRDefault="009867E7" w:rsidP="007C520D">
            <w:pPr>
              <w:keepNext/>
              <w:widowControl w:val="0"/>
              <w:spacing w:after="0" w:line="240" w:lineRule="auto"/>
              <w:rPr>
                <w:sz w:val="20"/>
              </w:rPr>
            </w:pPr>
            <w:r w:rsidRPr="00300C59">
              <w:rPr>
                <w:sz w:val="20"/>
              </w:rPr>
              <w:t>0</w:t>
            </w:r>
          </w:p>
        </w:tc>
      </w:tr>
      <w:tr w:rsidR="009867E7" w14:paraId="499D7EDD"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7937AA7B" w14:textId="77777777" w:rsidR="009867E7" w:rsidRPr="00300C59" w:rsidRDefault="009867E7" w:rsidP="007C520D">
            <w:pPr>
              <w:keepNext/>
              <w:widowControl w:val="0"/>
              <w:spacing w:after="0" w:line="240" w:lineRule="auto"/>
              <w:rPr>
                <w:b w:val="0"/>
                <w:sz w:val="20"/>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947" w:type="dxa"/>
          </w:tcPr>
          <w:p w14:paraId="679429D7" w14:textId="77777777" w:rsidR="009867E7" w:rsidRPr="00300C59" w:rsidRDefault="009867E7" w:rsidP="007C520D">
            <w:pPr>
              <w:keepNext/>
              <w:widowControl w:val="0"/>
              <w:spacing w:after="0" w:line="240" w:lineRule="auto"/>
              <w:rPr>
                <w:sz w:val="20"/>
              </w:rPr>
            </w:pPr>
            <w:r w:rsidRPr="00300C59">
              <w:rPr>
                <w:sz w:val="20"/>
              </w:rPr>
              <w:t>218</w:t>
            </w:r>
          </w:p>
        </w:tc>
        <w:tc>
          <w:tcPr>
            <w:tcW w:w="1948" w:type="dxa"/>
          </w:tcPr>
          <w:p w14:paraId="3A16125E"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5</w:t>
            </w:r>
            <w:r>
              <w:rPr>
                <w:sz w:val="20"/>
              </w:rPr>
              <w:t>,</w:t>
            </w:r>
            <w:r w:rsidRPr="00300C59">
              <w:rPr>
                <w:sz w:val="20"/>
              </w:rPr>
              <w:t>384</w:t>
            </w:r>
          </w:p>
        </w:tc>
        <w:tc>
          <w:tcPr>
            <w:cnfStyle w:val="000010000000" w:firstRow="0" w:lastRow="0" w:firstColumn="0" w:lastColumn="0" w:oddVBand="1" w:evenVBand="0" w:oddHBand="0" w:evenHBand="0" w:firstRowFirstColumn="0" w:firstRowLastColumn="0" w:lastRowFirstColumn="0" w:lastRowLastColumn="0"/>
            <w:tcW w:w="1948" w:type="dxa"/>
          </w:tcPr>
          <w:p w14:paraId="7BCB8440" w14:textId="77777777" w:rsidR="009867E7" w:rsidRPr="00300C59" w:rsidRDefault="009867E7" w:rsidP="007C520D">
            <w:pPr>
              <w:keepNext/>
              <w:widowControl w:val="0"/>
              <w:spacing w:after="0" w:line="240" w:lineRule="auto"/>
              <w:rPr>
                <w:sz w:val="20"/>
              </w:rPr>
            </w:pPr>
            <w:r w:rsidRPr="00300C59">
              <w:rPr>
                <w:sz w:val="20"/>
              </w:rPr>
              <w:t>0</w:t>
            </w:r>
          </w:p>
        </w:tc>
      </w:tr>
      <w:tr w:rsidR="009867E7" w14:paraId="76FC2E7B"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A18C89D" w14:textId="77777777" w:rsidR="009867E7" w:rsidRPr="00300C59" w:rsidRDefault="009867E7" w:rsidP="007C520D">
            <w:pPr>
              <w:keepNext/>
              <w:widowControl w:val="0"/>
              <w:spacing w:after="0" w:line="240" w:lineRule="auto"/>
              <w:rPr>
                <w:b w:val="0"/>
                <w:sz w:val="20"/>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947" w:type="dxa"/>
          </w:tcPr>
          <w:p w14:paraId="63D51130" w14:textId="77777777" w:rsidR="009867E7" w:rsidRPr="00300C59" w:rsidRDefault="009867E7" w:rsidP="007C520D">
            <w:pPr>
              <w:keepNext/>
              <w:widowControl w:val="0"/>
              <w:spacing w:after="0" w:line="240" w:lineRule="auto"/>
              <w:rPr>
                <w:sz w:val="20"/>
              </w:rPr>
            </w:pPr>
            <w:r w:rsidRPr="00300C59">
              <w:rPr>
                <w:sz w:val="20"/>
              </w:rPr>
              <w:t>101</w:t>
            </w:r>
          </w:p>
        </w:tc>
        <w:tc>
          <w:tcPr>
            <w:tcW w:w="1948" w:type="dxa"/>
          </w:tcPr>
          <w:p w14:paraId="00015CB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1</w:t>
            </w:r>
            <w:r>
              <w:rPr>
                <w:sz w:val="20"/>
              </w:rPr>
              <w:t>,</w:t>
            </w:r>
            <w:r w:rsidRPr="00300C59">
              <w:rPr>
                <w:sz w:val="20"/>
              </w:rPr>
              <w:t>908</w:t>
            </w:r>
          </w:p>
        </w:tc>
        <w:tc>
          <w:tcPr>
            <w:cnfStyle w:val="000010000000" w:firstRow="0" w:lastRow="0" w:firstColumn="0" w:lastColumn="0" w:oddVBand="1" w:evenVBand="0" w:oddHBand="0" w:evenHBand="0" w:firstRowFirstColumn="0" w:firstRowLastColumn="0" w:lastRowFirstColumn="0" w:lastRowLastColumn="0"/>
            <w:tcW w:w="1948" w:type="dxa"/>
          </w:tcPr>
          <w:p w14:paraId="4F4DCE9D" w14:textId="77777777" w:rsidR="009867E7" w:rsidRPr="00300C59" w:rsidRDefault="009867E7" w:rsidP="007C520D">
            <w:pPr>
              <w:keepNext/>
              <w:widowControl w:val="0"/>
              <w:spacing w:after="0" w:line="240" w:lineRule="auto"/>
              <w:rPr>
                <w:sz w:val="20"/>
              </w:rPr>
            </w:pPr>
            <w:r w:rsidRPr="00300C59">
              <w:rPr>
                <w:sz w:val="20"/>
              </w:rPr>
              <w:t>0</w:t>
            </w:r>
          </w:p>
        </w:tc>
      </w:tr>
      <w:tr w:rsidR="009867E7" w14:paraId="0A31F054"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43901D65" w14:textId="77777777" w:rsidR="009867E7" w:rsidRPr="00300C59" w:rsidRDefault="009867E7" w:rsidP="007C520D">
            <w:pPr>
              <w:keepNext/>
              <w:widowControl w:val="0"/>
              <w:spacing w:after="0" w:line="240" w:lineRule="auto"/>
              <w:rPr>
                <w:b w:val="0"/>
                <w:sz w:val="20"/>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947" w:type="dxa"/>
          </w:tcPr>
          <w:p w14:paraId="0AC47726" w14:textId="77777777" w:rsidR="009867E7" w:rsidRPr="00300C59" w:rsidRDefault="009867E7" w:rsidP="007C520D">
            <w:pPr>
              <w:keepNext/>
              <w:widowControl w:val="0"/>
              <w:spacing w:after="0" w:line="240" w:lineRule="auto"/>
              <w:rPr>
                <w:sz w:val="20"/>
              </w:rPr>
            </w:pPr>
            <w:r w:rsidRPr="00300C59">
              <w:rPr>
                <w:sz w:val="20"/>
              </w:rPr>
              <w:t>41</w:t>
            </w:r>
          </w:p>
        </w:tc>
        <w:tc>
          <w:tcPr>
            <w:tcW w:w="1948" w:type="dxa"/>
          </w:tcPr>
          <w:p w14:paraId="2E1B9CE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786</w:t>
            </w:r>
          </w:p>
        </w:tc>
        <w:tc>
          <w:tcPr>
            <w:cnfStyle w:val="000010000000" w:firstRow="0" w:lastRow="0" w:firstColumn="0" w:lastColumn="0" w:oddVBand="1" w:evenVBand="0" w:oddHBand="0" w:evenHBand="0" w:firstRowFirstColumn="0" w:firstRowLastColumn="0" w:lastRowFirstColumn="0" w:lastRowLastColumn="0"/>
            <w:tcW w:w="1948" w:type="dxa"/>
          </w:tcPr>
          <w:p w14:paraId="745F61A5" w14:textId="77777777" w:rsidR="009867E7" w:rsidRPr="00300C59" w:rsidRDefault="009867E7" w:rsidP="007C520D">
            <w:pPr>
              <w:keepNext/>
              <w:widowControl w:val="0"/>
              <w:spacing w:after="0" w:line="240" w:lineRule="auto"/>
              <w:rPr>
                <w:sz w:val="20"/>
              </w:rPr>
            </w:pPr>
            <w:r w:rsidRPr="00300C59">
              <w:rPr>
                <w:sz w:val="20"/>
              </w:rPr>
              <w:t>0</w:t>
            </w:r>
          </w:p>
        </w:tc>
      </w:tr>
      <w:tr w:rsidR="009867E7" w14:paraId="22E925C6"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38DD83E2" w14:textId="77777777" w:rsidR="009867E7" w:rsidRPr="00300C59" w:rsidRDefault="009867E7" w:rsidP="007C520D">
            <w:pPr>
              <w:keepNext/>
              <w:widowControl w:val="0"/>
              <w:spacing w:after="0" w:line="240" w:lineRule="auto"/>
              <w:rPr>
                <w:b w:val="0"/>
                <w:sz w:val="20"/>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947" w:type="dxa"/>
          </w:tcPr>
          <w:p w14:paraId="251945E0" w14:textId="77777777" w:rsidR="009867E7" w:rsidRPr="00300C59" w:rsidRDefault="009867E7" w:rsidP="007C520D">
            <w:pPr>
              <w:keepNext/>
              <w:widowControl w:val="0"/>
              <w:spacing w:after="0" w:line="240" w:lineRule="auto"/>
              <w:rPr>
                <w:sz w:val="20"/>
              </w:rPr>
            </w:pPr>
            <w:r w:rsidRPr="00300C59">
              <w:rPr>
                <w:sz w:val="20"/>
              </w:rPr>
              <w:t>0</w:t>
            </w:r>
          </w:p>
        </w:tc>
        <w:tc>
          <w:tcPr>
            <w:tcW w:w="1948" w:type="dxa"/>
          </w:tcPr>
          <w:p w14:paraId="559A74DF"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39</w:t>
            </w:r>
          </w:p>
        </w:tc>
        <w:tc>
          <w:tcPr>
            <w:cnfStyle w:val="000010000000" w:firstRow="0" w:lastRow="0" w:firstColumn="0" w:lastColumn="0" w:oddVBand="1" w:evenVBand="0" w:oddHBand="0" w:evenHBand="0" w:firstRowFirstColumn="0" w:firstRowLastColumn="0" w:lastRowFirstColumn="0" w:lastRowLastColumn="0"/>
            <w:tcW w:w="1948" w:type="dxa"/>
          </w:tcPr>
          <w:p w14:paraId="21826854" w14:textId="77777777" w:rsidR="009867E7" w:rsidRPr="00300C59" w:rsidRDefault="009867E7" w:rsidP="007C520D">
            <w:pPr>
              <w:keepNext/>
              <w:widowControl w:val="0"/>
              <w:spacing w:after="0" w:line="240" w:lineRule="auto"/>
              <w:rPr>
                <w:sz w:val="20"/>
              </w:rPr>
            </w:pPr>
            <w:r w:rsidRPr="00300C59">
              <w:rPr>
                <w:sz w:val="20"/>
              </w:rPr>
              <w:t>0</w:t>
            </w:r>
          </w:p>
        </w:tc>
      </w:tr>
      <w:tr w:rsidR="009867E7" w14:paraId="3A712474" w14:textId="77777777" w:rsidTr="007C520D">
        <w:tc>
          <w:tcPr>
            <w:cnfStyle w:val="001000000000" w:firstRow="0" w:lastRow="0" w:firstColumn="1" w:lastColumn="0" w:oddVBand="0" w:evenVBand="0" w:oddHBand="0" w:evenHBand="0" w:firstRowFirstColumn="0" w:firstRowLastColumn="0" w:lastRowFirstColumn="0" w:lastRowLastColumn="0"/>
            <w:tcW w:w="3507" w:type="dxa"/>
          </w:tcPr>
          <w:p w14:paraId="655AECCD" w14:textId="77777777" w:rsidR="009867E7" w:rsidRPr="00300C59" w:rsidRDefault="009867E7" w:rsidP="007C520D">
            <w:pPr>
              <w:keepNext/>
              <w:widowControl w:val="0"/>
              <w:spacing w:after="0" w:line="240" w:lineRule="auto"/>
              <w:rPr>
                <w:b w:val="0"/>
                <w:sz w:val="20"/>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947" w:type="dxa"/>
          </w:tcPr>
          <w:p w14:paraId="6C3B6670" w14:textId="77777777" w:rsidR="009867E7" w:rsidRPr="00300C59" w:rsidRDefault="009867E7" w:rsidP="007C520D">
            <w:pPr>
              <w:keepNext/>
              <w:widowControl w:val="0"/>
              <w:spacing w:after="0" w:line="240" w:lineRule="auto"/>
              <w:rPr>
                <w:sz w:val="20"/>
              </w:rPr>
            </w:pPr>
            <w:r w:rsidRPr="00300C59">
              <w:rPr>
                <w:sz w:val="20"/>
              </w:rPr>
              <w:t>962</w:t>
            </w:r>
          </w:p>
        </w:tc>
        <w:tc>
          <w:tcPr>
            <w:tcW w:w="1948" w:type="dxa"/>
          </w:tcPr>
          <w:p w14:paraId="3DD5BB18"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00C59">
              <w:rPr>
                <w:sz w:val="20"/>
              </w:rPr>
              <w:t>6</w:t>
            </w:r>
            <w:r>
              <w:rPr>
                <w:sz w:val="20"/>
              </w:rPr>
              <w:t>,</w:t>
            </w:r>
            <w:r w:rsidRPr="00300C59">
              <w:rPr>
                <w:sz w:val="20"/>
              </w:rPr>
              <w:t>808</w:t>
            </w:r>
          </w:p>
        </w:tc>
        <w:tc>
          <w:tcPr>
            <w:cnfStyle w:val="000010000000" w:firstRow="0" w:lastRow="0" w:firstColumn="0" w:lastColumn="0" w:oddVBand="1" w:evenVBand="0" w:oddHBand="0" w:evenHBand="0" w:firstRowFirstColumn="0" w:firstRowLastColumn="0" w:lastRowFirstColumn="0" w:lastRowLastColumn="0"/>
            <w:tcW w:w="1948" w:type="dxa"/>
          </w:tcPr>
          <w:p w14:paraId="4B774A7B" w14:textId="77777777" w:rsidR="009867E7" w:rsidRPr="00300C59" w:rsidRDefault="009867E7" w:rsidP="007C520D">
            <w:pPr>
              <w:keepNext/>
              <w:widowControl w:val="0"/>
              <w:spacing w:after="0" w:line="240" w:lineRule="auto"/>
              <w:rPr>
                <w:sz w:val="20"/>
              </w:rPr>
            </w:pPr>
            <w:r w:rsidRPr="00300C59">
              <w:rPr>
                <w:sz w:val="20"/>
              </w:rPr>
              <w:t>0</w:t>
            </w:r>
          </w:p>
        </w:tc>
      </w:tr>
    </w:tbl>
    <w:p w14:paraId="219052D4" w14:textId="77777777" w:rsidR="009867E7" w:rsidRDefault="009867E7" w:rsidP="009867E7">
      <w:pPr>
        <w:spacing w:line="240" w:lineRule="auto"/>
        <w:contextualSpacing/>
        <w:jc w:val="both"/>
        <w:rPr>
          <w:vanish/>
        </w:rPr>
      </w:pPr>
      <w:r>
        <w:rPr>
          <w:i/>
          <w:sz w:val="18"/>
          <w:szCs w:val="24"/>
        </w:rPr>
        <w:t>Source: 2009-2013 CHAS</w:t>
      </w:r>
    </w:p>
    <w:p w14:paraId="38C65CF1" w14:textId="77777777" w:rsidR="009867E7" w:rsidRDefault="009867E7" w:rsidP="009867E7">
      <w:pPr>
        <w:spacing w:after="0" w:line="240" w:lineRule="auto"/>
        <w:rPr>
          <w:b/>
          <w:bCs/>
          <w:vanish/>
          <w:sz w:val="16"/>
          <w:szCs w:val="16"/>
        </w:rPr>
      </w:pPr>
    </w:p>
    <w:p w14:paraId="2CE85FCB" w14:textId="77777777" w:rsidR="009867E7" w:rsidRDefault="009867E7" w:rsidP="009867E7">
      <w:pPr>
        <w:spacing w:line="240" w:lineRule="auto"/>
        <w:contextualSpacing/>
        <w:rPr>
          <w:rFonts w:cs="Arial"/>
          <w:sz w:val="16"/>
          <w:szCs w:val="16"/>
        </w:rPr>
      </w:pPr>
    </w:p>
    <w:p w14:paraId="69AFCB35" w14:textId="77777777" w:rsidR="009867E7" w:rsidRDefault="009867E7" w:rsidP="009867E7">
      <w:pPr>
        <w:spacing w:after="0" w:line="240" w:lineRule="auto"/>
      </w:pPr>
    </w:p>
    <w:p w14:paraId="18138FA4" w14:textId="77777777" w:rsidR="009867E7" w:rsidRDefault="009867E7" w:rsidP="009867E7">
      <w:pPr>
        <w:spacing w:after="0" w:line="240" w:lineRule="auto"/>
      </w:pPr>
    </w:p>
    <w:p w14:paraId="417A42D2" w14:textId="77777777" w:rsidR="009867E7" w:rsidRDefault="009867E7" w:rsidP="009867E7">
      <w:pPr>
        <w:spacing w:line="204" w:lineRule="auto"/>
        <w:rPr>
          <w:b/>
          <w:sz w:val="24"/>
          <w:szCs w:val="24"/>
        </w:rPr>
      </w:pPr>
      <w:r>
        <w:rPr>
          <w:b/>
          <w:sz w:val="24"/>
          <w:szCs w:val="24"/>
        </w:rPr>
        <w:t>Discussion</w:t>
      </w:r>
    </w:p>
    <w:p w14:paraId="0A624DA1" w14:textId="77777777" w:rsidR="009867E7" w:rsidRPr="00B24E17" w:rsidRDefault="009867E7" w:rsidP="009867E7">
      <w:pPr>
        <w:jc w:val="both"/>
        <w:rPr>
          <w:sz w:val="24"/>
          <w:szCs w:val="24"/>
        </w:rPr>
      </w:pPr>
      <w:r>
        <w:rPr>
          <w:sz w:val="24"/>
          <w:szCs w:val="24"/>
        </w:rPr>
        <w:t>As noted from the tables above, t</w:t>
      </w:r>
      <w:r w:rsidRPr="00B24E17">
        <w:rPr>
          <w:sz w:val="24"/>
          <w:szCs w:val="24"/>
        </w:rPr>
        <w:t xml:space="preserve">he following </w:t>
      </w:r>
      <w:r>
        <w:rPr>
          <w:sz w:val="24"/>
          <w:szCs w:val="24"/>
        </w:rPr>
        <w:t xml:space="preserve">racial/ethnic household experienced severe housing problems </w:t>
      </w:r>
      <w:r w:rsidRPr="00B24E17">
        <w:rPr>
          <w:sz w:val="24"/>
          <w:szCs w:val="24"/>
        </w:rPr>
        <w:t xml:space="preserve">disproportionately for </w:t>
      </w:r>
      <w:r>
        <w:rPr>
          <w:sz w:val="24"/>
          <w:szCs w:val="24"/>
        </w:rPr>
        <w:t>renters and owners combined:</w:t>
      </w:r>
    </w:p>
    <w:p w14:paraId="7848DD12" w14:textId="77777777" w:rsidR="009867E7" w:rsidRPr="00962D8C" w:rsidRDefault="009867E7" w:rsidP="00A121EE">
      <w:pPr>
        <w:pStyle w:val="ListParagraph"/>
        <w:numPr>
          <w:ilvl w:val="0"/>
          <w:numId w:val="5"/>
        </w:numPr>
        <w:ind w:left="1440"/>
        <w:jc w:val="both"/>
        <w:rPr>
          <w:rFonts w:asciiTheme="minorHAnsi" w:hAnsiTheme="minorHAnsi"/>
          <w:sz w:val="24"/>
          <w:szCs w:val="24"/>
        </w:rPr>
      </w:pPr>
      <w:r w:rsidRPr="00962D8C">
        <w:rPr>
          <w:rFonts w:asciiTheme="minorHAnsi" w:hAnsiTheme="minorHAnsi"/>
          <w:sz w:val="24"/>
          <w:szCs w:val="24"/>
        </w:rPr>
        <w:t>Asian: 51-80% AMI</w:t>
      </w:r>
    </w:p>
    <w:p w14:paraId="1E55F59A" w14:textId="77777777" w:rsidR="009867E7" w:rsidRPr="00962D8C" w:rsidRDefault="009867E7" w:rsidP="00A121EE">
      <w:pPr>
        <w:pStyle w:val="ListParagraph"/>
        <w:numPr>
          <w:ilvl w:val="0"/>
          <w:numId w:val="5"/>
        </w:numPr>
        <w:ind w:left="1440"/>
        <w:jc w:val="both"/>
        <w:rPr>
          <w:rFonts w:asciiTheme="minorHAnsi" w:hAnsiTheme="minorHAnsi"/>
          <w:sz w:val="24"/>
          <w:szCs w:val="24"/>
        </w:rPr>
      </w:pPr>
      <w:r w:rsidRPr="00962D8C">
        <w:rPr>
          <w:sz w:val="24"/>
          <w:szCs w:val="24"/>
        </w:rPr>
        <w:t>Pacific Islander: 0-30% AMI</w:t>
      </w:r>
    </w:p>
    <w:p w14:paraId="62BBC460" w14:textId="77777777" w:rsidR="009867E7" w:rsidRDefault="009867E7" w:rsidP="009867E7">
      <w:pPr>
        <w:pStyle w:val="Heading2"/>
        <w:pageBreakBefore/>
        <w:shd w:val="clear" w:color="auto" w:fill="95B3D7" w:themeFill="accent1" w:themeFillTint="99"/>
        <w:rPr>
          <w:rFonts w:ascii="Calibri" w:hAnsi="Calibri"/>
          <w:i w:val="0"/>
        </w:rPr>
      </w:pPr>
      <w:bookmarkStart w:id="27" w:name="_Toc524603013"/>
      <w:r>
        <w:rPr>
          <w:rFonts w:ascii="Calibri" w:hAnsi="Calibri"/>
          <w:i w:val="0"/>
        </w:rPr>
        <w:t>NA-25 Disproportionately Greater Need: Housing Cost Burdens – 91.305 (b)(2)</w:t>
      </w:r>
      <w:bookmarkEnd w:id="27"/>
    </w:p>
    <w:p w14:paraId="58696FE3" w14:textId="77777777" w:rsidR="009867E7" w:rsidRPr="00A82188" w:rsidRDefault="009867E7" w:rsidP="009867E7">
      <w:pPr>
        <w:rPr>
          <w:sz w:val="24"/>
        </w:rPr>
      </w:pPr>
      <w:r w:rsidRPr="00A82188">
        <w:rPr>
          <w:sz w:val="24"/>
        </w:rPr>
        <w:t>Assess the need of any racial or ethnic group that has disproportionately greater need in comparison to the needs of that category of need as a whole.</w:t>
      </w:r>
    </w:p>
    <w:p w14:paraId="5FF64F93" w14:textId="77777777" w:rsidR="009867E7" w:rsidRDefault="009867E7" w:rsidP="009867E7">
      <w:pPr>
        <w:spacing w:line="204" w:lineRule="auto"/>
        <w:rPr>
          <w:b/>
          <w:sz w:val="24"/>
          <w:szCs w:val="24"/>
        </w:rPr>
      </w:pPr>
      <w:r>
        <w:rPr>
          <w:b/>
          <w:sz w:val="24"/>
          <w:szCs w:val="24"/>
        </w:rPr>
        <w:t>Introduction</w:t>
      </w:r>
    </w:p>
    <w:p w14:paraId="07579AC4" w14:textId="77777777" w:rsidR="009867E7" w:rsidRPr="00E042EB" w:rsidRDefault="009867E7" w:rsidP="009867E7">
      <w:pPr>
        <w:pStyle w:val="Body"/>
        <w:jc w:val="both"/>
        <w:rPr>
          <w:sz w:val="24"/>
          <w:szCs w:val="24"/>
        </w:rPr>
      </w:pPr>
      <w:r w:rsidRPr="00E042EB">
        <w:rPr>
          <w:sz w:val="24"/>
          <w:szCs w:val="24"/>
        </w:rPr>
        <w:t>HUD defines a disproportionately greater number of housing cost burden when a racial/ethnic group experiences housing cost burden at a rate greater than 10</w:t>
      </w:r>
      <w:r>
        <w:rPr>
          <w:sz w:val="24"/>
          <w:szCs w:val="24"/>
        </w:rPr>
        <w:t xml:space="preserve"> percentage points</w:t>
      </w:r>
      <w:r w:rsidRPr="00E042EB">
        <w:rPr>
          <w:sz w:val="24"/>
          <w:szCs w:val="24"/>
        </w:rPr>
        <w:t xml:space="preserve"> </w:t>
      </w:r>
      <w:r>
        <w:rPr>
          <w:sz w:val="24"/>
          <w:szCs w:val="24"/>
        </w:rPr>
        <w:t>above</w:t>
      </w:r>
      <w:r w:rsidRPr="00E042EB">
        <w:rPr>
          <w:sz w:val="24"/>
          <w:szCs w:val="24"/>
        </w:rPr>
        <w:t xml:space="preserve"> the income level as a whole. The table below summarizes the percentage of each racial/ethnic group experiencing housing cost burden. Racial/ethnic groups are sub-divided into the percentage of each racial/ethnic group paying less than 30%</w:t>
      </w:r>
      <w:r>
        <w:rPr>
          <w:sz w:val="24"/>
          <w:szCs w:val="24"/>
        </w:rPr>
        <w:t xml:space="preserve"> (no cost burden)</w:t>
      </w:r>
      <w:r w:rsidRPr="00E042EB">
        <w:rPr>
          <w:sz w:val="24"/>
          <w:szCs w:val="24"/>
        </w:rPr>
        <w:t>, between 30%-50%</w:t>
      </w:r>
      <w:r>
        <w:rPr>
          <w:sz w:val="24"/>
          <w:szCs w:val="24"/>
        </w:rPr>
        <w:t xml:space="preserve"> (cost burdened)</w:t>
      </w:r>
      <w:r w:rsidRPr="00E042EB">
        <w:rPr>
          <w:sz w:val="24"/>
          <w:szCs w:val="24"/>
        </w:rPr>
        <w:t>, and above 50%</w:t>
      </w:r>
      <w:r>
        <w:rPr>
          <w:sz w:val="24"/>
          <w:szCs w:val="24"/>
        </w:rPr>
        <w:t xml:space="preserve"> (severely cost burdened)</w:t>
      </w:r>
      <w:r w:rsidRPr="00E042EB">
        <w:rPr>
          <w:sz w:val="24"/>
          <w:szCs w:val="24"/>
        </w:rPr>
        <w:t xml:space="preserve"> of their </w:t>
      </w:r>
      <w:r>
        <w:rPr>
          <w:sz w:val="24"/>
          <w:szCs w:val="24"/>
        </w:rPr>
        <w:t xml:space="preserve">gross income on housing costs. </w:t>
      </w:r>
    </w:p>
    <w:p w14:paraId="46D8F4F2" w14:textId="77777777" w:rsidR="009867E7" w:rsidRDefault="009867E7" w:rsidP="009867E7">
      <w:pPr>
        <w:pStyle w:val="Body"/>
        <w:jc w:val="both"/>
        <w:rPr>
          <w:sz w:val="24"/>
          <w:szCs w:val="24"/>
        </w:rPr>
      </w:pPr>
      <w:r w:rsidRPr="00E042EB">
        <w:rPr>
          <w:sz w:val="24"/>
          <w:szCs w:val="24"/>
        </w:rPr>
        <w:t xml:space="preserve">This information is </w:t>
      </w:r>
      <w:r>
        <w:rPr>
          <w:sz w:val="24"/>
          <w:szCs w:val="24"/>
        </w:rPr>
        <w:t>summarized from the HUD CHAS data in the table below.</w:t>
      </w:r>
    </w:p>
    <w:p w14:paraId="0C39B40B" w14:textId="77777777" w:rsidR="009867E7" w:rsidRPr="00EB64C4" w:rsidRDefault="009867E7" w:rsidP="009867E7">
      <w:pPr>
        <w:pStyle w:val="Body"/>
        <w:jc w:val="both"/>
        <w:rPr>
          <w:sz w:val="24"/>
          <w:szCs w:val="24"/>
        </w:rPr>
      </w:pPr>
      <w:r>
        <w:rPr>
          <w:b/>
          <w:sz w:val="24"/>
          <w:szCs w:val="24"/>
        </w:rPr>
        <w:t xml:space="preserve">Table 18 – </w:t>
      </w:r>
      <w:r>
        <w:rPr>
          <w:b/>
          <w:sz w:val="24"/>
        </w:rPr>
        <w:t>Summary Table: Housing Cost Burden by Race</w:t>
      </w:r>
    </w:p>
    <w:tbl>
      <w:tblPr>
        <w:tblStyle w:val="GridTable4-Accent1"/>
        <w:tblW w:w="5000" w:type="pct"/>
        <w:tblLayout w:type="fixed"/>
        <w:tblLook w:val="02E0" w:firstRow="1" w:lastRow="1" w:firstColumn="1" w:lastColumn="0" w:noHBand="1" w:noVBand="0"/>
      </w:tblPr>
      <w:tblGrid>
        <w:gridCol w:w="2362"/>
        <w:gridCol w:w="1745"/>
        <w:gridCol w:w="1741"/>
        <w:gridCol w:w="1740"/>
        <w:gridCol w:w="1762"/>
      </w:tblGrid>
      <w:tr w:rsidR="009867E7" w14:paraId="445367D4"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1CBCD274" w14:textId="77777777" w:rsidR="009867E7" w:rsidRPr="00300C59" w:rsidRDefault="009867E7" w:rsidP="007C520D">
            <w:pPr>
              <w:keepNext/>
              <w:widowControl w:val="0"/>
              <w:spacing w:after="0" w:line="240" w:lineRule="auto"/>
              <w:jc w:val="center"/>
              <w:rPr>
                <w:b w:val="0"/>
                <w:bCs w:val="0"/>
                <w:sz w:val="20"/>
              </w:rPr>
            </w:pPr>
            <w:r w:rsidRPr="00300C59">
              <w:rPr>
                <w:b w:val="0"/>
                <w:bCs w:val="0"/>
                <w:sz w:val="20"/>
              </w:rPr>
              <w:t>Housing Cost Burden</w:t>
            </w:r>
          </w:p>
        </w:tc>
        <w:tc>
          <w:tcPr>
            <w:cnfStyle w:val="000010000000" w:firstRow="0" w:lastRow="0" w:firstColumn="0" w:lastColumn="0" w:oddVBand="1" w:evenVBand="0" w:oddHBand="0" w:evenHBand="0" w:firstRowFirstColumn="0" w:firstRowLastColumn="0" w:lastRowFirstColumn="0" w:lastRowLastColumn="0"/>
            <w:tcW w:w="1745" w:type="dxa"/>
          </w:tcPr>
          <w:p w14:paraId="12E2786C" w14:textId="77777777" w:rsidR="009867E7" w:rsidRPr="00300C59" w:rsidRDefault="009867E7" w:rsidP="007C520D">
            <w:pPr>
              <w:keepNext/>
              <w:widowControl w:val="0"/>
              <w:spacing w:after="0" w:line="240" w:lineRule="auto"/>
              <w:jc w:val="center"/>
              <w:rPr>
                <w:b w:val="0"/>
                <w:bCs w:val="0"/>
                <w:sz w:val="20"/>
              </w:rPr>
            </w:pPr>
            <w:r w:rsidRPr="00300C59">
              <w:rPr>
                <w:b w:val="0"/>
                <w:bCs w:val="0"/>
                <w:sz w:val="20"/>
              </w:rPr>
              <w:t>&lt;=30%</w:t>
            </w:r>
          </w:p>
        </w:tc>
        <w:tc>
          <w:tcPr>
            <w:tcW w:w="1741" w:type="dxa"/>
          </w:tcPr>
          <w:p w14:paraId="15327744"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300C59">
              <w:rPr>
                <w:b w:val="0"/>
                <w:bCs w:val="0"/>
                <w:sz w:val="20"/>
              </w:rPr>
              <w:t>30-50%</w:t>
            </w:r>
          </w:p>
        </w:tc>
        <w:tc>
          <w:tcPr>
            <w:cnfStyle w:val="000010000000" w:firstRow="0" w:lastRow="0" w:firstColumn="0" w:lastColumn="0" w:oddVBand="1" w:evenVBand="0" w:oddHBand="0" w:evenHBand="0" w:firstRowFirstColumn="0" w:firstRowLastColumn="0" w:lastRowFirstColumn="0" w:lastRowLastColumn="0"/>
            <w:tcW w:w="1740" w:type="dxa"/>
          </w:tcPr>
          <w:p w14:paraId="4C162FBD" w14:textId="77777777" w:rsidR="009867E7" w:rsidRPr="00300C59" w:rsidRDefault="009867E7" w:rsidP="007C520D">
            <w:pPr>
              <w:keepNext/>
              <w:widowControl w:val="0"/>
              <w:spacing w:after="0" w:line="240" w:lineRule="auto"/>
              <w:jc w:val="center"/>
              <w:rPr>
                <w:b w:val="0"/>
                <w:bCs w:val="0"/>
                <w:sz w:val="20"/>
              </w:rPr>
            </w:pPr>
            <w:r w:rsidRPr="00300C59">
              <w:rPr>
                <w:b w:val="0"/>
                <w:bCs w:val="0"/>
                <w:sz w:val="20"/>
              </w:rPr>
              <w:t>&gt;50%</w:t>
            </w:r>
          </w:p>
        </w:tc>
        <w:tc>
          <w:tcPr>
            <w:tcW w:w="1762" w:type="dxa"/>
          </w:tcPr>
          <w:p w14:paraId="0A323CCE" w14:textId="77777777" w:rsidR="009867E7" w:rsidRPr="00300C59" w:rsidRDefault="009867E7"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rPr>
            </w:pPr>
            <w:r w:rsidRPr="00300C59">
              <w:rPr>
                <w:b w:val="0"/>
                <w:bCs w:val="0"/>
                <w:sz w:val="20"/>
              </w:rPr>
              <w:t>No / negative income (not computed)</w:t>
            </w:r>
          </w:p>
        </w:tc>
      </w:tr>
      <w:tr w:rsidR="009867E7" w14:paraId="6379516A" w14:textId="77777777" w:rsidTr="007C520D">
        <w:tc>
          <w:tcPr>
            <w:cnfStyle w:val="001000000000" w:firstRow="0" w:lastRow="0" w:firstColumn="1" w:lastColumn="0" w:oddVBand="0" w:evenVBand="0" w:oddHBand="0" w:evenHBand="0" w:firstRowFirstColumn="0" w:firstRowLastColumn="0" w:lastRowFirstColumn="0" w:lastRowLastColumn="0"/>
            <w:tcW w:w="2362" w:type="dxa"/>
          </w:tcPr>
          <w:p w14:paraId="4EC3044F" w14:textId="77777777" w:rsidR="009867E7" w:rsidRPr="00300C59" w:rsidRDefault="009867E7" w:rsidP="007C520D">
            <w:pPr>
              <w:keepNext/>
              <w:widowControl w:val="0"/>
              <w:spacing w:after="0" w:line="240" w:lineRule="auto"/>
              <w:rPr>
                <w:b w:val="0"/>
                <w:sz w:val="20"/>
                <w:szCs w:val="24"/>
              </w:rPr>
            </w:pPr>
            <w:r w:rsidRPr="00300C59">
              <w:rPr>
                <w:b w:val="0"/>
                <w:sz w:val="20"/>
              </w:rPr>
              <w:t>White</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2A8931CD" w14:textId="77777777" w:rsidR="009867E7" w:rsidRPr="00300C59" w:rsidRDefault="009867E7" w:rsidP="007C520D">
            <w:pPr>
              <w:keepNext/>
              <w:widowControl w:val="0"/>
              <w:spacing w:after="0" w:line="240" w:lineRule="auto"/>
              <w:jc w:val="center"/>
              <w:rPr>
                <w:bCs/>
                <w:sz w:val="20"/>
              </w:rPr>
            </w:pPr>
            <w:r w:rsidRPr="00300C59">
              <w:rPr>
                <w:bCs/>
                <w:sz w:val="20"/>
              </w:rPr>
              <w:t>76.3%</w:t>
            </w:r>
          </w:p>
        </w:tc>
        <w:tc>
          <w:tcPr>
            <w:tcW w:w="1741" w:type="dxa"/>
            <w:vAlign w:val="center"/>
          </w:tcPr>
          <w:p w14:paraId="6C485CE9"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sz w:val="20"/>
              </w:rPr>
            </w:pPr>
            <w:r w:rsidRPr="00300C59">
              <w:rPr>
                <w:bCs/>
                <w:sz w:val="20"/>
              </w:rPr>
              <w:t>14.1%</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2F2155E0" w14:textId="77777777" w:rsidR="009867E7" w:rsidRPr="00300C59" w:rsidRDefault="009867E7" w:rsidP="007C520D">
            <w:pPr>
              <w:keepNext/>
              <w:widowControl w:val="0"/>
              <w:spacing w:after="0" w:line="240" w:lineRule="auto"/>
              <w:jc w:val="center"/>
              <w:rPr>
                <w:bCs/>
                <w:sz w:val="20"/>
              </w:rPr>
            </w:pPr>
            <w:r w:rsidRPr="00300C59">
              <w:rPr>
                <w:bCs/>
                <w:sz w:val="20"/>
              </w:rPr>
              <w:t>9.5%</w:t>
            </w:r>
          </w:p>
        </w:tc>
        <w:tc>
          <w:tcPr>
            <w:tcW w:w="1762" w:type="dxa"/>
          </w:tcPr>
          <w:p w14:paraId="2CE83656"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Cs/>
                <w:sz w:val="20"/>
              </w:rPr>
            </w:pPr>
          </w:p>
        </w:tc>
      </w:tr>
      <w:tr w:rsidR="009867E7" w14:paraId="0527E91E" w14:textId="77777777" w:rsidTr="007C520D">
        <w:tc>
          <w:tcPr>
            <w:cnfStyle w:val="001000000000" w:firstRow="0" w:lastRow="0" w:firstColumn="1" w:lastColumn="0" w:oddVBand="0" w:evenVBand="0" w:oddHBand="0" w:evenHBand="0" w:firstRowFirstColumn="0" w:firstRowLastColumn="0" w:lastRowFirstColumn="0" w:lastRowLastColumn="0"/>
            <w:tcW w:w="2362" w:type="dxa"/>
          </w:tcPr>
          <w:p w14:paraId="403536FC" w14:textId="77777777" w:rsidR="009867E7" w:rsidRPr="00300C59" w:rsidRDefault="009867E7" w:rsidP="007C520D">
            <w:pPr>
              <w:keepNext/>
              <w:widowControl w:val="0"/>
              <w:spacing w:after="0" w:line="240" w:lineRule="auto"/>
              <w:rPr>
                <w:b w:val="0"/>
                <w:sz w:val="20"/>
                <w:szCs w:val="24"/>
              </w:rPr>
            </w:pPr>
            <w:r w:rsidRPr="00300C59">
              <w:rPr>
                <w:b w:val="0"/>
                <w:sz w:val="20"/>
              </w:rPr>
              <w:t>Black / African American</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548B3577" w14:textId="77777777" w:rsidR="009867E7" w:rsidRPr="00300C59" w:rsidRDefault="009867E7" w:rsidP="007C520D">
            <w:pPr>
              <w:keepNext/>
              <w:widowControl w:val="0"/>
              <w:spacing w:after="0" w:line="240" w:lineRule="auto"/>
              <w:jc w:val="center"/>
              <w:rPr>
                <w:bCs/>
                <w:sz w:val="20"/>
              </w:rPr>
            </w:pPr>
            <w:r w:rsidRPr="00300C59">
              <w:rPr>
                <w:bCs/>
                <w:sz w:val="20"/>
              </w:rPr>
              <w:t>56.2%</w:t>
            </w:r>
          </w:p>
        </w:tc>
        <w:tc>
          <w:tcPr>
            <w:tcW w:w="1741" w:type="dxa"/>
            <w:vAlign w:val="center"/>
          </w:tcPr>
          <w:p w14:paraId="7B8F00DA"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sz w:val="20"/>
              </w:rPr>
            </w:pPr>
            <w:r w:rsidRPr="00300C59">
              <w:rPr>
                <w:bCs/>
                <w:sz w:val="20"/>
              </w:rPr>
              <w:t>22.1%</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3820973E" w14:textId="77777777" w:rsidR="009867E7" w:rsidRPr="00300C59" w:rsidRDefault="009867E7" w:rsidP="007C520D">
            <w:pPr>
              <w:keepNext/>
              <w:widowControl w:val="0"/>
              <w:spacing w:after="0" w:line="240" w:lineRule="auto"/>
              <w:jc w:val="center"/>
              <w:rPr>
                <w:b/>
                <w:bCs/>
                <w:sz w:val="20"/>
              </w:rPr>
            </w:pPr>
            <w:r w:rsidRPr="00300C59">
              <w:rPr>
                <w:b/>
                <w:bCs/>
                <w:sz w:val="20"/>
              </w:rPr>
              <w:t>21.7%</w:t>
            </w:r>
          </w:p>
        </w:tc>
        <w:tc>
          <w:tcPr>
            <w:tcW w:w="1762" w:type="dxa"/>
          </w:tcPr>
          <w:p w14:paraId="5556FCAA"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Cs/>
                <w:sz w:val="20"/>
              </w:rPr>
            </w:pPr>
          </w:p>
        </w:tc>
      </w:tr>
      <w:tr w:rsidR="009867E7" w14:paraId="382C81CE" w14:textId="77777777" w:rsidTr="007C520D">
        <w:tc>
          <w:tcPr>
            <w:cnfStyle w:val="001000000000" w:firstRow="0" w:lastRow="0" w:firstColumn="1" w:lastColumn="0" w:oddVBand="0" w:evenVBand="0" w:oddHBand="0" w:evenHBand="0" w:firstRowFirstColumn="0" w:firstRowLastColumn="0" w:lastRowFirstColumn="0" w:lastRowLastColumn="0"/>
            <w:tcW w:w="2362" w:type="dxa"/>
          </w:tcPr>
          <w:p w14:paraId="6726D1D4" w14:textId="77777777" w:rsidR="009867E7" w:rsidRPr="00300C59" w:rsidRDefault="009867E7" w:rsidP="007C520D">
            <w:pPr>
              <w:keepNext/>
              <w:widowControl w:val="0"/>
              <w:spacing w:after="0" w:line="240" w:lineRule="auto"/>
              <w:rPr>
                <w:b w:val="0"/>
                <w:sz w:val="20"/>
                <w:szCs w:val="24"/>
              </w:rPr>
            </w:pPr>
            <w:r w:rsidRPr="00300C59">
              <w:rPr>
                <w:b w:val="0"/>
                <w:sz w:val="20"/>
              </w:rPr>
              <w:t>Asian</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574C991E" w14:textId="77777777" w:rsidR="009867E7" w:rsidRPr="00300C59" w:rsidRDefault="009867E7" w:rsidP="007C520D">
            <w:pPr>
              <w:keepNext/>
              <w:widowControl w:val="0"/>
              <w:spacing w:after="0" w:line="240" w:lineRule="auto"/>
              <w:jc w:val="center"/>
              <w:rPr>
                <w:bCs/>
                <w:sz w:val="20"/>
              </w:rPr>
            </w:pPr>
            <w:r w:rsidRPr="00300C59">
              <w:rPr>
                <w:bCs/>
                <w:sz w:val="20"/>
              </w:rPr>
              <w:t>73.9%</w:t>
            </w:r>
          </w:p>
        </w:tc>
        <w:tc>
          <w:tcPr>
            <w:tcW w:w="1741" w:type="dxa"/>
            <w:vAlign w:val="center"/>
          </w:tcPr>
          <w:p w14:paraId="309AEB57"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sz w:val="20"/>
              </w:rPr>
            </w:pPr>
            <w:r w:rsidRPr="00300C59">
              <w:rPr>
                <w:bCs/>
                <w:sz w:val="20"/>
              </w:rPr>
              <w:t>14.5%</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42434178" w14:textId="77777777" w:rsidR="009867E7" w:rsidRPr="00300C59" w:rsidRDefault="009867E7" w:rsidP="007C520D">
            <w:pPr>
              <w:keepNext/>
              <w:widowControl w:val="0"/>
              <w:spacing w:after="0" w:line="240" w:lineRule="auto"/>
              <w:jc w:val="center"/>
              <w:rPr>
                <w:bCs/>
                <w:sz w:val="20"/>
              </w:rPr>
            </w:pPr>
            <w:r w:rsidRPr="00300C59">
              <w:rPr>
                <w:bCs/>
                <w:sz w:val="20"/>
              </w:rPr>
              <w:t>11.7%</w:t>
            </w:r>
          </w:p>
        </w:tc>
        <w:tc>
          <w:tcPr>
            <w:tcW w:w="1762" w:type="dxa"/>
          </w:tcPr>
          <w:p w14:paraId="293382C5"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Cs/>
                <w:sz w:val="20"/>
              </w:rPr>
            </w:pPr>
          </w:p>
        </w:tc>
      </w:tr>
      <w:tr w:rsidR="009867E7" w14:paraId="055212C0" w14:textId="77777777" w:rsidTr="007C520D">
        <w:tc>
          <w:tcPr>
            <w:cnfStyle w:val="001000000000" w:firstRow="0" w:lastRow="0" w:firstColumn="1" w:lastColumn="0" w:oddVBand="0" w:evenVBand="0" w:oddHBand="0" w:evenHBand="0" w:firstRowFirstColumn="0" w:firstRowLastColumn="0" w:lastRowFirstColumn="0" w:lastRowLastColumn="0"/>
            <w:tcW w:w="2362" w:type="dxa"/>
          </w:tcPr>
          <w:p w14:paraId="1E7C8531" w14:textId="77777777" w:rsidR="009867E7" w:rsidRPr="00300C59" w:rsidRDefault="009867E7" w:rsidP="007C520D">
            <w:pPr>
              <w:keepNext/>
              <w:widowControl w:val="0"/>
              <w:spacing w:after="0" w:line="240" w:lineRule="auto"/>
              <w:rPr>
                <w:b w:val="0"/>
                <w:sz w:val="20"/>
                <w:szCs w:val="24"/>
              </w:rPr>
            </w:pPr>
            <w:r w:rsidRPr="00300C59">
              <w:rPr>
                <w:b w:val="0"/>
                <w:sz w:val="20"/>
              </w:rPr>
              <w:t>American Indian, Alaska Native</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2A0E7BF9" w14:textId="77777777" w:rsidR="009867E7" w:rsidRPr="00300C59" w:rsidRDefault="009867E7" w:rsidP="007C520D">
            <w:pPr>
              <w:keepNext/>
              <w:widowControl w:val="0"/>
              <w:spacing w:after="0" w:line="240" w:lineRule="auto"/>
              <w:jc w:val="center"/>
              <w:rPr>
                <w:bCs/>
                <w:sz w:val="20"/>
              </w:rPr>
            </w:pPr>
            <w:r w:rsidRPr="00300C59">
              <w:rPr>
                <w:bCs/>
                <w:sz w:val="20"/>
              </w:rPr>
              <w:t>70.5%</w:t>
            </w:r>
          </w:p>
        </w:tc>
        <w:tc>
          <w:tcPr>
            <w:tcW w:w="1741" w:type="dxa"/>
            <w:vAlign w:val="center"/>
          </w:tcPr>
          <w:p w14:paraId="08B6CAC3"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sz w:val="20"/>
              </w:rPr>
            </w:pPr>
            <w:r w:rsidRPr="00300C59">
              <w:rPr>
                <w:bCs/>
                <w:sz w:val="20"/>
              </w:rPr>
              <w:t>16.0%</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678D635E" w14:textId="77777777" w:rsidR="009867E7" w:rsidRPr="00300C59" w:rsidRDefault="009867E7" w:rsidP="007C520D">
            <w:pPr>
              <w:keepNext/>
              <w:widowControl w:val="0"/>
              <w:spacing w:after="0" w:line="240" w:lineRule="auto"/>
              <w:jc w:val="center"/>
              <w:rPr>
                <w:bCs/>
                <w:sz w:val="20"/>
              </w:rPr>
            </w:pPr>
            <w:r w:rsidRPr="00300C59">
              <w:rPr>
                <w:bCs/>
                <w:sz w:val="20"/>
              </w:rPr>
              <w:t>13.5%</w:t>
            </w:r>
          </w:p>
        </w:tc>
        <w:tc>
          <w:tcPr>
            <w:tcW w:w="1762" w:type="dxa"/>
          </w:tcPr>
          <w:p w14:paraId="362A06C2"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Cs/>
                <w:sz w:val="20"/>
              </w:rPr>
            </w:pPr>
          </w:p>
        </w:tc>
      </w:tr>
      <w:tr w:rsidR="009867E7" w14:paraId="0F1E9AA2" w14:textId="77777777" w:rsidTr="007C520D">
        <w:tc>
          <w:tcPr>
            <w:cnfStyle w:val="001000000000" w:firstRow="0" w:lastRow="0" w:firstColumn="1" w:lastColumn="0" w:oddVBand="0" w:evenVBand="0" w:oddHBand="0" w:evenHBand="0" w:firstRowFirstColumn="0" w:firstRowLastColumn="0" w:lastRowFirstColumn="0" w:lastRowLastColumn="0"/>
            <w:tcW w:w="2362" w:type="dxa"/>
          </w:tcPr>
          <w:p w14:paraId="38A61429" w14:textId="77777777" w:rsidR="009867E7" w:rsidRPr="00300C59" w:rsidRDefault="009867E7" w:rsidP="007C520D">
            <w:pPr>
              <w:keepNext/>
              <w:widowControl w:val="0"/>
              <w:spacing w:after="0" w:line="240" w:lineRule="auto"/>
              <w:rPr>
                <w:b w:val="0"/>
                <w:sz w:val="20"/>
                <w:szCs w:val="24"/>
              </w:rPr>
            </w:pPr>
            <w:r w:rsidRPr="00300C59">
              <w:rPr>
                <w:b w:val="0"/>
                <w:sz w:val="20"/>
              </w:rPr>
              <w:t>Pacific Islander</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56603C83" w14:textId="77777777" w:rsidR="009867E7" w:rsidRPr="00300C59" w:rsidRDefault="009867E7" w:rsidP="007C520D">
            <w:pPr>
              <w:keepNext/>
              <w:widowControl w:val="0"/>
              <w:spacing w:after="0" w:line="240" w:lineRule="auto"/>
              <w:jc w:val="center"/>
              <w:rPr>
                <w:bCs/>
                <w:sz w:val="20"/>
              </w:rPr>
            </w:pPr>
            <w:r w:rsidRPr="00300C59">
              <w:rPr>
                <w:bCs/>
                <w:sz w:val="20"/>
              </w:rPr>
              <w:t>55.8%</w:t>
            </w:r>
          </w:p>
        </w:tc>
        <w:tc>
          <w:tcPr>
            <w:tcW w:w="1741" w:type="dxa"/>
            <w:vAlign w:val="center"/>
          </w:tcPr>
          <w:p w14:paraId="44FE62B4"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sz w:val="20"/>
              </w:rPr>
            </w:pPr>
            <w:r w:rsidRPr="00300C59">
              <w:rPr>
                <w:bCs/>
                <w:sz w:val="20"/>
              </w:rPr>
              <w:t>23.4%</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6E1D698E" w14:textId="77777777" w:rsidR="009867E7" w:rsidRPr="00300C59" w:rsidRDefault="009867E7" w:rsidP="007C520D">
            <w:pPr>
              <w:keepNext/>
              <w:widowControl w:val="0"/>
              <w:spacing w:after="0" w:line="240" w:lineRule="auto"/>
              <w:jc w:val="center"/>
              <w:rPr>
                <w:b/>
                <w:bCs/>
                <w:sz w:val="20"/>
              </w:rPr>
            </w:pPr>
            <w:r w:rsidRPr="00300C59">
              <w:rPr>
                <w:b/>
                <w:bCs/>
                <w:sz w:val="20"/>
              </w:rPr>
              <w:t>20.8%</w:t>
            </w:r>
          </w:p>
        </w:tc>
        <w:tc>
          <w:tcPr>
            <w:tcW w:w="1762" w:type="dxa"/>
          </w:tcPr>
          <w:p w14:paraId="79676870"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Cs/>
                <w:sz w:val="20"/>
              </w:rPr>
            </w:pPr>
          </w:p>
        </w:tc>
      </w:tr>
      <w:tr w:rsidR="009867E7" w14:paraId="3AEC457F" w14:textId="77777777" w:rsidTr="007C520D">
        <w:tc>
          <w:tcPr>
            <w:cnfStyle w:val="001000000000" w:firstRow="0" w:lastRow="0" w:firstColumn="1" w:lastColumn="0" w:oddVBand="0" w:evenVBand="0" w:oddHBand="0" w:evenHBand="0" w:firstRowFirstColumn="0" w:firstRowLastColumn="0" w:lastRowFirstColumn="0" w:lastRowLastColumn="0"/>
            <w:tcW w:w="2362" w:type="dxa"/>
          </w:tcPr>
          <w:p w14:paraId="241EFBC4" w14:textId="77777777" w:rsidR="009867E7" w:rsidRPr="00300C59" w:rsidRDefault="009867E7" w:rsidP="007C520D">
            <w:pPr>
              <w:keepNext/>
              <w:widowControl w:val="0"/>
              <w:spacing w:after="0" w:line="240" w:lineRule="auto"/>
              <w:rPr>
                <w:b w:val="0"/>
                <w:sz w:val="20"/>
                <w:szCs w:val="24"/>
              </w:rPr>
            </w:pPr>
            <w:r w:rsidRPr="00300C59">
              <w:rPr>
                <w:b w:val="0"/>
                <w:sz w:val="20"/>
              </w:rPr>
              <w:t>Hispanic</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53AD498C" w14:textId="77777777" w:rsidR="009867E7" w:rsidRPr="00300C59" w:rsidRDefault="009867E7" w:rsidP="007C520D">
            <w:pPr>
              <w:keepNext/>
              <w:widowControl w:val="0"/>
              <w:spacing w:after="0" w:line="240" w:lineRule="auto"/>
              <w:jc w:val="center"/>
              <w:rPr>
                <w:bCs/>
                <w:sz w:val="20"/>
              </w:rPr>
            </w:pPr>
            <w:r w:rsidRPr="00300C59">
              <w:rPr>
                <w:bCs/>
                <w:sz w:val="20"/>
              </w:rPr>
              <w:t>65.8%</w:t>
            </w:r>
          </w:p>
        </w:tc>
        <w:tc>
          <w:tcPr>
            <w:tcW w:w="1741" w:type="dxa"/>
            <w:vAlign w:val="center"/>
          </w:tcPr>
          <w:p w14:paraId="39EB544E" w14:textId="77777777" w:rsidR="009867E7" w:rsidRPr="00300C59" w:rsidRDefault="009867E7"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Cs/>
                <w:sz w:val="20"/>
              </w:rPr>
            </w:pPr>
            <w:r w:rsidRPr="00300C59">
              <w:rPr>
                <w:bCs/>
                <w:sz w:val="20"/>
              </w:rPr>
              <w:t>20.0%</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140E0303" w14:textId="77777777" w:rsidR="009867E7" w:rsidRPr="00300C59" w:rsidRDefault="009867E7" w:rsidP="007C520D">
            <w:pPr>
              <w:keepNext/>
              <w:widowControl w:val="0"/>
              <w:spacing w:after="0" w:line="240" w:lineRule="auto"/>
              <w:jc w:val="center"/>
              <w:rPr>
                <w:bCs/>
                <w:sz w:val="20"/>
              </w:rPr>
            </w:pPr>
            <w:r w:rsidRPr="00300C59">
              <w:rPr>
                <w:bCs/>
                <w:sz w:val="20"/>
              </w:rPr>
              <w:t>14.2%</w:t>
            </w:r>
          </w:p>
        </w:tc>
        <w:tc>
          <w:tcPr>
            <w:tcW w:w="1762" w:type="dxa"/>
          </w:tcPr>
          <w:p w14:paraId="78965949" w14:textId="77777777" w:rsidR="009867E7" w:rsidRPr="00300C59" w:rsidRDefault="009867E7"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Cs/>
                <w:sz w:val="20"/>
              </w:rPr>
            </w:pPr>
          </w:p>
        </w:tc>
      </w:tr>
      <w:tr w:rsidR="009867E7" w14:paraId="196AE6DA"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1532FC45" w14:textId="77777777" w:rsidR="009867E7" w:rsidRPr="00300C59" w:rsidRDefault="009867E7" w:rsidP="007C520D">
            <w:pPr>
              <w:keepNext/>
              <w:widowControl w:val="0"/>
              <w:spacing w:after="0" w:line="240" w:lineRule="auto"/>
              <w:rPr>
                <w:b w:val="0"/>
                <w:sz w:val="20"/>
                <w:szCs w:val="24"/>
              </w:rPr>
            </w:pPr>
            <w:r w:rsidRPr="00300C59">
              <w:rPr>
                <w:b w:val="0"/>
                <w:sz w:val="20"/>
              </w:rPr>
              <w:t>Kansas as a whole</w:t>
            </w:r>
          </w:p>
        </w:tc>
        <w:tc>
          <w:tcPr>
            <w:cnfStyle w:val="000010000000" w:firstRow="0" w:lastRow="0" w:firstColumn="0" w:lastColumn="0" w:oddVBand="1" w:evenVBand="0" w:oddHBand="0" w:evenHBand="0" w:firstRowFirstColumn="0" w:firstRowLastColumn="0" w:lastRowFirstColumn="0" w:lastRowLastColumn="0"/>
            <w:tcW w:w="1745" w:type="dxa"/>
            <w:vAlign w:val="center"/>
          </w:tcPr>
          <w:p w14:paraId="6004A274" w14:textId="77777777" w:rsidR="009867E7" w:rsidRPr="00300C59" w:rsidRDefault="009867E7" w:rsidP="007C520D">
            <w:pPr>
              <w:keepNext/>
              <w:widowControl w:val="0"/>
              <w:spacing w:after="0" w:line="240" w:lineRule="auto"/>
              <w:jc w:val="center"/>
              <w:rPr>
                <w:b w:val="0"/>
                <w:bCs w:val="0"/>
                <w:sz w:val="20"/>
              </w:rPr>
            </w:pPr>
            <w:r w:rsidRPr="00300C59">
              <w:rPr>
                <w:b w:val="0"/>
                <w:bCs w:val="0"/>
                <w:sz w:val="20"/>
              </w:rPr>
              <w:t>74.4%</w:t>
            </w:r>
          </w:p>
        </w:tc>
        <w:tc>
          <w:tcPr>
            <w:tcW w:w="1741" w:type="dxa"/>
            <w:vAlign w:val="center"/>
          </w:tcPr>
          <w:p w14:paraId="2CD92F9B" w14:textId="77777777" w:rsidR="009867E7" w:rsidRPr="00300C59" w:rsidRDefault="009867E7" w:rsidP="007C520D">
            <w:pPr>
              <w:keepNext/>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b w:val="0"/>
                <w:bCs w:val="0"/>
                <w:sz w:val="20"/>
              </w:rPr>
            </w:pPr>
            <w:r w:rsidRPr="00300C59">
              <w:rPr>
                <w:b w:val="0"/>
                <w:bCs w:val="0"/>
                <w:sz w:val="20"/>
              </w:rPr>
              <w:t>15.0%</w:t>
            </w:r>
          </w:p>
        </w:tc>
        <w:tc>
          <w:tcPr>
            <w:cnfStyle w:val="000010000000" w:firstRow="0" w:lastRow="0" w:firstColumn="0" w:lastColumn="0" w:oddVBand="1" w:evenVBand="0" w:oddHBand="0" w:evenHBand="0" w:firstRowFirstColumn="0" w:firstRowLastColumn="0" w:lastRowFirstColumn="0" w:lastRowLastColumn="0"/>
            <w:tcW w:w="1740" w:type="dxa"/>
            <w:vAlign w:val="center"/>
          </w:tcPr>
          <w:p w14:paraId="230423A1" w14:textId="77777777" w:rsidR="009867E7" w:rsidRPr="00300C59" w:rsidRDefault="009867E7" w:rsidP="007C520D">
            <w:pPr>
              <w:keepNext/>
              <w:widowControl w:val="0"/>
              <w:spacing w:after="0" w:line="240" w:lineRule="auto"/>
              <w:jc w:val="center"/>
              <w:rPr>
                <w:b w:val="0"/>
                <w:bCs w:val="0"/>
                <w:sz w:val="20"/>
              </w:rPr>
            </w:pPr>
            <w:r w:rsidRPr="00300C59">
              <w:rPr>
                <w:b w:val="0"/>
                <w:bCs w:val="0"/>
                <w:sz w:val="20"/>
              </w:rPr>
              <w:t>10.6%</w:t>
            </w:r>
          </w:p>
        </w:tc>
        <w:tc>
          <w:tcPr>
            <w:tcW w:w="1762" w:type="dxa"/>
          </w:tcPr>
          <w:p w14:paraId="70D7948D" w14:textId="77777777" w:rsidR="009867E7" w:rsidRPr="00300C59" w:rsidRDefault="009867E7"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bCs w:val="0"/>
                <w:sz w:val="20"/>
              </w:rPr>
            </w:pPr>
            <w:r w:rsidRPr="00300C59">
              <w:rPr>
                <w:bCs w:val="0"/>
                <w:sz w:val="20"/>
              </w:rPr>
              <w:t>N/A</w:t>
            </w:r>
          </w:p>
        </w:tc>
      </w:tr>
    </w:tbl>
    <w:p w14:paraId="3526F5F7" w14:textId="77777777" w:rsidR="009867E7" w:rsidRDefault="009867E7" w:rsidP="009867E7">
      <w:pPr>
        <w:spacing w:line="240" w:lineRule="auto"/>
        <w:contextualSpacing/>
        <w:jc w:val="both"/>
        <w:rPr>
          <w:vanish/>
        </w:rPr>
      </w:pPr>
      <w:r>
        <w:rPr>
          <w:i/>
          <w:sz w:val="18"/>
          <w:szCs w:val="24"/>
        </w:rPr>
        <w:t>Source: 2009-2013 CHAS</w:t>
      </w:r>
    </w:p>
    <w:p w14:paraId="32B6C41F" w14:textId="77777777" w:rsidR="009867E7" w:rsidRDefault="009867E7" w:rsidP="009867E7">
      <w:pPr>
        <w:spacing w:after="0" w:line="240" w:lineRule="auto"/>
        <w:rPr>
          <w:vanish/>
        </w:rPr>
      </w:pPr>
    </w:p>
    <w:p w14:paraId="288EA65D" w14:textId="77777777" w:rsidR="009867E7" w:rsidRDefault="009867E7" w:rsidP="009867E7">
      <w:pPr>
        <w:spacing w:after="0" w:line="240" w:lineRule="auto"/>
        <w:rPr>
          <w:b/>
          <w:bCs/>
          <w:vanish/>
          <w:sz w:val="16"/>
          <w:szCs w:val="16"/>
        </w:rPr>
      </w:pPr>
    </w:p>
    <w:p w14:paraId="0391141B" w14:textId="77777777" w:rsidR="009867E7" w:rsidRDefault="009867E7" w:rsidP="009867E7">
      <w:pPr>
        <w:rPr>
          <w:rFonts w:cs="Arial"/>
          <w:szCs w:val="26"/>
        </w:rPr>
      </w:pPr>
    </w:p>
    <w:p w14:paraId="6FBD0CDF" w14:textId="77777777" w:rsidR="009867E7" w:rsidRDefault="009867E7" w:rsidP="009867E7">
      <w:pPr>
        <w:spacing w:line="204" w:lineRule="auto"/>
        <w:rPr>
          <w:b/>
          <w:sz w:val="24"/>
          <w:szCs w:val="24"/>
        </w:rPr>
      </w:pPr>
      <w:r>
        <w:rPr>
          <w:b/>
          <w:sz w:val="24"/>
          <w:szCs w:val="24"/>
        </w:rPr>
        <w:t>Discussion</w:t>
      </w:r>
    </w:p>
    <w:p w14:paraId="42A3C8A3" w14:textId="77777777" w:rsidR="009867E7" w:rsidRDefault="009867E7" w:rsidP="009867E7">
      <w:pPr>
        <w:spacing w:line="204" w:lineRule="auto"/>
        <w:rPr>
          <w:sz w:val="24"/>
          <w:szCs w:val="24"/>
        </w:rPr>
      </w:pPr>
      <w:r>
        <w:rPr>
          <w:sz w:val="24"/>
          <w:szCs w:val="24"/>
        </w:rPr>
        <w:t>As noted from the tables above, the following racial/ethnic households experienced severe housing cost burden more than ten percentage points above the rate of the state as a whole:</w:t>
      </w:r>
    </w:p>
    <w:p w14:paraId="2054F859" w14:textId="77777777" w:rsidR="009867E7" w:rsidRDefault="009867E7" w:rsidP="00A121EE">
      <w:pPr>
        <w:pStyle w:val="ListParagraph"/>
        <w:numPr>
          <w:ilvl w:val="0"/>
          <w:numId w:val="33"/>
        </w:numPr>
        <w:spacing w:line="204" w:lineRule="auto"/>
        <w:rPr>
          <w:sz w:val="24"/>
          <w:szCs w:val="24"/>
        </w:rPr>
      </w:pPr>
      <w:r>
        <w:rPr>
          <w:sz w:val="24"/>
          <w:szCs w:val="24"/>
        </w:rPr>
        <w:t>Black/African American</w:t>
      </w:r>
    </w:p>
    <w:p w14:paraId="76C82DB8" w14:textId="77777777" w:rsidR="009867E7" w:rsidRPr="001B4976" w:rsidRDefault="009867E7" w:rsidP="00A121EE">
      <w:pPr>
        <w:pStyle w:val="ListParagraph"/>
        <w:numPr>
          <w:ilvl w:val="0"/>
          <w:numId w:val="33"/>
        </w:numPr>
        <w:spacing w:line="204" w:lineRule="auto"/>
        <w:rPr>
          <w:sz w:val="24"/>
          <w:szCs w:val="24"/>
        </w:rPr>
      </w:pPr>
      <w:r>
        <w:rPr>
          <w:sz w:val="24"/>
          <w:szCs w:val="24"/>
        </w:rPr>
        <w:t>Pacific Islander</w:t>
      </w:r>
    </w:p>
    <w:p w14:paraId="788EDF4E" w14:textId="77777777" w:rsidR="009867E7" w:rsidRDefault="009867E7" w:rsidP="009867E7">
      <w:pPr>
        <w:pStyle w:val="Heading2"/>
        <w:pageBreakBefore/>
        <w:shd w:val="clear" w:color="auto" w:fill="95B3D7" w:themeFill="accent1" w:themeFillTint="99"/>
        <w:rPr>
          <w:rFonts w:ascii="Calibri" w:hAnsi="Calibri"/>
          <w:i w:val="0"/>
        </w:rPr>
      </w:pPr>
      <w:bookmarkStart w:id="28" w:name="_Toc524603014"/>
      <w:r>
        <w:rPr>
          <w:rFonts w:ascii="Calibri" w:hAnsi="Calibri"/>
          <w:i w:val="0"/>
        </w:rPr>
        <w:t>NA-30 Disproportionately Greater Need: Discussion – 91.305 (b)(2)</w:t>
      </w:r>
      <w:bookmarkEnd w:id="28"/>
    </w:p>
    <w:p w14:paraId="1C19B018" w14:textId="77777777" w:rsidR="009867E7" w:rsidRDefault="009867E7" w:rsidP="009867E7">
      <w:pPr>
        <w:rPr>
          <w:b/>
          <w:sz w:val="24"/>
          <w:szCs w:val="24"/>
        </w:rPr>
      </w:pPr>
      <w:r>
        <w:rPr>
          <w:b/>
          <w:sz w:val="24"/>
          <w:szCs w:val="24"/>
        </w:rPr>
        <w:t>Are there any Income categories in which a racial or ethnic group has disproportionately greater need than the needs of that income category as a whole?</w:t>
      </w:r>
    </w:p>
    <w:p w14:paraId="20854CD5" w14:textId="77777777" w:rsidR="009867E7" w:rsidRDefault="009867E7" w:rsidP="009867E7">
      <w:pPr>
        <w:rPr>
          <w:sz w:val="24"/>
          <w:szCs w:val="24"/>
        </w:rPr>
      </w:pPr>
      <w:r>
        <w:rPr>
          <w:sz w:val="24"/>
          <w:szCs w:val="24"/>
        </w:rPr>
        <w:t>The following is an overall summary of the disproportionately greater needs:</w:t>
      </w:r>
    </w:p>
    <w:p w14:paraId="34E13F20" w14:textId="77777777" w:rsidR="009867E7" w:rsidRDefault="009867E7" w:rsidP="009867E7">
      <w:pPr>
        <w:rPr>
          <w:i/>
          <w:sz w:val="24"/>
          <w:szCs w:val="24"/>
        </w:rPr>
      </w:pPr>
      <w:r w:rsidRPr="00B24E17">
        <w:rPr>
          <w:i/>
          <w:sz w:val="24"/>
          <w:szCs w:val="24"/>
        </w:rPr>
        <w:t>Disproportionately Greater Need: Housing Problems</w:t>
      </w:r>
    </w:p>
    <w:p w14:paraId="403F8DDC" w14:textId="77777777" w:rsidR="009867E7" w:rsidRPr="00372BA6" w:rsidRDefault="009867E7" w:rsidP="00A121EE">
      <w:pPr>
        <w:pStyle w:val="ListParagraph"/>
        <w:numPr>
          <w:ilvl w:val="0"/>
          <w:numId w:val="34"/>
        </w:numPr>
        <w:jc w:val="both"/>
        <w:rPr>
          <w:rFonts w:asciiTheme="minorHAnsi" w:hAnsiTheme="minorHAnsi"/>
          <w:sz w:val="24"/>
          <w:szCs w:val="24"/>
        </w:rPr>
      </w:pPr>
      <w:r>
        <w:rPr>
          <w:sz w:val="24"/>
          <w:szCs w:val="24"/>
        </w:rPr>
        <w:t>Pacific Islander: 31-50% AMI and 51-80% AMI</w:t>
      </w:r>
    </w:p>
    <w:p w14:paraId="61320597" w14:textId="77777777" w:rsidR="009867E7" w:rsidRDefault="009867E7" w:rsidP="009867E7">
      <w:pPr>
        <w:rPr>
          <w:i/>
          <w:sz w:val="24"/>
          <w:szCs w:val="24"/>
        </w:rPr>
      </w:pPr>
      <w:r w:rsidRPr="00B24E17">
        <w:rPr>
          <w:i/>
          <w:sz w:val="24"/>
          <w:szCs w:val="24"/>
        </w:rPr>
        <w:t>Disproportionately Greater Need: Severe Housing Problems</w:t>
      </w:r>
    </w:p>
    <w:p w14:paraId="570D556F" w14:textId="77777777" w:rsidR="009867E7" w:rsidRPr="00962D8C" w:rsidRDefault="009867E7" w:rsidP="00A121EE">
      <w:pPr>
        <w:pStyle w:val="ListParagraph"/>
        <w:numPr>
          <w:ilvl w:val="0"/>
          <w:numId w:val="5"/>
        </w:numPr>
        <w:jc w:val="both"/>
        <w:rPr>
          <w:rFonts w:asciiTheme="minorHAnsi" w:hAnsiTheme="minorHAnsi"/>
          <w:sz w:val="24"/>
          <w:szCs w:val="24"/>
        </w:rPr>
      </w:pPr>
      <w:r w:rsidRPr="00962D8C">
        <w:rPr>
          <w:rFonts w:asciiTheme="minorHAnsi" w:hAnsiTheme="minorHAnsi"/>
          <w:sz w:val="24"/>
          <w:szCs w:val="24"/>
        </w:rPr>
        <w:t>Asian: 51-80% AMI</w:t>
      </w:r>
    </w:p>
    <w:p w14:paraId="35936C86" w14:textId="77777777" w:rsidR="009867E7" w:rsidRPr="00536041" w:rsidRDefault="009867E7" w:rsidP="00A121EE">
      <w:pPr>
        <w:pStyle w:val="ListParagraph"/>
        <w:numPr>
          <w:ilvl w:val="0"/>
          <w:numId w:val="5"/>
        </w:numPr>
        <w:jc w:val="both"/>
        <w:rPr>
          <w:rFonts w:asciiTheme="minorHAnsi" w:hAnsiTheme="minorHAnsi"/>
          <w:sz w:val="24"/>
          <w:szCs w:val="24"/>
        </w:rPr>
      </w:pPr>
      <w:r w:rsidRPr="00962D8C">
        <w:rPr>
          <w:sz w:val="24"/>
          <w:szCs w:val="24"/>
        </w:rPr>
        <w:t>Pacific Islander: 0-30% AMI</w:t>
      </w:r>
    </w:p>
    <w:p w14:paraId="73B72B6A" w14:textId="77777777" w:rsidR="009867E7" w:rsidRDefault="009867E7" w:rsidP="009867E7">
      <w:pPr>
        <w:rPr>
          <w:i/>
          <w:sz w:val="24"/>
          <w:szCs w:val="24"/>
        </w:rPr>
      </w:pPr>
      <w:r w:rsidRPr="00B24E17">
        <w:rPr>
          <w:i/>
          <w:sz w:val="24"/>
          <w:szCs w:val="24"/>
        </w:rPr>
        <w:t>Disproportionately Greater Need: Housing Cost Burdens</w:t>
      </w:r>
    </w:p>
    <w:p w14:paraId="5509806F" w14:textId="77777777" w:rsidR="009867E7" w:rsidRDefault="009867E7" w:rsidP="00A121EE">
      <w:pPr>
        <w:pStyle w:val="ListParagraph"/>
        <w:numPr>
          <w:ilvl w:val="0"/>
          <w:numId w:val="33"/>
        </w:numPr>
        <w:spacing w:line="204" w:lineRule="auto"/>
        <w:rPr>
          <w:sz w:val="24"/>
          <w:szCs w:val="24"/>
        </w:rPr>
      </w:pPr>
      <w:r>
        <w:rPr>
          <w:sz w:val="24"/>
          <w:szCs w:val="24"/>
        </w:rPr>
        <w:t>Black/African American</w:t>
      </w:r>
    </w:p>
    <w:p w14:paraId="68911723" w14:textId="77777777" w:rsidR="009867E7" w:rsidRPr="001B4976" w:rsidRDefault="009867E7" w:rsidP="00A121EE">
      <w:pPr>
        <w:pStyle w:val="ListParagraph"/>
        <w:numPr>
          <w:ilvl w:val="0"/>
          <w:numId w:val="33"/>
        </w:numPr>
        <w:spacing w:line="204" w:lineRule="auto"/>
        <w:rPr>
          <w:sz w:val="24"/>
          <w:szCs w:val="24"/>
        </w:rPr>
      </w:pPr>
      <w:r>
        <w:rPr>
          <w:sz w:val="24"/>
          <w:szCs w:val="24"/>
        </w:rPr>
        <w:t>Pacific Islander</w:t>
      </w:r>
    </w:p>
    <w:p w14:paraId="21317A60" w14:textId="77777777" w:rsidR="009867E7" w:rsidRDefault="009867E7" w:rsidP="009867E7">
      <w:pPr>
        <w:rPr>
          <w:b/>
          <w:sz w:val="24"/>
          <w:szCs w:val="24"/>
        </w:rPr>
      </w:pPr>
      <w:r>
        <w:rPr>
          <w:b/>
          <w:sz w:val="24"/>
          <w:szCs w:val="24"/>
        </w:rPr>
        <w:t>If they have needs not identified above, what are those needs?</w:t>
      </w:r>
    </w:p>
    <w:p w14:paraId="0230747E" w14:textId="77777777" w:rsidR="009867E7" w:rsidRPr="004816FD" w:rsidRDefault="009867E7" w:rsidP="009867E7">
      <w:pPr>
        <w:rPr>
          <w:sz w:val="24"/>
          <w:szCs w:val="24"/>
        </w:rPr>
      </w:pPr>
      <w:r>
        <w:rPr>
          <w:sz w:val="24"/>
          <w:szCs w:val="24"/>
        </w:rPr>
        <w:t xml:space="preserve">All of the known needs were identified through CHAS data, Census data, surveys, and interviews. Most of the needs were previously identified in past Strategic Plans or Analysis of Impediments (AI) to Fair Housing Choice. </w:t>
      </w:r>
    </w:p>
    <w:p w14:paraId="17F1C16B" w14:textId="77777777" w:rsidR="009867E7" w:rsidRDefault="009867E7" w:rsidP="009867E7">
      <w:pPr>
        <w:rPr>
          <w:b/>
          <w:sz w:val="24"/>
          <w:szCs w:val="24"/>
        </w:rPr>
      </w:pPr>
      <w:r>
        <w:rPr>
          <w:b/>
          <w:sz w:val="24"/>
          <w:szCs w:val="24"/>
        </w:rPr>
        <w:t>Are any of those racial or ethnic groups located in specific areas or neighborhoods in your community?</w:t>
      </w:r>
    </w:p>
    <w:p w14:paraId="3095EFD4" w14:textId="77777777" w:rsidR="009867E7" w:rsidRDefault="009867E7" w:rsidP="009867E7">
      <w:pPr>
        <w:rPr>
          <w:i/>
        </w:rPr>
      </w:pPr>
      <w:r>
        <w:rPr>
          <w:sz w:val="24"/>
          <w:szCs w:val="24"/>
        </w:rPr>
        <w:t>This Consolidated Plan is for a State grantee. Kansas is diverse in its racial and ethnic composition in the major cities, and less diverse in the outlying areas. There are numerous areas across Kansas with concentrated populations, including African American, Hispanic, and Asian populations.</w:t>
      </w:r>
    </w:p>
    <w:p w14:paraId="031E6D37" w14:textId="77777777" w:rsidR="009867E7" w:rsidRDefault="009867E7" w:rsidP="009867E7">
      <w:pPr>
        <w:rPr>
          <w:rFonts w:cs="Arial"/>
        </w:rPr>
      </w:pPr>
    </w:p>
    <w:p w14:paraId="41507840" w14:textId="77777777" w:rsidR="009867E7" w:rsidRDefault="009867E7" w:rsidP="009867E7">
      <w:pPr>
        <w:pStyle w:val="Heading2"/>
        <w:pageBreakBefore/>
        <w:rPr>
          <w:rFonts w:ascii="Calibri" w:hAnsi="Calibri"/>
          <w:i w:val="0"/>
        </w:rPr>
        <w:sectPr w:rsidR="009867E7">
          <w:footerReference w:type="default" r:id="rId21"/>
          <w:pgSz w:w="12240" w:h="15840"/>
          <w:pgMar w:top="1440" w:right="1440" w:bottom="1440" w:left="1440" w:header="720" w:footer="720" w:gutter="0"/>
          <w:cols w:space="720"/>
          <w:docGrid w:linePitch="360"/>
        </w:sectPr>
      </w:pPr>
      <w:bookmarkStart w:id="29" w:name="_Toc309810478"/>
    </w:p>
    <w:bookmarkEnd w:id="29"/>
    <w:p w14:paraId="4721FB9B" w14:textId="77777777" w:rsidR="009867E7" w:rsidRDefault="009867E7" w:rsidP="009867E7">
      <w:pPr>
        <w:pStyle w:val="Heading2"/>
        <w:pageBreakBefore/>
        <w:rPr>
          <w:rFonts w:ascii="Calibri" w:hAnsi="Calibri"/>
          <w:i w:val="0"/>
        </w:rPr>
        <w:sectPr w:rsidR="009867E7">
          <w:pgSz w:w="12240" w:h="15840"/>
          <w:pgMar w:top="1440" w:right="1440" w:bottom="1440" w:left="1440" w:header="720" w:footer="720" w:gutter="0"/>
          <w:cols w:space="720"/>
          <w:docGrid w:linePitch="360"/>
        </w:sectPr>
      </w:pPr>
    </w:p>
    <w:p w14:paraId="7DBE374E" w14:textId="77777777" w:rsidR="009867E7" w:rsidRDefault="009867E7" w:rsidP="009867E7">
      <w:pPr>
        <w:pStyle w:val="Heading2"/>
        <w:pageBreakBefore/>
        <w:shd w:val="clear" w:color="auto" w:fill="95B3D7" w:themeFill="accent1" w:themeFillTint="99"/>
        <w:rPr>
          <w:rFonts w:ascii="Calibri" w:hAnsi="Calibri"/>
          <w:i w:val="0"/>
        </w:rPr>
      </w:pPr>
      <w:bookmarkStart w:id="30" w:name="_Toc524603015"/>
      <w:r>
        <w:rPr>
          <w:rFonts w:ascii="Calibri" w:hAnsi="Calibri"/>
          <w:i w:val="0"/>
        </w:rPr>
        <w:t>NA-40 Homeless Needs Assessment – 91.305(c)</w:t>
      </w:r>
      <w:bookmarkEnd w:id="30"/>
    </w:p>
    <w:p w14:paraId="055CAEEA" w14:textId="77777777" w:rsidR="009867E7" w:rsidRDefault="009867E7" w:rsidP="009867E7">
      <w:pPr>
        <w:spacing w:line="204" w:lineRule="auto"/>
        <w:rPr>
          <w:b/>
          <w:sz w:val="24"/>
          <w:szCs w:val="24"/>
        </w:rPr>
      </w:pPr>
      <w:r>
        <w:rPr>
          <w:b/>
          <w:sz w:val="24"/>
          <w:szCs w:val="24"/>
        </w:rPr>
        <w:t>Introduction:</w:t>
      </w:r>
    </w:p>
    <w:p w14:paraId="4FAEF8FC" w14:textId="77777777" w:rsidR="009867E7" w:rsidRPr="000A1666" w:rsidRDefault="009867E7" w:rsidP="009867E7">
      <w:pPr>
        <w:rPr>
          <w:rFonts w:asciiTheme="minorHAnsi" w:hAnsiTheme="minorHAnsi" w:cstheme="minorHAnsi"/>
          <w:sz w:val="24"/>
          <w:szCs w:val="24"/>
        </w:rPr>
      </w:pPr>
      <w:r w:rsidRPr="000A1666">
        <w:rPr>
          <w:rFonts w:asciiTheme="minorHAnsi" w:hAnsiTheme="minorHAnsi" w:cstheme="minorHAnsi"/>
          <w:sz w:val="24"/>
          <w:szCs w:val="24"/>
        </w:rPr>
        <w:t xml:space="preserve">According to the 2017 Point-In-Time (PIT) Count for the Balance of State (BoS) Continuum of Care (CoC), there are as many as 1,037 individuals experiencing homelessness on any given night. Of those, 895 are sheltered and 142 are unsheltered. Of individuals experiencing homelessness in the Balance of State CoC, 93 are chronically homeless, 78 are veterans, 8 are persons with HIV/AIDS, 181 are severely mentally ill, and 244 are suffering from chronic substance abuse. The Homeless Management Information System (HMIS) from which this data is derived may count one person within multiple categories. </w:t>
      </w:r>
    </w:p>
    <w:tbl>
      <w:tblPr>
        <w:tblStyle w:val="TableGrid"/>
        <w:tblW w:w="0" w:type="auto"/>
        <w:tblLook w:val="04A0" w:firstRow="1" w:lastRow="0" w:firstColumn="1" w:lastColumn="0" w:noHBand="0" w:noVBand="1"/>
      </w:tblPr>
      <w:tblGrid>
        <w:gridCol w:w="1320"/>
        <w:gridCol w:w="1320"/>
        <w:gridCol w:w="1319"/>
        <w:gridCol w:w="1319"/>
        <w:gridCol w:w="1319"/>
        <w:gridCol w:w="1319"/>
        <w:gridCol w:w="1319"/>
      </w:tblGrid>
      <w:tr w:rsidR="009867E7" w14:paraId="6048F873" w14:textId="77777777" w:rsidTr="007C520D">
        <w:trPr>
          <w:hidden/>
        </w:trPr>
        <w:tc>
          <w:tcPr>
            <w:tcW w:w="1320" w:type="dxa"/>
          </w:tcPr>
          <w:p w14:paraId="0692BB4F" w14:textId="77777777" w:rsidR="009867E7" w:rsidRDefault="009867E7" w:rsidP="007C520D">
            <w:pPr>
              <w:keepNext/>
              <w:widowControl w:val="0"/>
              <w:spacing w:after="0" w:line="240" w:lineRule="auto"/>
              <w:jc w:val="center"/>
              <w:rPr>
                <w:b/>
                <w:bCs/>
                <w:vanish/>
              </w:rPr>
            </w:pPr>
          </w:p>
        </w:tc>
        <w:tc>
          <w:tcPr>
            <w:tcW w:w="1320" w:type="dxa"/>
          </w:tcPr>
          <w:p w14:paraId="46287E6B" w14:textId="77777777" w:rsidR="009867E7" w:rsidRDefault="009867E7" w:rsidP="007C520D">
            <w:pPr>
              <w:keepNext/>
              <w:widowControl w:val="0"/>
              <w:spacing w:after="0" w:line="240" w:lineRule="auto"/>
              <w:jc w:val="center"/>
              <w:rPr>
                <w:b/>
                <w:bCs/>
                <w:vanish/>
              </w:rPr>
            </w:pPr>
          </w:p>
        </w:tc>
        <w:tc>
          <w:tcPr>
            <w:tcW w:w="1319" w:type="dxa"/>
          </w:tcPr>
          <w:p w14:paraId="1A86BBF8" w14:textId="77777777" w:rsidR="009867E7" w:rsidRDefault="009867E7" w:rsidP="007C520D">
            <w:pPr>
              <w:keepNext/>
              <w:widowControl w:val="0"/>
              <w:spacing w:after="0" w:line="240" w:lineRule="auto"/>
              <w:jc w:val="center"/>
              <w:rPr>
                <w:b/>
                <w:bCs/>
                <w:vanish/>
              </w:rPr>
            </w:pPr>
          </w:p>
        </w:tc>
        <w:tc>
          <w:tcPr>
            <w:tcW w:w="1319" w:type="dxa"/>
          </w:tcPr>
          <w:p w14:paraId="3DE5DE8D" w14:textId="77777777" w:rsidR="009867E7" w:rsidRDefault="009867E7" w:rsidP="007C520D">
            <w:pPr>
              <w:keepNext/>
              <w:widowControl w:val="0"/>
              <w:spacing w:after="0" w:line="240" w:lineRule="auto"/>
              <w:jc w:val="center"/>
              <w:rPr>
                <w:b/>
                <w:bCs/>
                <w:vanish/>
              </w:rPr>
            </w:pPr>
          </w:p>
        </w:tc>
        <w:tc>
          <w:tcPr>
            <w:tcW w:w="1319" w:type="dxa"/>
          </w:tcPr>
          <w:p w14:paraId="3697AFAC" w14:textId="77777777" w:rsidR="009867E7" w:rsidRDefault="009867E7" w:rsidP="007C520D">
            <w:pPr>
              <w:keepNext/>
              <w:widowControl w:val="0"/>
              <w:spacing w:after="0" w:line="240" w:lineRule="auto"/>
              <w:jc w:val="center"/>
              <w:rPr>
                <w:b/>
                <w:bCs/>
                <w:vanish/>
              </w:rPr>
            </w:pPr>
          </w:p>
        </w:tc>
        <w:tc>
          <w:tcPr>
            <w:tcW w:w="1319" w:type="dxa"/>
          </w:tcPr>
          <w:p w14:paraId="743B3B43" w14:textId="77777777" w:rsidR="009867E7" w:rsidRDefault="009867E7" w:rsidP="007C520D">
            <w:pPr>
              <w:keepNext/>
              <w:widowControl w:val="0"/>
              <w:spacing w:after="0" w:line="240" w:lineRule="auto"/>
              <w:jc w:val="center"/>
              <w:rPr>
                <w:b/>
                <w:bCs/>
                <w:vanish/>
              </w:rPr>
            </w:pPr>
          </w:p>
        </w:tc>
        <w:tc>
          <w:tcPr>
            <w:tcW w:w="1319" w:type="dxa"/>
          </w:tcPr>
          <w:p w14:paraId="1F5D7B1E" w14:textId="77777777" w:rsidR="009867E7" w:rsidRDefault="009867E7" w:rsidP="007C520D">
            <w:pPr>
              <w:keepNext/>
              <w:widowControl w:val="0"/>
              <w:spacing w:after="0" w:line="240" w:lineRule="auto"/>
              <w:jc w:val="center"/>
              <w:rPr>
                <w:b/>
                <w:bCs/>
                <w:vanish/>
              </w:rPr>
            </w:pPr>
          </w:p>
        </w:tc>
      </w:tr>
      <w:tr w:rsidR="009867E7" w14:paraId="442DFB88" w14:textId="77777777" w:rsidTr="007C520D">
        <w:trPr>
          <w:hidden/>
        </w:trPr>
        <w:tc>
          <w:tcPr>
            <w:tcW w:w="1320" w:type="dxa"/>
          </w:tcPr>
          <w:p w14:paraId="6A7049B6" w14:textId="77777777" w:rsidR="009867E7" w:rsidRDefault="009867E7" w:rsidP="007C520D">
            <w:pPr>
              <w:keepNext/>
              <w:widowControl w:val="0"/>
              <w:spacing w:after="0" w:line="240" w:lineRule="auto"/>
              <w:jc w:val="center"/>
              <w:rPr>
                <w:b/>
                <w:bCs/>
                <w:vanish/>
              </w:rPr>
            </w:pPr>
          </w:p>
        </w:tc>
        <w:tc>
          <w:tcPr>
            <w:tcW w:w="1320" w:type="dxa"/>
          </w:tcPr>
          <w:p w14:paraId="70C8C792" w14:textId="77777777" w:rsidR="009867E7" w:rsidRDefault="009867E7" w:rsidP="007C520D">
            <w:pPr>
              <w:keepNext/>
              <w:widowControl w:val="0"/>
              <w:spacing w:after="0" w:line="240" w:lineRule="auto"/>
              <w:jc w:val="center"/>
              <w:rPr>
                <w:b/>
                <w:bCs/>
                <w:vanish/>
              </w:rPr>
            </w:pPr>
          </w:p>
        </w:tc>
        <w:tc>
          <w:tcPr>
            <w:tcW w:w="1319" w:type="dxa"/>
          </w:tcPr>
          <w:p w14:paraId="619D20ED" w14:textId="77777777" w:rsidR="009867E7" w:rsidRDefault="009867E7" w:rsidP="007C520D">
            <w:pPr>
              <w:keepNext/>
              <w:widowControl w:val="0"/>
              <w:spacing w:after="0" w:line="240" w:lineRule="auto"/>
              <w:jc w:val="center"/>
              <w:rPr>
                <w:b/>
                <w:bCs/>
                <w:vanish/>
              </w:rPr>
            </w:pPr>
          </w:p>
        </w:tc>
        <w:tc>
          <w:tcPr>
            <w:tcW w:w="1319" w:type="dxa"/>
          </w:tcPr>
          <w:p w14:paraId="64050BB9" w14:textId="77777777" w:rsidR="009867E7" w:rsidRDefault="009867E7" w:rsidP="007C520D">
            <w:pPr>
              <w:keepNext/>
              <w:widowControl w:val="0"/>
              <w:spacing w:after="0" w:line="240" w:lineRule="auto"/>
              <w:jc w:val="center"/>
              <w:rPr>
                <w:b/>
                <w:bCs/>
                <w:vanish/>
              </w:rPr>
            </w:pPr>
          </w:p>
        </w:tc>
        <w:tc>
          <w:tcPr>
            <w:tcW w:w="1319" w:type="dxa"/>
          </w:tcPr>
          <w:p w14:paraId="309F9A11" w14:textId="77777777" w:rsidR="009867E7" w:rsidRDefault="009867E7" w:rsidP="007C520D">
            <w:pPr>
              <w:keepNext/>
              <w:widowControl w:val="0"/>
              <w:spacing w:after="0" w:line="240" w:lineRule="auto"/>
              <w:jc w:val="center"/>
              <w:rPr>
                <w:b/>
                <w:bCs/>
                <w:vanish/>
              </w:rPr>
            </w:pPr>
          </w:p>
        </w:tc>
        <w:tc>
          <w:tcPr>
            <w:tcW w:w="1319" w:type="dxa"/>
          </w:tcPr>
          <w:p w14:paraId="75E63A31" w14:textId="77777777" w:rsidR="009867E7" w:rsidRDefault="009867E7" w:rsidP="007C520D">
            <w:pPr>
              <w:keepNext/>
              <w:widowControl w:val="0"/>
              <w:spacing w:after="0" w:line="240" w:lineRule="auto"/>
              <w:jc w:val="center"/>
              <w:rPr>
                <w:b/>
                <w:bCs/>
                <w:vanish/>
              </w:rPr>
            </w:pPr>
          </w:p>
        </w:tc>
        <w:tc>
          <w:tcPr>
            <w:tcW w:w="1319" w:type="dxa"/>
          </w:tcPr>
          <w:p w14:paraId="1C535699" w14:textId="77777777" w:rsidR="009867E7" w:rsidRDefault="009867E7" w:rsidP="007C520D">
            <w:pPr>
              <w:keepNext/>
              <w:widowControl w:val="0"/>
              <w:spacing w:after="0" w:line="240" w:lineRule="auto"/>
              <w:jc w:val="center"/>
              <w:rPr>
                <w:b/>
                <w:bCs/>
                <w:vanish/>
              </w:rPr>
            </w:pPr>
          </w:p>
        </w:tc>
      </w:tr>
      <w:tr w:rsidR="009867E7" w14:paraId="0D81203D" w14:textId="77777777" w:rsidTr="007C520D">
        <w:trPr>
          <w:hidden/>
        </w:trPr>
        <w:tc>
          <w:tcPr>
            <w:tcW w:w="1320" w:type="dxa"/>
          </w:tcPr>
          <w:p w14:paraId="331762FA" w14:textId="77777777" w:rsidR="009867E7" w:rsidRDefault="009867E7" w:rsidP="007C520D">
            <w:pPr>
              <w:keepNext/>
              <w:widowControl w:val="0"/>
              <w:spacing w:after="0" w:line="240" w:lineRule="auto"/>
              <w:jc w:val="center"/>
              <w:rPr>
                <w:b/>
                <w:bCs/>
                <w:vanish/>
              </w:rPr>
            </w:pPr>
          </w:p>
        </w:tc>
        <w:tc>
          <w:tcPr>
            <w:tcW w:w="1320" w:type="dxa"/>
          </w:tcPr>
          <w:p w14:paraId="233CF11B" w14:textId="77777777" w:rsidR="009867E7" w:rsidRDefault="009867E7" w:rsidP="007C520D">
            <w:pPr>
              <w:keepNext/>
              <w:widowControl w:val="0"/>
              <w:spacing w:after="0" w:line="240" w:lineRule="auto"/>
              <w:jc w:val="center"/>
              <w:rPr>
                <w:b/>
                <w:bCs/>
                <w:vanish/>
              </w:rPr>
            </w:pPr>
          </w:p>
        </w:tc>
        <w:tc>
          <w:tcPr>
            <w:tcW w:w="1319" w:type="dxa"/>
          </w:tcPr>
          <w:p w14:paraId="73FA5BF1" w14:textId="77777777" w:rsidR="009867E7" w:rsidRDefault="009867E7" w:rsidP="007C520D">
            <w:pPr>
              <w:keepNext/>
              <w:widowControl w:val="0"/>
              <w:spacing w:after="0" w:line="240" w:lineRule="auto"/>
              <w:jc w:val="center"/>
              <w:rPr>
                <w:b/>
                <w:bCs/>
                <w:vanish/>
              </w:rPr>
            </w:pPr>
          </w:p>
        </w:tc>
        <w:tc>
          <w:tcPr>
            <w:tcW w:w="1319" w:type="dxa"/>
          </w:tcPr>
          <w:p w14:paraId="66A62329" w14:textId="77777777" w:rsidR="009867E7" w:rsidRDefault="009867E7" w:rsidP="007C520D">
            <w:pPr>
              <w:keepNext/>
              <w:widowControl w:val="0"/>
              <w:spacing w:after="0" w:line="240" w:lineRule="auto"/>
              <w:jc w:val="center"/>
              <w:rPr>
                <w:b/>
                <w:bCs/>
                <w:vanish/>
              </w:rPr>
            </w:pPr>
          </w:p>
        </w:tc>
        <w:tc>
          <w:tcPr>
            <w:tcW w:w="1319" w:type="dxa"/>
          </w:tcPr>
          <w:p w14:paraId="0E9FCA6B" w14:textId="77777777" w:rsidR="009867E7" w:rsidRDefault="009867E7" w:rsidP="007C520D">
            <w:pPr>
              <w:keepNext/>
              <w:widowControl w:val="0"/>
              <w:spacing w:after="0" w:line="240" w:lineRule="auto"/>
              <w:jc w:val="center"/>
              <w:rPr>
                <w:b/>
                <w:bCs/>
                <w:vanish/>
              </w:rPr>
            </w:pPr>
          </w:p>
        </w:tc>
        <w:tc>
          <w:tcPr>
            <w:tcW w:w="1319" w:type="dxa"/>
          </w:tcPr>
          <w:p w14:paraId="23251B47" w14:textId="77777777" w:rsidR="009867E7" w:rsidRDefault="009867E7" w:rsidP="007C520D">
            <w:pPr>
              <w:keepNext/>
              <w:widowControl w:val="0"/>
              <w:spacing w:after="0" w:line="240" w:lineRule="auto"/>
              <w:jc w:val="center"/>
              <w:rPr>
                <w:b/>
                <w:bCs/>
                <w:vanish/>
              </w:rPr>
            </w:pPr>
          </w:p>
        </w:tc>
        <w:tc>
          <w:tcPr>
            <w:tcW w:w="1319" w:type="dxa"/>
          </w:tcPr>
          <w:p w14:paraId="6194334E" w14:textId="77777777" w:rsidR="009867E7" w:rsidRDefault="009867E7" w:rsidP="007C520D">
            <w:pPr>
              <w:keepNext/>
              <w:widowControl w:val="0"/>
              <w:spacing w:after="0" w:line="240" w:lineRule="auto"/>
              <w:jc w:val="center"/>
              <w:rPr>
                <w:b/>
                <w:bCs/>
                <w:vanish/>
              </w:rPr>
            </w:pPr>
          </w:p>
        </w:tc>
      </w:tr>
      <w:tr w:rsidR="009867E7" w14:paraId="57E5E61C" w14:textId="77777777" w:rsidTr="007C520D">
        <w:trPr>
          <w:hidden/>
        </w:trPr>
        <w:tc>
          <w:tcPr>
            <w:tcW w:w="1320" w:type="dxa"/>
          </w:tcPr>
          <w:p w14:paraId="2DBE8307" w14:textId="77777777" w:rsidR="009867E7" w:rsidRDefault="009867E7" w:rsidP="007C520D">
            <w:pPr>
              <w:keepNext/>
              <w:widowControl w:val="0"/>
              <w:spacing w:after="0" w:line="240" w:lineRule="auto"/>
              <w:jc w:val="center"/>
              <w:rPr>
                <w:b/>
                <w:bCs/>
                <w:vanish/>
              </w:rPr>
            </w:pPr>
          </w:p>
        </w:tc>
        <w:tc>
          <w:tcPr>
            <w:tcW w:w="1320" w:type="dxa"/>
          </w:tcPr>
          <w:p w14:paraId="00B5663C" w14:textId="77777777" w:rsidR="009867E7" w:rsidRDefault="009867E7" w:rsidP="007C520D">
            <w:pPr>
              <w:keepNext/>
              <w:widowControl w:val="0"/>
              <w:spacing w:after="0" w:line="240" w:lineRule="auto"/>
              <w:jc w:val="center"/>
              <w:rPr>
                <w:b/>
                <w:bCs/>
                <w:vanish/>
              </w:rPr>
            </w:pPr>
          </w:p>
        </w:tc>
        <w:tc>
          <w:tcPr>
            <w:tcW w:w="1319" w:type="dxa"/>
          </w:tcPr>
          <w:p w14:paraId="4A1FB23C" w14:textId="77777777" w:rsidR="009867E7" w:rsidRDefault="009867E7" w:rsidP="007C520D">
            <w:pPr>
              <w:keepNext/>
              <w:widowControl w:val="0"/>
              <w:spacing w:after="0" w:line="240" w:lineRule="auto"/>
              <w:jc w:val="center"/>
              <w:rPr>
                <w:b/>
                <w:bCs/>
                <w:vanish/>
              </w:rPr>
            </w:pPr>
          </w:p>
        </w:tc>
        <w:tc>
          <w:tcPr>
            <w:tcW w:w="1319" w:type="dxa"/>
          </w:tcPr>
          <w:p w14:paraId="3D05889B" w14:textId="77777777" w:rsidR="009867E7" w:rsidRDefault="009867E7" w:rsidP="007C520D">
            <w:pPr>
              <w:keepNext/>
              <w:widowControl w:val="0"/>
              <w:spacing w:after="0" w:line="240" w:lineRule="auto"/>
              <w:jc w:val="center"/>
              <w:rPr>
                <w:b/>
                <w:bCs/>
                <w:vanish/>
              </w:rPr>
            </w:pPr>
          </w:p>
        </w:tc>
        <w:tc>
          <w:tcPr>
            <w:tcW w:w="1319" w:type="dxa"/>
          </w:tcPr>
          <w:p w14:paraId="18567B53" w14:textId="77777777" w:rsidR="009867E7" w:rsidRDefault="009867E7" w:rsidP="007C520D">
            <w:pPr>
              <w:keepNext/>
              <w:widowControl w:val="0"/>
              <w:spacing w:after="0" w:line="240" w:lineRule="auto"/>
              <w:jc w:val="center"/>
              <w:rPr>
                <w:b/>
                <w:bCs/>
                <w:vanish/>
              </w:rPr>
            </w:pPr>
          </w:p>
        </w:tc>
        <w:tc>
          <w:tcPr>
            <w:tcW w:w="1319" w:type="dxa"/>
          </w:tcPr>
          <w:p w14:paraId="48C5F0E6" w14:textId="77777777" w:rsidR="009867E7" w:rsidRDefault="009867E7" w:rsidP="007C520D">
            <w:pPr>
              <w:keepNext/>
              <w:widowControl w:val="0"/>
              <w:spacing w:after="0" w:line="240" w:lineRule="auto"/>
              <w:jc w:val="center"/>
              <w:rPr>
                <w:b/>
                <w:bCs/>
                <w:vanish/>
              </w:rPr>
            </w:pPr>
          </w:p>
        </w:tc>
        <w:tc>
          <w:tcPr>
            <w:tcW w:w="1319" w:type="dxa"/>
          </w:tcPr>
          <w:p w14:paraId="6CB787E9" w14:textId="77777777" w:rsidR="009867E7" w:rsidRDefault="009867E7" w:rsidP="007C520D">
            <w:pPr>
              <w:keepNext/>
              <w:widowControl w:val="0"/>
              <w:spacing w:after="0" w:line="240" w:lineRule="auto"/>
              <w:jc w:val="center"/>
              <w:rPr>
                <w:b/>
                <w:bCs/>
                <w:vanish/>
              </w:rPr>
            </w:pPr>
          </w:p>
        </w:tc>
      </w:tr>
      <w:tr w:rsidR="009867E7" w14:paraId="39AEEF0A" w14:textId="77777777" w:rsidTr="007C520D">
        <w:trPr>
          <w:hidden/>
        </w:trPr>
        <w:tc>
          <w:tcPr>
            <w:tcW w:w="1320" w:type="dxa"/>
          </w:tcPr>
          <w:p w14:paraId="29B9B2BD" w14:textId="77777777" w:rsidR="009867E7" w:rsidRDefault="009867E7" w:rsidP="007C520D">
            <w:pPr>
              <w:keepNext/>
              <w:widowControl w:val="0"/>
              <w:spacing w:after="0" w:line="240" w:lineRule="auto"/>
              <w:jc w:val="center"/>
              <w:rPr>
                <w:b/>
                <w:bCs/>
                <w:vanish/>
              </w:rPr>
            </w:pPr>
          </w:p>
        </w:tc>
        <w:tc>
          <w:tcPr>
            <w:tcW w:w="1320" w:type="dxa"/>
          </w:tcPr>
          <w:p w14:paraId="540ACC15" w14:textId="77777777" w:rsidR="009867E7" w:rsidRDefault="009867E7" w:rsidP="007C520D">
            <w:pPr>
              <w:keepNext/>
              <w:widowControl w:val="0"/>
              <w:spacing w:after="0" w:line="240" w:lineRule="auto"/>
              <w:jc w:val="center"/>
              <w:rPr>
                <w:b/>
                <w:bCs/>
                <w:vanish/>
              </w:rPr>
            </w:pPr>
          </w:p>
        </w:tc>
        <w:tc>
          <w:tcPr>
            <w:tcW w:w="1319" w:type="dxa"/>
          </w:tcPr>
          <w:p w14:paraId="3D443026" w14:textId="77777777" w:rsidR="009867E7" w:rsidRDefault="009867E7" w:rsidP="007C520D">
            <w:pPr>
              <w:keepNext/>
              <w:widowControl w:val="0"/>
              <w:spacing w:after="0" w:line="240" w:lineRule="auto"/>
              <w:jc w:val="center"/>
              <w:rPr>
                <w:b/>
                <w:bCs/>
                <w:vanish/>
              </w:rPr>
            </w:pPr>
          </w:p>
        </w:tc>
        <w:tc>
          <w:tcPr>
            <w:tcW w:w="1319" w:type="dxa"/>
          </w:tcPr>
          <w:p w14:paraId="7BF7F891" w14:textId="77777777" w:rsidR="009867E7" w:rsidRDefault="009867E7" w:rsidP="007C520D">
            <w:pPr>
              <w:keepNext/>
              <w:widowControl w:val="0"/>
              <w:spacing w:after="0" w:line="240" w:lineRule="auto"/>
              <w:jc w:val="center"/>
              <w:rPr>
                <w:b/>
                <w:bCs/>
                <w:vanish/>
              </w:rPr>
            </w:pPr>
          </w:p>
        </w:tc>
        <w:tc>
          <w:tcPr>
            <w:tcW w:w="1319" w:type="dxa"/>
          </w:tcPr>
          <w:p w14:paraId="7307DFEA" w14:textId="77777777" w:rsidR="009867E7" w:rsidRDefault="009867E7" w:rsidP="007C520D">
            <w:pPr>
              <w:keepNext/>
              <w:widowControl w:val="0"/>
              <w:spacing w:after="0" w:line="240" w:lineRule="auto"/>
              <w:jc w:val="center"/>
              <w:rPr>
                <w:b/>
                <w:bCs/>
                <w:vanish/>
              </w:rPr>
            </w:pPr>
          </w:p>
        </w:tc>
        <w:tc>
          <w:tcPr>
            <w:tcW w:w="1319" w:type="dxa"/>
          </w:tcPr>
          <w:p w14:paraId="1025FCFC" w14:textId="77777777" w:rsidR="009867E7" w:rsidRDefault="009867E7" w:rsidP="007C520D">
            <w:pPr>
              <w:keepNext/>
              <w:widowControl w:val="0"/>
              <w:spacing w:after="0" w:line="240" w:lineRule="auto"/>
              <w:jc w:val="center"/>
              <w:rPr>
                <w:b/>
                <w:bCs/>
                <w:vanish/>
              </w:rPr>
            </w:pPr>
          </w:p>
        </w:tc>
        <w:tc>
          <w:tcPr>
            <w:tcW w:w="1319" w:type="dxa"/>
          </w:tcPr>
          <w:p w14:paraId="1C671575" w14:textId="77777777" w:rsidR="009867E7" w:rsidRDefault="009867E7" w:rsidP="007C520D">
            <w:pPr>
              <w:keepNext/>
              <w:widowControl w:val="0"/>
              <w:spacing w:after="0" w:line="240" w:lineRule="auto"/>
              <w:jc w:val="center"/>
              <w:rPr>
                <w:b/>
                <w:bCs/>
                <w:vanish/>
              </w:rPr>
            </w:pPr>
          </w:p>
        </w:tc>
      </w:tr>
      <w:tr w:rsidR="009867E7" w14:paraId="55754572" w14:textId="77777777" w:rsidTr="007C520D">
        <w:trPr>
          <w:hidden/>
        </w:trPr>
        <w:tc>
          <w:tcPr>
            <w:tcW w:w="1320" w:type="dxa"/>
          </w:tcPr>
          <w:p w14:paraId="07151BB1" w14:textId="77777777" w:rsidR="009867E7" w:rsidRDefault="009867E7" w:rsidP="007C520D">
            <w:pPr>
              <w:keepNext/>
              <w:widowControl w:val="0"/>
              <w:spacing w:after="0" w:line="240" w:lineRule="auto"/>
              <w:jc w:val="center"/>
              <w:rPr>
                <w:b/>
                <w:bCs/>
                <w:vanish/>
              </w:rPr>
            </w:pPr>
          </w:p>
        </w:tc>
        <w:tc>
          <w:tcPr>
            <w:tcW w:w="1320" w:type="dxa"/>
          </w:tcPr>
          <w:p w14:paraId="4FD40C99" w14:textId="77777777" w:rsidR="009867E7" w:rsidRDefault="009867E7" w:rsidP="007C520D">
            <w:pPr>
              <w:keepNext/>
              <w:widowControl w:val="0"/>
              <w:spacing w:after="0" w:line="240" w:lineRule="auto"/>
              <w:jc w:val="center"/>
              <w:rPr>
                <w:b/>
                <w:bCs/>
                <w:vanish/>
              </w:rPr>
            </w:pPr>
          </w:p>
        </w:tc>
        <w:tc>
          <w:tcPr>
            <w:tcW w:w="1319" w:type="dxa"/>
          </w:tcPr>
          <w:p w14:paraId="14F4255F" w14:textId="77777777" w:rsidR="009867E7" w:rsidRDefault="009867E7" w:rsidP="007C520D">
            <w:pPr>
              <w:keepNext/>
              <w:widowControl w:val="0"/>
              <w:spacing w:after="0" w:line="240" w:lineRule="auto"/>
              <w:jc w:val="center"/>
              <w:rPr>
                <w:b/>
                <w:bCs/>
                <w:vanish/>
              </w:rPr>
            </w:pPr>
          </w:p>
        </w:tc>
        <w:tc>
          <w:tcPr>
            <w:tcW w:w="1319" w:type="dxa"/>
          </w:tcPr>
          <w:p w14:paraId="754A748A" w14:textId="77777777" w:rsidR="009867E7" w:rsidRDefault="009867E7" w:rsidP="007C520D">
            <w:pPr>
              <w:keepNext/>
              <w:widowControl w:val="0"/>
              <w:spacing w:after="0" w:line="240" w:lineRule="auto"/>
              <w:jc w:val="center"/>
              <w:rPr>
                <w:b/>
                <w:bCs/>
                <w:vanish/>
              </w:rPr>
            </w:pPr>
          </w:p>
        </w:tc>
        <w:tc>
          <w:tcPr>
            <w:tcW w:w="1319" w:type="dxa"/>
          </w:tcPr>
          <w:p w14:paraId="4465D9D4" w14:textId="77777777" w:rsidR="009867E7" w:rsidRDefault="009867E7" w:rsidP="007C520D">
            <w:pPr>
              <w:keepNext/>
              <w:widowControl w:val="0"/>
              <w:spacing w:after="0" w:line="240" w:lineRule="auto"/>
              <w:jc w:val="center"/>
              <w:rPr>
                <w:b/>
                <w:bCs/>
                <w:vanish/>
              </w:rPr>
            </w:pPr>
          </w:p>
        </w:tc>
        <w:tc>
          <w:tcPr>
            <w:tcW w:w="1319" w:type="dxa"/>
          </w:tcPr>
          <w:p w14:paraId="1262720F" w14:textId="77777777" w:rsidR="009867E7" w:rsidRDefault="009867E7" w:rsidP="007C520D">
            <w:pPr>
              <w:keepNext/>
              <w:widowControl w:val="0"/>
              <w:spacing w:after="0" w:line="240" w:lineRule="auto"/>
              <w:jc w:val="center"/>
              <w:rPr>
                <w:b/>
                <w:bCs/>
                <w:vanish/>
              </w:rPr>
            </w:pPr>
          </w:p>
        </w:tc>
        <w:tc>
          <w:tcPr>
            <w:tcW w:w="1319" w:type="dxa"/>
          </w:tcPr>
          <w:p w14:paraId="65BE6D55" w14:textId="77777777" w:rsidR="009867E7" w:rsidRDefault="009867E7" w:rsidP="007C520D">
            <w:pPr>
              <w:keepNext/>
              <w:widowControl w:val="0"/>
              <w:spacing w:after="0" w:line="240" w:lineRule="auto"/>
              <w:jc w:val="center"/>
              <w:rPr>
                <w:b/>
                <w:bCs/>
                <w:vanish/>
              </w:rPr>
            </w:pPr>
          </w:p>
        </w:tc>
      </w:tr>
      <w:tr w:rsidR="009867E7" w14:paraId="05355884" w14:textId="77777777" w:rsidTr="007C520D">
        <w:trPr>
          <w:hidden/>
        </w:trPr>
        <w:tc>
          <w:tcPr>
            <w:tcW w:w="1320" w:type="dxa"/>
          </w:tcPr>
          <w:p w14:paraId="0EF61204" w14:textId="77777777" w:rsidR="009867E7" w:rsidRDefault="009867E7" w:rsidP="007C520D">
            <w:pPr>
              <w:keepNext/>
              <w:widowControl w:val="0"/>
              <w:spacing w:after="0" w:line="240" w:lineRule="auto"/>
              <w:jc w:val="center"/>
              <w:rPr>
                <w:b/>
                <w:bCs/>
                <w:vanish/>
              </w:rPr>
            </w:pPr>
          </w:p>
        </w:tc>
        <w:tc>
          <w:tcPr>
            <w:tcW w:w="1320" w:type="dxa"/>
          </w:tcPr>
          <w:p w14:paraId="111DD0A3" w14:textId="77777777" w:rsidR="009867E7" w:rsidRDefault="009867E7" w:rsidP="007C520D">
            <w:pPr>
              <w:keepNext/>
              <w:widowControl w:val="0"/>
              <w:spacing w:after="0" w:line="240" w:lineRule="auto"/>
              <w:jc w:val="center"/>
              <w:rPr>
                <w:b/>
                <w:bCs/>
                <w:vanish/>
              </w:rPr>
            </w:pPr>
          </w:p>
        </w:tc>
        <w:tc>
          <w:tcPr>
            <w:tcW w:w="1319" w:type="dxa"/>
          </w:tcPr>
          <w:p w14:paraId="3FD9C4FF" w14:textId="77777777" w:rsidR="009867E7" w:rsidRDefault="009867E7" w:rsidP="007C520D">
            <w:pPr>
              <w:keepNext/>
              <w:widowControl w:val="0"/>
              <w:spacing w:after="0" w:line="240" w:lineRule="auto"/>
              <w:jc w:val="center"/>
              <w:rPr>
                <w:b/>
                <w:bCs/>
                <w:vanish/>
              </w:rPr>
            </w:pPr>
          </w:p>
        </w:tc>
        <w:tc>
          <w:tcPr>
            <w:tcW w:w="1319" w:type="dxa"/>
          </w:tcPr>
          <w:p w14:paraId="206744ED" w14:textId="77777777" w:rsidR="009867E7" w:rsidRDefault="009867E7" w:rsidP="007C520D">
            <w:pPr>
              <w:keepNext/>
              <w:widowControl w:val="0"/>
              <w:spacing w:after="0" w:line="240" w:lineRule="auto"/>
              <w:jc w:val="center"/>
              <w:rPr>
                <w:b/>
                <w:bCs/>
                <w:vanish/>
              </w:rPr>
            </w:pPr>
          </w:p>
        </w:tc>
        <w:tc>
          <w:tcPr>
            <w:tcW w:w="1319" w:type="dxa"/>
          </w:tcPr>
          <w:p w14:paraId="34CC0D38" w14:textId="77777777" w:rsidR="009867E7" w:rsidRDefault="009867E7" w:rsidP="007C520D">
            <w:pPr>
              <w:keepNext/>
              <w:widowControl w:val="0"/>
              <w:spacing w:after="0" w:line="240" w:lineRule="auto"/>
              <w:jc w:val="center"/>
              <w:rPr>
                <w:b/>
                <w:bCs/>
                <w:vanish/>
              </w:rPr>
            </w:pPr>
          </w:p>
        </w:tc>
        <w:tc>
          <w:tcPr>
            <w:tcW w:w="1319" w:type="dxa"/>
          </w:tcPr>
          <w:p w14:paraId="1323DE03" w14:textId="77777777" w:rsidR="009867E7" w:rsidRDefault="009867E7" w:rsidP="007C520D">
            <w:pPr>
              <w:keepNext/>
              <w:widowControl w:val="0"/>
              <w:spacing w:after="0" w:line="240" w:lineRule="auto"/>
              <w:jc w:val="center"/>
              <w:rPr>
                <w:b/>
                <w:bCs/>
                <w:vanish/>
              </w:rPr>
            </w:pPr>
          </w:p>
        </w:tc>
        <w:tc>
          <w:tcPr>
            <w:tcW w:w="1319" w:type="dxa"/>
          </w:tcPr>
          <w:p w14:paraId="6208C333" w14:textId="77777777" w:rsidR="009867E7" w:rsidRDefault="009867E7" w:rsidP="007C520D">
            <w:pPr>
              <w:keepNext/>
              <w:widowControl w:val="0"/>
              <w:spacing w:after="0" w:line="240" w:lineRule="auto"/>
              <w:jc w:val="center"/>
              <w:rPr>
                <w:b/>
                <w:bCs/>
                <w:vanish/>
              </w:rPr>
            </w:pPr>
          </w:p>
        </w:tc>
      </w:tr>
      <w:tr w:rsidR="009867E7" w14:paraId="50CA26CA" w14:textId="77777777" w:rsidTr="007C520D">
        <w:trPr>
          <w:hidden/>
        </w:trPr>
        <w:tc>
          <w:tcPr>
            <w:tcW w:w="1320" w:type="dxa"/>
          </w:tcPr>
          <w:p w14:paraId="6A918363" w14:textId="77777777" w:rsidR="009867E7" w:rsidRDefault="009867E7" w:rsidP="007C520D">
            <w:pPr>
              <w:keepNext/>
              <w:widowControl w:val="0"/>
              <w:spacing w:after="0" w:line="240" w:lineRule="auto"/>
              <w:jc w:val="center"/>
              <w:rPr>
                <w:b/>
                <w:bCs/>
                <w:vanish/>
              </w:rPr>
            </w:pPr>
          </w:p>
        </w:tc>
        <w:tc>
          <w:tcPr>
            <w:tcW w:w="1320" w:type="dxa"/>
          </w:tcPr>
          <w:p w14:paraId="6B6A5916" w14:textId="77777777" w:rsidR="009867E7" w:rsidRDefault="009867E7" w:rsidP="007C520D">
            <w:pPr>
              <w:keepNext/>
              <w:widowControl w:val="0"/>
              <w:spacing w:after="0" w:line="240" w:lineRule="auto"/>
              <w:jc w:val="center"/>
              <w:rPr>
                <w:b/>
                <w:bCs/>
                <w:vanish/>
              </w:rPr>
            </w:pPr>
          </w:p>
        </w:tc>
        <w:tc>
          <w:tcPr>
            <w:tcW w:w="1319" w:type="dxa"/>
          </w:tcPr>
          <w:p w14:paraId="69E87EF3" w14:textId="77777777" w:rsidR="009867E7" w:rsidRDefault="009867E7" w:rsidP="007C520D">
            <w:pPr>
              <w:keepNext/>
              <w:widowControl w:val="0"/>
              <w:spacing w:after="0" w:line="240" w:lineRule="auto"/>
              <w:jc w:val="center"/>
              <w:rPr>
                <w:b/>
                <w:bCs/>
                <w:vanish/>
              </w:rPr>
            </w:pPr>
          </w:p>
        </w:tc>
        <w:tc>
          <w:tcPr>
            <w:tcW w:w="1319" w:type="dxa"/>
          </w:tcPr>
          <w:p w14:paraId="175B2817" w14:textId="77777777" w:rsidR="009867E7" w:rsidRDefault="009867E7" w:rsidP="007C520D">
            <w:pPr>
              <w:keepNext/>
              <w:widowControl w:val="0"/>
              <w:spacing w:after="0" w:line="240" w:lineRule="auto"/>
              <w:jc w:val="center"/>
              <w:rPr>
                <w:b/>
                <w:bCs/>
                <w:vanish/>
              </w:rPr>
            </w:pPr>
          </w:p>
        </w:tc>
        <w:tc>
          <w:tcPr>
            <w:tcW w:w="1319" w:type="dxa"/>
          </w:tcPr>
          <w:p w14:paraId="1F1DBED8" w14:textId="77777777" w:rsidR="009867E7" w:rsidRDefault="009867E7" w:rsidP="007C520D">
            <w:pPr>
              <w:keepNext/>
              <w:widowControl w:val="0"/>
              <w:spacing w:after="0" w:line="240" w:lineRule="auto"/>
              <w:jc w:val="center"/>
              <w:rPr>
                <w:b/>
                <w:bCs/>
                <w:vanish/>
              </w:rPr>
            </w:pPr>
          </w:p>
        </w:tc>
        <w:tc>
          <w:tcPr>
            <w:tcW w:w="1319" w:type="dxa"/>
          </w:tcPr>
          <w:p w14:paraId="532F18B1" w14:textId="77777777" w:rsidR="009867E7" w:rsidRDefault="009867E7" w:rsidP="007C520D">
            <w:pPr>
              <w:keepNext/>
              <w:widowControl w:val="0"/>
              <w:spacing w:after="0" w:line="240" w:lineRule="auto"/>
              <w:jc w:val="center"/>
              <w:rPr>
                <w:b/>
                <w:bCs/>
                <w:vanish/>
              </w:rPr>
            </w:pPr>
          </w:p>
        </w:tc>
        <w:tc>
          <w:tcPr>
            <w:tcW w:w="1319" w:type="dxa"/>
          </w:tcPr>
          <w:p w14:paraId="50D32F4B" w14:textId="77777777" w:rsidR="009867E7" w:rsidRDefault="009867E7" w:rsidP="007C520D">
            <w:pPr>
              <w:keepNext/>
              <w:widowControl w:val="0"/>
              <w:spacing w:after="0" w:line="240" w:lineRule="auto"/>
              <w:jc w:val="center"/>
              <w:rPr>
                <w:b/>
                <w:bCs/>
                <w:vanish/>
              </w:rPr>
            </w:pPr>
          </w:p>
        </w:tc>
      </w:tr>
    </w:tbl>
    <w:p w14:paraId="763EE55A" w14:textId="77777777" w:rsidR="009867E7" w:rsidRDefault="009867E7" w:rsidP="009867E7">
      <w:pPr>
        <w:pStyle w:val="Body"/>
        <w:jc w:val="both"/>
        <w:rPr>
          <w:b/>
          <w:bCs/>
          <w:vanish/>
          <w:sz w:val="16"/>
          <w:szCs w:val="16"/>
        </w:rPr>
      </w:pPr>
      <w:r>
        <w:rPr>
          <w:b/>
          <w:sz w:val="24"/>
          <w:szCs w:val="24"/>
        </w:rPr>
        <w:t>Table 19 – Homeless Needs Assessment</w:t>
      </w:r>
    </w:p>
    <w:p w14:paraId="65F1A2F5" w14:textId="77777777" w:rsidR="009867E7" w:rsidRDefault="009867E7" w:rsidP="009867E7"/>
    <w:tbl>
      <w:tblPr>
        <w:tblStyle w:val="GridTable4-Accent1"/>
        <w:tblW w:w="0" w:type="auto"/>
        <w:tblLayout w:type="fixed"/>
        <w:tblLook w:val="06A0" w:firstRow="1" w:lastRow="0" w:firstColumn="1" w:lastColumn="0" w:noHBand="1" w:noVBand="1"/>
      </w:tblPr>
      <w:tblGrid>
        <w:gridCol w:w="1519"/>
        <w:gridCol w:w="1176"/>
        <w:gridCol w:w="1260"/>
        <w:gridCol w:w="1350"/>
        <w:gridCol w:w="1080"/>
        <w:gridCol w:w="1260"/>
        <w:gridCol w:w="1705"/>
      </w:tblGrid>
      <w:tr w:rsidR="009867E7" w14:paraId="3515BAE8" w14:textId="77777777" w:rsidTr="007C520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9" w:type="dxa"/>
          </w:tcPr>
          <w:p w14:paraId="02057530" w14:textId="77777777" w:rsidR="009867E7" w:rsidRPr="00300C59" w:rsidRDefault="009867E7" w:rsidP="007C520D">
            <w:pPr>
              <w:rPr>
                <w:rFonts w:asciiTheme="minorHAnsi" w:hAnsiTheme="minorHAnsi"/>
                <w:sz w:val="20"/>
                <w:szCs w:val="20"/>
              </w:rPr>
            </w:pPr>
            <w:r w:rsidRPr="00300C59">
              <w:rPr>
                <w:rFonts w:asciiTheme="minorHAnsi" w:hAnsiTheme="minorHAnsi"/>
                <w:sz w:val="20"/>
                <w:szCs w:val="20"/>
              </w:rPr>
              <w:t>Population</w:t>
            </w:r>
          </w:p>
        </w:tc>
        <w:tc>
          <w:tcPr>
            <w:tcW w:w="2436" w:type="dxa"/>
            <w:gridSpan w:val="2"/>
          </w:tcPr>
          <w:p w14:paraId="266D604C" w14:textId="77777777" w:rsidR="009867E7" w:rsidRPr="00300C59" w:rsidRDefault="009867E7"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Estimate the # of persons experiencing homelessness on a given night</w:t>
            </w:r>
          </w:p>
        </w:tc>
        <w:tc>
          <w:tcPr>
            <w:tcW w:w="1350" w:type="dxa"/>
          </w:tcPr>
          <w:p w14:paraId="4D13FD62" w14:textId="77777777" w:rsidR="009867E7" w:rsidRPr="00300C59" w:rsidRDefault="009867E7"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Estimate the # experiencing homelessness each year</w:t>
            </w:r>
          </w:p>
        </w:tc>
        <w:tc>
          <w:tcPr>
            <w:tcW w:w="1080" w:type="dxa"/>
          </w:tcPr>
          <w:p w14:paraId="12EC64CF" w14:textId="77777777" w:rsidR="009867E7" w:rsidRPr="00300C59" w:rsidRDefault="009867E7"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Estimate the # becoming homeless each year</w:t>
            </w:r>
          </w:p>
        </w:tc>
        <w:tc>
          <w:tcPr>
            <w:tcW w:w="1260" w:type="dxa"/>
          </w:tcPr>
          <w:p w14:paraId="11E40243" w14:textId="77777777" w:rsidR="009867E7" w:rsidRPr="00300C59" w:rsidRDefault="009867E7"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Estimate the # exiting homelessness each year</w:t>
            </w:r>
          </w:p>
        </w:tc>
        <w:tc>
          <w:tcPr>
            <w:tcW w:w="1705" w:type="dxa"/>
          </w:tcPr>
          <w:p w14:paraId="73378C7E" w14:textId="77777777" w:rsidR="009867E7" w:rsidRPr="00300C59" w:rsidRDefault="009867E7"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Estimate the # of days persons experience homelessness</w:t>
            </w:r>
          </w:p>
        </w:tc>
      </w:tr>
      <w:tr w:rsidR="009867E7" w14:paraId="2A2ABACA" w14:textId="77777777" w:rsidTr="007C520D">
        <w:trPr>
          <w:trHeight w:val="305"/>
        </w:trPr>
        <w:tc>
          <w:tcPr>
            <w:cnfStyle w:val="001000000000" w:firstRow="0" w:lastRow="0" w:firstColumn="1" w:lastColumn="0" w:oddVBand="0" w:evenVBand="0" w:oddHBand="0" w:evenHBand="0" w:firstRowFirstColumn="0" w:firstRowLastColumn="0" w:lastRowFirstColumn="0" w:lastRowLastColumn="0"/>
            <w:tcW w:w="1519" w:type="dxa"/>
          </w:tcPr>
          <w:p w14:paraId="1DB016F2" w14:textId="77777777" w:rsidR="009867E7" w:rsidRPr="00300C59" w:rsidRDefault="009867E7" w:rsidP="007C520D">
            <w:pPr>
              <w:rPr>
                <w:rFonts w:asciiTheme="minorHAnsi" w:hAnsiTheme="minorHAnsi"/>
                <w:sz w:val="20"/>
                <w:szCs w:val="20"/>
              </w:rPr>
            </w:pPr>
          </w:p>
        </w:tc>
        <w:tc>
          <w:tcPr>
            <w:tcW w:w="1176" w:type="dxa"/>
          </w:tcPr>
          <w:p w14:paraId="076D126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00C59">
              <w:rPr>
                <w:rFonts w:asciiTheme="minorHAnsi" w:hAnsiTheme="minorHAnsi"/>
                <w:b/>
                <w:sz w:val="20"/>
                <w:szCs w:val="20"/>
              </w:rPr>
              <w:t>Sheltered</w:t>
            </w:r>
          </w:p>
        </w:tc>
        <w:tc>
          <w:tcPr>
            <w:tcW w:w="1260" w:type="dxa"/>
          </w:tcPr>
          <w:p w14:paraId="7E673CF3"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00C59">
              <w:rPr>
                <w:rFonts w:asciiTheme="minorHAnsi" w:hAnsiTheme="minorHAnsi"/>
                <w:b/>
                <w:sz w:val="20"/>
                <w:szCs w:val="20"/>
              </w:rPr>
              <w:t>Unsheltered</w:t>
            </w:r>
          </w:p>
        </w:tc>
        <w:tc>
          <w:tcPr>
            <w:tcW w:w="1350" w:type="dxa"/>
          </w:tcPr>
          <w:p w14:paraId="599A2013"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08CD6507"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4AA9752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61FFB760"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6C6A844C"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444C93DA" w14:textId="77777777" w:rsidR="009867E7" w:rsidRPr="00300C59" w:rsidRDefault="009867E7" w:rsidP="007C520D">
            <w:pPr>
              <w:rPr>
                <w:rFonts w:asciiTheme="minorHAnsi" w:hAnsiTheme="minorHAnsi"/>
                <w:b w:val="0"/>
                <w:sz w:val="20"/>
                <w:szCs w:val="20"/>
              </w:rPr>
            </w:pPr>
            <w:r w:rsidRPr="00300C59">
              <w:rPr>
                <w:b w:val="0"/>
                <w:sz w:val="20"/>
                <w:szCs w:val="20"/>
              </w:rPr>
              <w:t>Persons in Households with Adult(s) and Child(ren)</w:t>
            </w:r>
          </w:p>
        </w:tc>
        <w:tc>
          <w:tcPr>
            <w:tcW w:w="1176" w:type="dxa"/>
          </w:tcPr>
          <w:p w14:paraId="48D0DC13"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429</w:t>
            </w:r>
          </w:p>
        </w:tc>
        <w:tc>
          <w:tcPr>
            <w:tcW w:w="1260" w:type="dxa"/>
          </w:tcPr>
          <w:p w14:paraId="0F97A27E"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0</w:t>
            </w:r>
          </w:p>
        </w:tc>
        <w:tc>
          <w:tcPr>
            <w:tcW w:w="1350" w:type="dxa"/>
          </w:tcPr>
          <w:p w14:paraId="47416A3B"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3395249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7BA96F72"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2E256A4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3D0AB215"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4D625065" w14:textId="77777777" w:rsidR="009867E7" w:rsidRPr="00300C59" w:rsidRDefault="009867E7" w:rsidP="007C520D">
            <w:pPr>
              <w:rPr>
                <w:rFonts w:asciiTheme="minorHAnsi" w:hAnsiTheme="minorHAnsi"/>
                <w:b w:val="0"/>
                <w:sz w:val="20"/>
                <w:szCs w:val="20"/>
              </w:rPr>
            </w:pPr>
            <w:r w:rsidRPr="00300C59">
              <w:rPr>
                <w:b w:val="0"/>
                <w:sz w:val="20"/>
                <w:szCs w:val="20"/>
              </w:rPr>
              <w:t>Persons in Households with Only Children</w:t>
            </w:r>
          </w:p>
        </w:tc>
        <w:tc>
          <w:tcPr>
            <w:tcW w:w="1176" w:type="dxa"/>
          </w:tcPr>
          <w:p w14:paraId="4FB30509"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4</w:t>
            </w:r>
          </w:p>
        </w:tc>
        <w:tc>
          <w:tcPr>
            <w:tcW w:w="1260" w:type="dxa"/>
          </w:tcPr>
          <w:p w14:paraId="21D51C03"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0</w:t>
            </w:r>
          </w:p>
        </w:tc>
        <w:tc>
          <w:tcPr>
            <w:tcW w:w="1350" w:type="dxa"/>
          </w:tcPr>
          <w:p w14:paraId="07A06E98"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30BF65FB"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39B820D5"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67D04C4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3EB9B572"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5E5EA040" w14:textId="77777777" w:rsidR="009867E7" w:rsidRPr="00300C59" w:rsidRDefault="009867E7" w:rsidP="007C520D">
            <w:pPr>
              <w:rPr>
                <w:rFonts w:asciiTheme="minorHAnsi" w:hAnsiTheme="minorHAnsi"/>
                <w:b w:val="0"/>
                <w:sz w:val="20"/>
                <w:szCs w:val="20"/>
              </w:rPr>
            </w:pPr>
            <w:r w:rsidRPr="00300C59">
              <w:rPr>
                <w:b w:val="0"/>
                <w:sz w:val="20"/>
                <w:szCs w:val="20"/>
              </w:rPr>
              <w:t>Persons in Households with Only Adults</w:t>
            </w:r>
          </w:p>
        </w:tc>
        <w:tc>
          <w:tcPr>
            <w:tcW w:w="1176" w:type="dxa"/>
          </w:tcPr>
          <w:p w14:paraId="6F36A22C"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462</w:t>
            </w:r>
          </w:p>
        </w:tc>
        <w:tc>
          <w:tcPr>
            <w:tcW w:w="1260" w:type="dxa"/>
          </w:tcPr>
          <w:p w14:paraId="1DF8538B"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142</w:t>
            </w:r>
          </w:p>
        </w:tc>
        <w:tc>
          <w:tcPr>
            <w:tcW w:w="1350" w:type="dxa"/>
          </w:tcPr>
          <w:p w14:paraId="5AA9C227"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3D8A370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7A6DA762"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5BBB625F"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72425413"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7572B592" w14:textId="77777777" w:rsidR="009867E7" w:rsidRPr="00300C59" w:rsidRDefault="009867E7" w:rsidP="007C520D">
            <w:pPr>
              <w:rPr>
                <w:rFonts w:asciiTheme="minorHAnsi" w:hAnsiTheme="minorHAnsi"/>
                <w:b w:val="0"/>
                <w:sz w:val="20"/>
                <w:szCs w:val="20"/>
              </w:rPr>
            </w:pPr>
            <w:r w:rsidRPr="00300C59">
              <w:rPr>
                <w:b w:val="0"/>
                <w:sz w:val="20"/>
                <w:szCs w:val="20"/>
              </w:rPr>
              <w:t>Chronically Homeless Individuals</w:t>
            </w:r>
          </w:p>
        </w:tc>
        <w:tc>
          <w:tcPr>
            <w:tcW w:w="1176" w:type="dxa"/>
          </w:tcPr>
          <w:p w14:paraId="4CAC961A"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65</w:t>
            </w:r>
          </w:p>
        </w:tc>
        <w:tc>
          <w:tcPr>
            <w:tcW w:w="1260" w:type="dxa"/>
          </w:tcPr>
          <w:p w14:paraId="14074B39"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28</w:t>
            </w:r>
          </w:p>
        </w:tc>
        <w:tc>
          <w:tcPr>
            <w:tcW w:w="1350" w:type="dxa"/>
          </w:tcPr>
          <w:p w14:paraId="76DD9322"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2D627FDB"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36CFBBD1"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5A6510CC"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5E01CE0E"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75A0414E" w14:textId="77777777" w:rsidR="009867E7" w:rsidRPr="00300C59" w:rsidRDefault="009867E7" w:rsidP="007C520D">
            <w:pPr>
              <w:rPr>
                <w:rFonts w:asciiTheme="minorHAnsi" w:hAnsiTheme="minorHAnsi"/>
                <w:b w:val="0"/>
                <w:sz w:val="20"/>
                <w:szCs w:val="20"/>
              </w:rPr>
            </w:pPr>
            <w:r w:rsidRPr="00300C59">
              <w:rPr>
                <w:b w:val="0"/>
                <w:sz w:val="20"/>
                <w:szCs w:val="20"/>
              </w:rPr>
              <w:t>Chronically Homeless Families</w:t>
            </w:r>
          </w:p>
        </w:tc>
        <w:tc>
          <w:tcPr>
            <w:tcW w:w="1176" w:type="dxa"/>
          </w:tcPr>
          <w:p w14:paraId="1FF6367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42</w:t>
            </w:r>
          </w:p>
        </w:tc>
        <w:tc>
          <w:tcPr>
            <w:tcW w:w="1260" w:type="dxa"/>
          </w:tcPr>
          <w:p w14:paraId="439420B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50" w:type="dxa"/>
          </w:tcPr>
          <w:p w14:paraId="24B7C9C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39C47ABC"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41A554EA"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7EB76DF2"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1D05E826"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064AD3B8" w14:textId="77777777" w:rsidR="009867E7" w:rsidRPr="00300C59" w:rsidRDefault="009867E7" w:rsidP="007C520D">
            <w:pPr>
              <w:rPr>
                <w:rFonts w:asciiTheme="minorHAnsi" w:hAnsiTheme="minorHAnsi"/>
                <w:b w:val="0"/>
                <w:sz w:val="20"/>
                <w:szCs w:val="20"/>
              </w:rPr>
            </w:pPr>
            <w:r w:rsidRPr="00300C59">
              <w:rPr>
                <w:rFonts w:asciiTheme="minorHAnsi" w:hAnsiTheme="minorHAnsi"/>
                <w:b w:val="0"/>
                <w:sz w:val="20"/>
                <w:szCs w:val="20"/>
              </w:rPr>
              <w:t>Veterans</w:t>
            </w:r>
          </w:p>
        </w:tc>
        <w:tc>
          <w:tcPr>
            <w:tcW w:w="1176" w:type="dxa"/>
          </w:tcPr>
          <w:p w14:paraId="7FA8EB25"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64</w:t>
            </w:r>
          </w:p>
        </w:tc>
        <w:tc>
          <w:tcPr>
            <w:tcW w:w="1260" w:type="dxa"/>
          </w:tcPr>
          <w:p w14:paraId="0E51D837"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10</w:t>
            </w:r>
          </w:p>
        </w:tc>
        <w:tc>
          <w:tcPr>
            <w:tcW w:w="1350" w:type="dxa"/>
          </w:tcPr>
          <w:p w14:paraId="74E06D80"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60D5B831"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020810D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0A7A9DD7"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58D4B92C"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06A7B644" w14:textId="77777777" w:rsidR="009867E7" w:rsidRPr="00300C59" w:rsidRDefault="009867E7" w:rsidP="007C520D">
            <w:pPr>
              <w:rPr>
                <w:rFonts w:asciiTheme="minorHAnsi" w:hAnsiTheme="minorHAnsi"/>
                <w:b w:val="0"/>
                <w:sz w:val="20"/>
                <w:szCs w:val="20"/>
              </w:rPr>
            </w:pPr>
            <w:r w:rsidRPr="00300C59">
              <w:rPr>
                <w:b w:val="0"/>
                <w:sz w:val="20"/>
                <w:szCs w:val="20"/>
              </w:rPr>
              <w:t>Unaccompanied Child</w:t>
            </w:r>
          </w:p>
        </w:tc>
        <w:tc>
          <w:tcPr>
            <w:tcW w:w="1176" w:type="dxa"/>
          </w:tcPr>
          <w:p w14:paraId="6B080955"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39</w:t>
            </w:r>
          </w:p>
        </w:tc>
        <w:tc>
          <w:tcPr>
            <w:tcW w:w="1260" w:type="dxa"/>
          </w:tcPr>
          <w:p w14:paraId="2E5AF409"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11</w:t>
            </w:r>
          </w:p>
        </w:tc>
        <w:tc>
          <w:tcPr>
            <w:tcW w:w="1350" w:type="dxa"/>
          </w:tcPr>
          <w:p w14:paraId="7250B99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1DEC91CD"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17A224F1"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426FDF42"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39941365"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73D0B0C9" w14:textId="77777777" w:rsidR="009867E7" w:rsidRPr="00300C59" w:rsidRDefault="009867E7" w:rsidP="007C520D">
            <w:pPr>
              <w:rPr>
                <w:rFonts w:asciiTheme="minorHAnsi" w:hAnsiTheme="minorHAnsi"/>
                <w:b w:val="0"/>
                <w:sz w:val="20"/>
                <w:szCs w:val="20"/>
              </w:rPr>
            </w:pPr>
            <w:r w:rsidRPr="00300C59">
              <w:rPr>
                <w:b w:val="0"/>
                <w:sz w:val="20"/>
                <w:szCs w:val="20"/>
              </w:rPr>
              <w:t>Persons with HIV</w:t>
            </w:r>
          </w:p>
        </w:tc>
        <w:tc>
          <w:tcPr>
            <w:tcW w:w="1176" w:type="dxa"/>
          </w:tcPr>
          <w:p w14:paraId="281B0D20"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8</w:t>
            </w:r>
          </w:p>
        </w:tc>
        <w:tc>
          <w:tcPr>
            <w:tcW w:w="1260" w:type="dxa"/>
          </w:tcPr>
          <w:p w14:paraId="30D3531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50" w:type="dxa"/>
          </w:tcPr>
          <w:p w14:paraId="3626E090"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0C81B3EE"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66E06D1A"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4AC66EC3"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33FA1E67"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00B8DA65" w14:textId="77777777" w:rsidR="009867E7" w:rsidRPr="00300C59" w:rsidRDefault="009867E7" w:rsidP="007C520D">
            <w:pPr>
              <w:rPr>
                <w:rFonts w:asciiTheme="minorHAnsi" w:hAnsiTheme="minorHAnsi"/>
                <w:b w:val="0"/>
                <w:sz w:val="20"/>
                <w:szCs w:val="20"/>
              </w:rPr>
            </w:pPr>
            <w:r w:rsidRPr="00300C59">
              <w:rPr>
                <w:b w:val="0"/>
                <w:sz w:val="20"/>
                <w:szCs w:val="20"/>
              </w:rPr>
              <w:t>Severely Mentally Ill</w:t>
            </w:r>
          </w:p>
        </w:tc>
        <w:tc>
          <w:tcPr>
            <w:tcW w:w="1176" w:type="dxa"/>
          </w:tcPr>
          <w:p w14:paraId="4E9EF9DB"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150</w:t>
            </w:r>
          </w:p>
        </w:tc>
        <w:tc>
          <w:tcPr>
            <w:tcW w:w="1260" w:type="dxa"/>
          </w:tcPr>
          <w:p w14:paraId="43E423FF"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31</w:t>
            </w:r>
          </w:p>
        </w:tc>
        <w:tc>
          <w:tcPr>
            <w:tcW w:w="1350" w:type="dxa"/>
          </w:tcPr>
          <w:p w14:paraId="2245BFFC"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68E2F1EC"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6567E098"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5D201CB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61A3505B"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1D6D164F" w14:textId="77777777" w:rsidR="009867E7" w:rsidRPr="00300C59" w:rsidRDefault="009867E7" w:rsidP="007C520D">
            <w:pPr>
              <w:rPr>
                <w:b w:val="0"/>
                <w:sz w:val="20"/>
                <w:szCs w:val="20"/>
              </w:rPr>
            </w:pPr>
            <w:r w:rsidRPr="00300C59">
              <w:rPr>
                <w:b w:val="0"/>
                <w:sz w:val="20"/>
                <w:szCs w:val="20"/>
              </w:rPr>
              <w:t>Chronic Substance Abuse</w:t>
            </w:r>
          </w:p>
        </w:tc>
        <w:tc>
          <w:tcPr>
            <w:tcW w:w="1176" w:type="dxa"/>
          </w:tcPr>
          <w:p w14:paraId="7CFD93B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213</w:t>
            </w:r>
          </w:p>
        </w:tc>
        <w:tc>
          <w:tcPr>
            <w:tcW w:w="1260" w:type="dxa"/>
          </w:tcPr>
          <w:p w14:paraId="2718A41B"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31</w:t>
            </w:r>
          </w:p>
        </w:tc>
        <w:tc>
          <w:tcPr>
            <w:tcW w:w="1350" w:type="dxa"/>
          </w:tcPr>
          <w:p w14:paraId="775C645D"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2E834BB5"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7DFC2568"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4D3411FF"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9867E7" w14:paraId="326F9334" w14:textId="77777777" w:rsidTr="007C520D">
        <w:trPr>
          <w:trHeight w:val="20"/>
        </w:trPr>
        <w:tc>
          <w:tcPr>
            <w:cnfStyle w:val="001000000000" w:firstRow="0" w:lastRow="0" w:firstColumn="1" w:lastColumn="0" w:oddVBand="0" w:evenVBand="0" w:oddHBand="0" w:evenHBand="0" w:firstRowFirstColumn="0" w:firstRowLastColumn="0" w:lastRowFirstColumn="0" w:lastRowLastColumn="0"/>
            <w:tcW w:w="1519" w:type="dxa"/>
          </w:tcPr>
          <w:p w14:paraId="514EA267" w14:textId="77777777" w:rsidR="009867E7" w:rsidRPr="00300C59" w:rsidRDefault="009867E7" w:rsidP="007C520D">
            <w:pPr>
              <w:rPr>
                <w:b w:val="0"/>
                <w:sz w:val="20"/>
                <w:szCs w:val="20"/>
              </w:rPr>
            </w:pPr>
            <w:r w:rsidRPr="00300C59">
              <w:rPr>
                <w:b w:val="0"/>
                <w:sz w:val="20"/>
                <w:szCs w:val="20"/>
              </w:rPr>
              <w:t>Victims of Domestic Violence</w:t>
            </w:r>
          </w:p>
        </w:tc>
        <w:tc>
          <w:tcPr>
            <w:tcW w:w="1176" w:type="dxa"/>
          </w:tcPr>
          <w:p w14:paraId="50B9201C"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00C59">
              <w:rPr>
                <w:rFonts w:asciiTheme="minorHAnsi" w:hAnsiTheme="minorHAnsi"/>
                <w:sz w:val="20"/>
                <w:szCs w:val="20"/>
              </w:rPr>
              <w:t>173</w:t>
            </w:r>
          </w:p>
        </w:tc>
        <w:tc>
          <w:tcPr>
            <w:tcW w:w="1260" w:type="dxa"/>
          </w:tcPr>
          <w:p w14:paraId="6911B214"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50" w:type="dxa"/>
          </w:tcPr>
          <w:p w14:paraId="66E99649"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80" w:type="dxa"/>
          </w:tcPr>
          <w:p w14:paraId="2A375360"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60" w:type="dxa"/>
          </w:tcPr>
          <w:p w14:paraId="27865016"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705" w:type="dxa"/>
          </w:tcPr>
          <w:p w14:paraId="66BB1709" w14:textId="77777777" w:rsidR="009867E7" w:rsidRPr="00300C59" w:rsidRDefault="009867E7"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bl>
    <w:p w14:paraId="7D6F110C" w14:textId="77777777" w:rsidR="009867E7" w:rsidRPr="0058513D" w:rsidRDefault="009867E7" w:rsidP="009867E7">
      <w:pPr>
        <w:rPr>
          <w:rFonts w:asciiTheme="minorHAnsi" w:hAnsiTheme="minorHAnsi"/>
          <w:i/>
          <w:sz w:val="18"/>
        </w:rPr>
      </w:pPr>
      <w:r w:rsidRPr="0058513D">
        <w:rPr>
          <w:rFonts w:asciiTheme="minorHAnsi" w:hAnsiTheme="minorHAnsi"/>
          <w:i/>
          <w:sz w:val="18"/>
        </w:rPr>
        <w:t>Source: Balance of State Continuum of Care, 2017 Point-In-Time Homeless Count</w:t>
      </w:r>
      <w:r>
        <w:rPr>
          <w:rFonts w:asciiTheme="minorHAnsi" w:hAnsiTheme="minorHAnsi"/>
          <w:i/>
          <w:sz w:val="18"/>
        </w:rPr>
        <w:t>, HUD Exchange</w:t>
      </w:r>
    </w:p>
    <w:p w14:paraId="28EDED6D" w14:textId="77777777" w:rsidR="009867E7" w:rsidRDefault="009867E7" w:rsidP="009867E7">
      <w:pPr>
        <w:keepNext/>
        <w:widowControl w:val="0"/>
        <w:spacing w:after="0" w:line="240" w:lineRule="auto"/>
        <w:jc w:val="center"/>
        <w:rPr>
          <w:b/>
          <w:bCs/>
          <w:vanish/>
          <w:sz w:val="20"/>
          <w:szCs w:val="20"/>
        </w:rPr>
      </w:pPr>
    </w:p>
    <w:p w14:paraId="4ABA3002" w14:textId="77777777" w:rsidR="009867E7" w:rsidRDefault="009867E7" w:rsidP="009867E7">
      <w:pPr>
        <w:spacing w:after="0" w:line="240" w:lineRule="auto"/>
        <w:rPr>
          <w:b/>
          <w:bCs/>
          <w:vanish/>
          <w:sz w:val="16"/>
          <w:szCs w:val="16"/>
        </w:rPr>
      </w:pPr>
    </w:p>
    <w:p w14:paraId="63D0AC85" w14:textId="77777777" w:rsidR="009867E7" w:rsidRDefault="009867E7" w:rsidP="009867E7"/>
    <w:p w14:paraId="57774474" w14:textId="77777777" w:rsidR="009867E7" w:rsidRDefault="009867E7" w:rsidP="009867E7">
      <w:pPr>
        <w:rPr>
          <w:b/>
          <w:sz w:val="24"/>
          <w:szCs w:val="24"/>
        </w:rPr>
      </w:pPr>
      <w:r w:rsidRPr="00821F64">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14:paraId="158A03B0" w14:textId="77777777" w:rsidR="009867E7" w:rsidRDefault="009867E7" w:rsidP="009867E7">
      <w:pPr>
        <w:rPr>
          <w:sz w:val="24"/>
          <w:szCs w:val="24"/>
        </w:rPr>
      </w:pPr>
      <w:r>
        <w:rPr>
          <w:sz w:val="24"/>
          <w:szCs w:val="24"/>
        </w:rPr>
        <w:t>Comparing the 2017 PIT count to the 2016 PIT count</w:t>
      </w:r>
      <w:r>
        <w:rPr>
          <w:rStyle w:val="FootnoteReference"/>
          <w:sz w:val="24"/>
          <w:szCs w:val="24"/>
        </w:rPr>
        <w:footnoteReference w:id="1"/>
      </w:r>
      <w:r>
        <w:rPr>
          <w:sz w:val="24"/>
          <w:szCs w:val="24"/>
        </w:rPr>
        <w:t xml:space="preserve">, the number of unsheltered households has increased by nearly threefold, going from 50 homeless households in 2016 to 142 in 2017. The number of households in emergency shelters increased by 153, while the number of households in transitional shelter decreased by 29. The BoS CoC has steadily seen low numbers of unsheltered homeless persons in households with adults and children and unsheltered persons in households with only children; the 2017 PIT count found zero unsheltered persons in households with only children and zero persons in households with adults and children. </w:t>
      </w:r>
    </w:p>
    <w:p w14:paraId="6ABC3FD7" w14:textId="77777777" w:rsidR="009867E7" w:rsidRPr="00F051FE" w:rsidRDefault="009867E7" w:rsidP="009867E7">
      <w:pPr>
        <w:rPr>
          <w:sz w:val="24"/>
          <w:szCs w:val="24"/>
        </w:rPr>
      </w:pPr>
      <w:r>
        <w:rPr>
          <w:sz w:val="24"/>
          <w:szCs w:val="24"/>
        </w:rPr>
        <w:t xml:space="preserve">Similar to other categories, unaccompanied youth (18-24) both sheltered and unsheltered increased between the 2016 and 2017 PIT counts. Veterans experiencing homelessness in 2017 increased from 2016, however those veterans experiencing homelessness are down dramatically from 2014 and 2015. The 2014 PIT count identified 213 veterans (10 unsheltered), 2015 identified 178 veterans (12 unsheltered), 2016 identified 41 veterans (1 unsheltered), and 2017 identified 74 veterans (10 unsheltered). </w:t>
      </w:r>
    </w:p>
    <w:p w14:paraId="52EA1131" w14:textId="77777777" w:rsidR="009867E7" w:rsidRDefault="009867E7" w:rsidP="009867E7">
      <w:pPr>
        <w:pStyle w:val="Body"/>
        <w:jc w:val="both"/>
        <w:rPr>
          <w:sz w:val="24"/>
          <w:szCs w:val="24"/>
        </w:rPr>
      </w:pPr>
      <w:r w:rsidRPr="00F051FE">
        <w:rPr>
          <w:sz w:val="24"/>
          <w:szCs w:val="24"/>
        </w:rPr>
        <w:t xml:space="preserve">The BoS CoC is implementing the </w:t>
      </w:r>
      <w:r>
        <w:rPr>
          <w:sz w:val="24"/>
          <w:szCs w:val="24"/>
        </w:rPr>
        <w:t xml:space="preserve">four </w:t>
      </w:r>
      <w:r w:rsidRPr="00F051FE">
        <w:rPr>
          <w:sz w:val="24"/>
          <w:szCs w:val="24"/>
        </w:rPr>
        <w:t>Projects for Assistance in Transition for Homelessness (PATH) programs to reduce the number of individuals and families experiencing homelessness</w:t>
      </w:r>
      <w:r>
        <w:rPr>
          <w:sz w:val="24"/>
          <w:szCs w:val="24"/>
        </w:rPr>
        <w:t>,</w:t>
      </w:r>
      <w:r w:rsidRPr="00F051FE">
        <w:rPr>
          <w:sz w:val="24"/>
          <w:szCs w:val="24"/>
        </w:rPr>
        <w:t xml:space="preserve"> shorten the length of time indiv</w:t>
      </w:r>
      <w:r>
        <w:rPr>
          <w:sz w:val="24"/>
          <w:szCs w:val="24"/>
        </w:rPr>
        <w:t xml:space="preserve">iduals experience homelessness, and </w:t>
      </w:r>
      <w:r w:rsidRPr="00F051FE">
        <w:rPr>
          <w:sz w:val="24"/>
          <w:szCs w:val="24"/>
        </w:rPr>
        <w:t>reduce the number of individuals returning to homelessness. This program heavily focuses on street outreach and connecting</w:t>
      </w:r>
      <w:r>
        <w:rPr>
          <w:sz w:val="24"/>
          <w:szCs w:val="24"/>
        </w:rPr>
        <w:t xml:space="preserve"> the</w:t>
      </w:r>
      <w:r w:rsidRPr="00F051FE">
        <w:rPr>
          <w:sz w:val="24"/>
          <w:szCs w:val="24"/>
        </w:rPr>
        <w:t xml:space="preserve"> homeless with necessary services.</w:t>
      </w:r>
    </w:p>
    <w:p w14:paraId="52F430EB" w14:textId="77777777" w:rsidR="009867E7" w:rsidRDefault="009867E7" w:rsidP="009867E7">
      <w:pPr>
        <w:pStyle w:val="Body"/>
        <w:jc w:val="both"/>
        <w:rPr>
          <w:b/>
          <w:bCs/>
          <w:vanish/>
          <w:sz w:val="16"/>
          <w:szCs w:val="16"/>
        </w:rPr>
      </w:pPr>
      <w:r>
        <w:rPr>
          <w:b/>
          <w:sz w:val="24"/>
          <w:szCs w:val="24"/>
        </w:rPr>
        <w:t xml:space="preserve">Table 20 – </w:t>
      </w:r>
    </w:p>
    <w:p w14:paraId="7D05901E" w14:textId="77777777" w:rsidR="009867E7" w:rsidRDefault="009867E7" w:rsidP="009867E7">
      <w:pPr>
        <w:keepNext/>
        <w:widowControl w:val="0"/>
        <w:rPr>
          <w:b/>
          <w:sz w:val="24"/>
          <w:szCs w:val="24"/>
        </w:rPr>
      </w:pPr>
      <w:r>
        <w:rPr>
          <w:b/>
          <w:sz w:val="24"/>
          <w:szCs w:val="24"/>
        </w:rPr>
        <w:t>Nature and Extent of Homelessness: (Optional)</w:t>
      </w:r>
    </w:p>
    <w:tbl>
      <w:tblPr>
        <w:tblStyle w:val="GridTable4-Accent1"/>
        <w:tblW w:w="0" w:type="auto"/>
        <w:tblLook w:val="06A0" w:firstRow="1" w:lastRow="0" w:firstColumn="1" w:lastColumn="0" w:noHBand="1" w:noVBand="1"/>
      </w:tblPr>
      <w:tblGrid>
        <w:gridCol w:w="2931"/>
        <w:gridCol w:w="3110"/>
        <w:gridCol w:w="3194"/>
      </w:tblGrid>
      <w:tr w:rsidR="009867E7" w14:paraId="4FDD5A1B"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5976CC8D" w14:textId="77777777" w:rsidR="009867E7" w:rsidRPr="00300C59" w:rsidRDefault="009867E7" w:rsidP="007C520D">
            <w:pPr>
              <w:keepNext/>
              <w:widowControl w:val="0"/>
              <w:rPr>
                <w:b w:val="0"/>
                <w:sz w:val="20"/>
                <w:szCs w:val="24"/>
              </w:rPr>
            </w:pPr>
            <w:r w:rsidRPr="00300C59">
              <w:rPr>
                <w:b w:val="0"/>
                <w:sz w:val="20"/>
                <w:szCs w:val="24"/>
              </w:rPr>
              <w:t>Race</w:t>
            </w:r>
          </w:p>
        </w:tc>
        <w:tc>
          <w:tcPr>
            <w:tcW w:w="3110" w:type="dxa"/>
          </w:tcPr>
          <w:p w14:paraId="3D922E97" w14:textId="77777777" w:rsidR="009867E7" w:rsidRPr="00300C59" w:rsidRDefault="009867E7" w:rsidP="007C520D">
            <w:pPr>
              <w:keepNext/>
              <w:widowControl w:val="0"/>
              <w:cnfStyle w:val="100000000000" w:firstRow="1" w:lastRow="0" w:firstColumn="0" w:lastColumn="0" w:oddVBand="0" w:evenVBand="0" w:oddHBand="0" w:evenHBand="0" w:firstRowFirstColumn="0" w:firstRowLastColumn="0" w:lastRowFirstColumn="0" w:lastRowLastColumn="0"/>
              <w:rPr>
                <w:b w:val="0"/>
                <w:sz w:val="20"/>
                <w:szCs w:val="24"/>
              </w:rPr>
            </w:pPr>
            <w:r w:rsidRPr="00300C59">
              <w:rPr>
                <w:b w:val="0"/>
                <w:sz w:val="20"/>
                <w:szCs w:val="24"/>
              </w:rPr>
              <w:t>Sheltered</w:t>
            </w:r>
          </w:p>
        </w:tc>
        <w:tc>
          <w:tcPr>
            <w:tcW w:w="3194" w:type="dxa"/>
          </w:tcPr>
          <w:p w14:paraId="2C1229E1" w14:textId="77777777" w:rsidR="009867E7" w:rsidRPr="00300C59" w:rsidRDefault="009867E7" w:rsidP="007C520D">
            <w:pPr>
              <w:keepNext/>
              <w:widowControl w:val="0"/>
              <w:cnfStyle w:val="100000000000" w:firstRow="1" w:lastRow="0" w:firstColumn="0" w:lastColumn="0" w:oddVBand="0" w:evenVBand="0" w:oddHBand="0" w:evenHBand="0" w:firstRowFirstColumn="0" w:firstRowLastColumn="0" w:lastRowFirstColumn="0" w:lastRowLastColumn="0"/>
              <w:rPr>
                <w:b w:val="0"/>
                <w:sz w:val="20"/>
                <w:szCs w:val="24"/>
              </w:rPr>
            </w:pPr>
            <w:r w:rsidRPr="00300C59">
              <w:rPr>
                <w:b w:val="0"/>
                <w:sz w:val="20"/>
                <w:szCs w:val="24"/>
              </w:rPr>
              <w:t>Unsheltered (optional)</w:t>
            </w:r>
          </w:p>
        </w:tc>
      </w:tr>
      <w:tr w:rsidR="009867E7" w14:paraId="149AD92E"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79D68E94" w14:textId="77777777" w:rsidR="009867E7" w:rsidRPr="00300C59" w:rsidRDefault="009867E7" w:rsidP="007C520D">
            <w:pPr>
              <w:keepNext/>
              <w:widowControl w:val="0"/>
              <w:rPr>
                <w:b w:val="0"/>
                <w:sz w:val="20"/>
                <w:szCs w:val="24"/>
              </w:rPr>
            </w:pPr>
            <w:r w:rsidRPr="00300C59">
              <w:rPr>
                <w:b w:val="0"/>
                <w:sz w:val="20"/>
                <w:szCs w:val="24"/>
              </w:rPr>
              <w:t>Black or African American</w:t>
            </w:r>
          </w:p>
        </w:tc>
        <w:tc>
          <w:tcPr>
            <w:tcW w:w="3110" w:type="dxa"/>
          </w:tcPr>
          <w:p w14:paraId="3728BCA0"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114</w:t>
            </w:r>
          </w:p>
        </w:tc>
        <w:tc>
          <w:tcPr>
            <w:tcW w:w="3194" w:type="dxa"/>
          </w:tcPr>
          <w:p w14:paraId="30D91F84"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10</w:t>
            </w:r>
          </w:p>
        </w:tc>
      </w:tr>
      <w:tr w:rsidR="009867E7" w14:paraId="48545F3C"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138A8577" w14:textId="77777777" w:rsidR="009867E7" w:rsidRPr="00300C59" w:rsidRDefault="009867E7" w:rsidP="007C520D">
            <w:pPr>
              <w:keepNext/>
              <w:widowControl w:val="0"/>
              <w:rPr>
                <w:b w:val="0"/>
                <w:sz w:val="20"/>
                <w:szCs w:val="24"/>
              </w:rPr>
            </w:pPr>
            <w:r w:rsidRPr="00300C59">
              <w:rPr>
                <w:b w:val="0"/>
                <w:sz w:val="20"/>
                <w:szCs w:val="24"/>
              </w:rPr>
              <w:t>White</w:t>
            </w:r>
          </w:p>
        </w:tc>
        <w:tc>
          <w:tcPr>
            <w:tcW w:w="3110" w:type="dxa"/>
          </w:tcPr>
          <w:p w14:paraId="442EF235"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666</w:t>
            </w:r>
          </w:p>
        </w:tc>
        <w:tc>
          <w:tcPr>
            <w:tcW w:w="3194" w:type="dxa"/>
          </w:tcPr>
          <w:p w14:paraId="580EBC23"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116</w:t>
            </w:r>
          </w:p>
        </w:tc>
      </w:tr>
      <w:tr w:rsidR="009867E7" w14:paraId="73D3CD6D"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67D65670" w14:textId="77777777" w:rsidR="009867E7" w:rsidRPr="00300C59" w:rsidRDefault="009867E7" w:rsidP="007C520D">
            <w:pPr>
              <w:keepNext/>
              <w:widowControl w:val="0"/>
              <w:rPr>
                <w:b w:val="0"/>
                <w:sz w:val="20"/>
                <w:szCs w:val="24"/>
              </w:rPr>
            </w:pPr>
            <w:r w:rsidRPr="00300C59">
              <w:rPr>
                <w:b w:val="0"/>
                <w:sz w:val="20"/>
                <w:szCs w:val="24"/>
              </w:rPr>
              <w:t>Asian</w:t>
            </w:r>
          </w:p>
        </w:tc>
        <w:tc>
          <w:tcPr>
            <w:tcW w:w="3110" w:type="dxa"/>
          </w:tcPr>
          <w:p w14:paraId="24BEF822"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w:t>
            </w:r>
          </w:p>
        </w:tc>
        <w:tc>
          <w:tcPr>
            <w:tcW w:w="3194" w:type="dxa"/>
          </w:tcPr>
          <w:p w14:paraId="4D41E3FA"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2</w:t>
            </w:r>
          </w:p>
        </w:tc>
      </w:tr>
      <w:tr w:rsidR="009867E7" w14:paraId="73D67FF9"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1F7CC61C" w14:textId="77777777" w:rsidR="009867E7" w:rsidRPr="00300C59" w:rsidRDefault="009867E7" w:rsidP="007C520D">
            <w:pPr>
              <w:keepNext/>
              <w:widowControl w:val="0"/>
              <w:rPr>
                <w:b w:val="0"/>
                <w:sz w:val="20"/>
                <w:szCs w:val="24"/>
              </w:rPr>
            </w:pPr>
            <w:r w:rsidRPr="00300C59">
              <w:rPr>
                <w:b w:val="0"/>
                <w:sz w:val="20"/>
                <w:szCs w:val="24"/>
              </w:rPr>
              <w:t>American Indian or Alaska Native</w:t>
            </w:r>
          </w:p>
        </w:tc>
        <w:tc>
          <w:tcPr>
            <w:tcW w:w="3110" w:type="dxa"/>
          </w:tcPr>
          <w:p w14:paraId="10C8EF39"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50</w:t>
            </w:r>
          </w:p>
        </w:tc>
        <w:tc>
          <w:tcPr>
            <w:tcW w:w="3194" w:type="dxa"/>
          </w:tcPr>
          <w:p w14:paraId="078E2963"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0</w:t>
            </w:r>
          </w:p>
        </w:tc>
      </w:tr>
      <w:tr w:rsidR="009867E7" w14:paraId="2678CC4D"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06F85877" w14:textId="77777777" w:rsidR="009867E7" w:rsidRPr="00300C59" w:rsidRDefault="009867E7" w:rsidP="007C520D">
            <w:pPr>
              <w:keepNext/>
              <w:widowControl w:val="0"/>
              <w:rPr>
                <w:b w:val="0"/>
                <w:sz w:val="20"/>
                <w:szCs w:val="24"/>
              </w:rPr>
            </w:pPr>
            <w:r w:rsidRPr="00300C59">
              <w:rPr>
                <w:b w:val="0"/>
                <w:sz w:val="20"/>
                <w:szCs w:val="24"/>
              </w:rPr>
              <w:t>Native Hawaiian or Other Pacific Islander</w:t>
            </w:r>
          </w:p>
        </w:tc>
        <w:tc>
          <w:tcPr>
            <w:tcW w:w="3110" w:type="dxa"/>
          </w:tcPr>
          <w:p w14:paraId="00667B04"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2</w:t>
            </w:r>
          </w:p>
        </w:tc>
        <w:tc>
          <w:tcPr>
            <w:tcW w:w="3194" w:type="dxa"/>
          </w:tcPr>
          <w:p w14:paraId="7689FB40"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6</w:t>
            </w:r>
          </w:p>
        </w:tc>
      </w:tr>
      <w:tr w:rsidR="009867E7" w14:paraId="0AD12C53"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03426631" w14:textId="77777777" w:rsidR="009867E7" w:rsidRPr="00300C59" w:rsidRDefault="009867E7" w:rsidP="007C520D">
            <w:pPr>
              <w:keepNext/>
              <w:widowControl w:val="0"/>
              <w:rPr>
                <w:b w:val="0"/>
                <w:sz w:val="20"/>
                <w:szCs w:val="24"/>
              </w:rPr>
            </w:pPr>
            <w:r w:rsidRPr="00300C59">
              <w:rPr>
                <w:b w:val="0"/>
                <w:sz w:val="20"/>
                <w:szCs w:val="24"/>
              </w:rPr>
              <w:t>Multiple Races</w:t>
            </w:r>
          </w:p>
        </w:tc>
        <w:tc>
          <w:tcPr>
            <w:tcW w:w="3110" w:type="dxa"/>
          </w:tcPr>
          <w:p w14:paraId="25570C77"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62</w:t>
            </w:r>
          </w:p>
        </w:tc>
        <w:tc>
          <w:tcPr>
            <w:tcW w:w="3194" w:type="dxa"/>
          </w:tcPr>
          <w:p w14:paraId="17860096"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8</w:t>
            </w:r>
          </w:p>
        </w:tc>
      </w:tr>
      <w:tr w:rsidR="009867E7" w14:paraId="07C71C34" w14:textId="77777777" w:rsidTr="007C520D">
        <w:tc>
          <w:tcPr>
            <w:cnfStyle w:val="001000000000" w:firstRow="0" w:lastRow="0" w:firstColumn="1" w:lastColumn="0" w:oddVBand="0" w:evenVBand="0" w:oddHBand="0" w:evenHBand="0" w:firstRowFirstColumn="0" w:firstRowLastColumn="0" w:lastRowFirstColumn="0" w:lastRowLastColumn="0"/>
            <w:tcW w:w="2931" w:type="dxa"/>
            <w:shd w:val="clear" w:color="auto" w:fill="4F81BD" w:themeFill="accent1"/>
          </w:tcPr>
          <w:p w14:paraId="159E179D" w14:textId="77777777" w:rsidR="009867E7" w:rsidRPr="00300C59" w:rsidRDefault="009867E7" w:rsidP="007C520D">
            <w:pPr>
              <w:keepNext/>
              <w:widowControl w:val="0"/>
              <w:rPr>
                <w:b w:val="0"/>
                <w:color w:val="FFFFFF" w:themeColor="background1"/>
                <w:sz w:val="20"/>
                <w:szCs w:val="24"/>
              </w:rPr>
            </w:pPr>
            <w:r w:rsidRPr="00300C59">
              <w:rPr>
                <w:b w:val="0"/>
                <w:color w:val="FFFFFF" w:themeColor="background1"/>
                <w:sz w:val="20"/>
                <w:szCs w:val="24"/>
              </w:rPr>
              <w:t>Ethnicity</w:t>
            </w:r>
          </w:p>
        </w:tc>
        <w:tc>
          <w:tcPr>
            <w:tcW w:w="3110" w:type="dxa"/>
            <w:shd w:val="clear" w:color="auto" w:fill="4F81BD" w:themeFill="accent1"/>
          </w:tcPr>
          <w:p w14:paraId="6CFCA2FF"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color w:val="FFFFFF" w:themeColor="background1"/>
                <w:sz w:val="20"/>
                <w:szCs w:val="24"/>
              </w:rPr>
            </w:pPr>
            <w:r w:rsidRPr="00300C59">
              <w:rPr>
                <w:color w:val="FFFFFF" w:themeColor="background1"/>
                <w:sz w:val="20"/>
                <w:szCs w:val="24"/>
              </w:rPr>
              <w:t>Sheltered</w:t>
            </w:r>
          </w:p>
        </w:tc>
        <w:tc>
          <w:tcPr>
            <w:tcW w:w="3194" w:type="dxa"/>
            <w:shd w:val="clear" w:color="auto" w:fill="4F81BD" w:themeFill="accent1"/>
          </w:tcPr>
          <w:p w14:paraId="3305FCFC"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color w:val="FFFFFF" w:themeColor="background1"/>
                <w:sz w:val="20"/>
                <w:szCs w:val="24"/>
              </w:rPr>
            </w:pPr>
            <w:r w:rsidRPr="00300C59">
              <w:rPr>
                <w:color w:val="FFFFFF" w:themeColor="background1"/>
                <w:sz w:val="20"/>
                <w:szCs w:val="24"/>
              </w:rPr>
              <w:t>Unsheltered (optional)</w:t>
            </w:r>
          </w:p>
        </w:tc>
      </w:tr>
      <w:tr w:rsidR="009867E7" w14:paraId="32E2BC87"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7C91A365" w14:textId="77777777" w:rsidR="009867E7" w:rsidRPr="00300C59" w:rsidRDefault="009867E7" w:rsidP="007C520D">
            <w:pPr>
              <w:keepNext/>
              <w:widowControl w:val="0"/>
              <w:rPr>
                <w:b w:val="0"/>
                <w:sz w:val="20"/>
                <w:szCs w:val="24"/>
              </w:rPr>
            </w:pPr>
            <w:r w:rsidRPr="00300C59">
              <w:rPr>
                <w:b w:val="0"/>
                <w:sz w:val="20"/>
                <w:szCs w:val="24"/>
              </w:rPr>
              <w:t>Hispanic / Latino</w:t>
            </w:r>
          </w:p>
        </w:tc>
        <w:tc>
          <w:tcPr>
            <w:tcW w:w="3110" w:type="dxa"/>
          </w:tcPr>
          <w:p w14:paraId="7A3655D8"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112</w:t>
            </w:r>
          </w:p>
        </w:tc>
        <w:tc>
          <w:tcPr>
            <w:tcW w:w="3194" w:type="dxa"/>
          </w:tcPr>
          <w:p w14:paraId="11883EED"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12</w:t>
            </w:r>
          </w:p>
        </w:tc>
      </w:tr>
      <w:tr w:rsidR="009867E7" w14:paraId="4CCB71B1" w14:textId="77777777" w:rsidTr="007C520D">
        <w:tc>
          <w:tcPr>
            <w:cnfStyle w:val="001000000000" w:firstRow="0" w:lastRow="0" w:firstColumn="1" w:lastColumn="0" w:oddVBand="0" w:evenVBand="0" w:oddHBand="0" w:evenHBand="0" w:firstRowFirstColumn="0" w:firstRowLastColumn="0" w:lastRowFirstColumn="0" w:lastRowLastColumn="0"/>
            <w:tcW w:w="2931" w:type="dxa"/>
          </w:tcPr>
          <w:p w14:paraId="3F6743E3" w14:textId="77777777" w:rsidR="009867E7" w:rsidRPr="00300C59" w:rsidRDefault="009867E7" w:rsidP="007C520D">
            <w:pPr>
              <w:keepNext/>
              <w:widowControl w:val="0"/>
              <w:rPr>
                <w:b w:val="0"/>
                <w:sz w:val="20"/>
                <w:szCs w:val="24"/>
              </w:rPr>
            </w:pPr>
            <w:r w:rsidRPr="00300C59">
              <w:rPr>
                <w:b w:val="0"/>
                <w:sz w:val="20"/>
                <w:szCs w:val="24"/>
              </w:rPr>
              <w:t>Not-Hispanic / Non-Latino</w:t>
            </w:r>
          </w:p>
        </w:tc>
        <w:tc>
          <w:tcPr>
            <w:tcW w:w="3110" w:type="dxa"/>
          </w:tcPr>
          <w:p w14:paraId="77A421D2"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783</w:t>
            </w:r>
          </w:p>
        </w:tc>
        <w:tc>
          <w:tcPr>
            <w:tcW w:w="3194" w:type="dxa"/>
          </w:tcPr>
          <w:p w14:paraId="6EB264A1" w14:textId="77777777" w:rsidR="009867E7" w:rsidRPr="00300C59" w:rsidRDefault="009867E7" w:rsidP="007C520D">
            <w:pPr>
              <w:keepNext/>
              <w:widowControl w:val="0"/>
              <w:cnfStyle w:val="000000000000" w:firstRow="0" w:lastRow="0" w:firstColumn="0" w:lastColumn="0" w:oddVBand="0" w:evenVBand="0" w:oddHBand="0" w:evenHBand="0" w:firstRowFirstColumn="0" w:firstRowLastColumn="0" w:lastRowFirstColumn="0" w:lastRowLastColumn="0"/>
              <w:rPr>
                <w:sz w:val="20"/>
                <w:szCs w:val="24"/>
              </w:rPr>
            </w:pPr>
            <w:r w:rsidRPr="00300C59">
              <w:rPr>
                <w:sz w:val="20"/>
                <w:szCs w:val="24"/>
              </w:rPr>
              <w:t>130</w:t>
            </w:r>
          </w:p>
        </w:tc>
      </w:tr>
    </w:tbl>
    <w:p w14:paraId="33D58139" w14:textId="77777777" w:rsidR="009867E7" w:rsidRPr="00233D0F" w:rsidRDefault="009867E7" w:rsidP="009867E7">
      <w:pPr>
        <w:keepNext/>
        <w:widowControl w:val="0"/>
        <w:spacing w:after="0" w:line="240" w:lineRule="auto"/>
        <w:rPr>
          <w:bCs/>
          <w:i/>
          <w:vanish/>
          <w:sz w:val="18"/>
          <w:szCs w:val="20"/>
        </w:rPr>
      </w:pPr>
      <w:r w:rsidRPr="0058513D">
        <w:rPr>
          <w:rFonts w:asciiTheme="minorHAnsi" w:hAnsiTheme="minorHAnsi"/>
          <w:i/>
          <w:sz w:val="18"/>
        </w:rPr>
        <w:t>Source: Balance of State Continuum of Care, 2017 Point-In-Time Homeless Count</w:t>
      </w:r>
      <w:r>
        <w:rPr>
          <w:rFonts w:asciiTheme="minorHAnsi" w:hAnsiTheme="minorHAnsi"/>
          <w:i/>
          <w:sz w:val="18"/>
        </w:rPr>
        <w:t>, HUD Exchange</w:t>
      </w:r>
      <w:r>
        <w:rPr>
          <w:bCs/>
          <w:i/>
          <w:sz w:val="18"/>
          <w:szCs w:val="20"/>
        </w:rPr>
        <w:t xml:space="preserve"> </w:t>
      </w:r>
    </w:p>
    <w:p w14:paraId="20CB2D18" w14:textId="77777777" w:rsidR="009867E7" w:rsidRDefault="009867E7" w:rsidP="009867E7">
      <w:pPr>
        <w:spacing w:after="0" w:line="240" w:lineRule="auto"/>
        <w:rPr>
          <w:b/>
          <w:bCs/>
          <w:vanish/>
          <w:sz w:val="16"/>
          <w:szCs w:val="16"/>
        </w:rPr>
      </w:pPr>
    </w:p>
    <w:p w14:paraId="2D8DACD7" w14:textId="77777777" w:rsidR="009867E7" w:rsidRDefault="009867E7" w:rsidP="009867E7"/>
    <w:p w14:paraId="2F2C73A5" w14:textId="77777777" w:rsidR="009867E7" w:rsidRDefault="009867E7" w:rsidP="009867E7">
      <w:pPr>
        <w:rPr>
          <w:b/>
          <w:sz w:val="24"/>
          <w:szCs w:val="24"/>
        </w:rPr>
      </w:pPr>
      <w:r>
        <w:rPr>
          <w:b/>
          <w:sz w:val="24"/>
          <w:szCs w:val="24"/>
        </w:rPr>
        <w:t>Estimate the number and type of families in need of housing assistance for families with children and the families of veterans.</w:t>
      </w:r>
    </w:p>
    <w:p w14:paraId="575D5BFA" w14:textId="77777777" w:rsidR="009867E7" w:rsidRPr="00EF1473" w:rsidRDefault="009867E7" w:rsidP="009867E7">
      <w:pPr>
        <w:rPr>
          <w:sz w:val="24"/>
          <w:szCs w:val="24"/>
        </w:rPr>
      </w:pPr>
      <w:r w:rsidRPr="00EF1473">
        <w:rPr>
          <w:sz w:val="24"/>
          <w:szCs w:val="24"/>
        </w:rPr>
        <w:t>See Table 20 above.</w:t>
      </w:r>
    </w:p>
    <w:p w14:paraId="3EF983B3" w14:textId="77777777" w:rsidR="004E2B41" w:rsidRDefault="004E2B41" w:rsidP="009867E7">
      <w:pPr>
        <w:rPr>
          <w:b/>
          <w:sz w:val="24"/>
          <w:szCs w:val="24"/>
        </w:rPr>
      </w:pPr>
    </w:p>
    <w:p w14:paraId="40BE6D52" w14:textId="77777777" w:rsidR="004E2B41" w:rsidRDefault="004E2B41" w:rsidP="009867E7">
      <w:pPr>
        <w:rPr>
          <w:b/>
          <w:sz w:val="24"/>
          <w:szCs w:val="24"/>
        </w:rPr>
      </w:pPr>
    </w:p>
    <w:p w14:paraId="339E7A43" w14:textId="053E43DF" w:rsidR="009867E7" w:rsidRDefault="009867E7" w:rsidP="009867E7">
      <w:pPr>
        <w:rPr>
          <w:b/>
          <w:sz w:val="24"/>
          <w:szCs w:val="24"/>
        </w:rPr>
      </w:pPr>
      <w:r>
        <w:rPr>
          <w:b/>
          <w:sz w:val="24"/>
          <w:szCs w:val="24"/>
        </w:rPr>
        <w:t>Describe the Nature and Extent of Homelessness by Racial and Ethnic Group.</w:t>
      </w:r>
    </w:p>
    <w:p w14:paraId="61C51A27" w14:textId="77777777" w:rsidR="009867E7" w:rsidRDefault="009867E7" w:rsidP="009867E7">
      <w:pPr>
        <w:rPr>
          <w:sz w:val="24"/>
          <w:szCs w:val="24"/>
        </w:rPr>
      </w:pPr>
      <w:r>
        <w:rPr>
          <w:sz w:val="24"/>
          <w:szCs w:val="24"/>
        </w:rPr>
        <w:t xml:space="preserve">Of all data gathered on racial and ethnic groups from the 2017 PIT count for the Kansas BoS, 75% of all persons experiencing homelessness were White, 12% were Black or African American, and 7% were multiple races. </w:t>
      </w:r>
    </w:p>
    <w:p w14:paraId="618944C0" w14:textId="77777777" w:rsidR="009867E7" w:rsidRDefault="009867E7" w:rsidP="009867E7">
      <w:pPr>
        <w:rPr>
          <w:sz w:val="24"/>
          <w:szCs w:val="24"/>
        </w:rPr>
      </w:pPr>
      <w:r>
        <w:rPr>
          <w:sz w:val="24"/>
          <w:szCs w:val="24"/>
        </w:rPr>
        <w:t xml:space="preserve">Of the 142 unsheltered homeless persons counted in the 2017 PIT count, 82% were White and 7% were Black or African American. There were 124 Hispanic or Latino persons experiencing homelessness during the 2017 PIT count, making up 12% of all persons experiencing homelessness. </w:t>
      </w:r>
    </w:p>
    <w:p w14:paraId="6A1F59E1" w14:textId="77777777" w:rsidR="009867E7" w:rsidRPr="00D94FEB" w:rsidRDefault="009867E7" w:rsidP="009867E7">
      <w:pPr>
        <w:rPr>
          <w:sz w:val="24"/>
          <w:szCs w:val="24"/>
        </w:rPr>
      </w:pPr>
    </w:p>
    <w:p w14:paraId="4FC80EAA" w14:textId="77777777" w:rsidR="009867E7" w:rsidRDefault="009867E7" w:rsidP="009867E7">
      <w:pPr>
        <w:rPr>
          <w:b/>
          <w:sz w:val="24"/>
          <w:szCs w:val="24"/>
        </w:rPr>
      </w:pPr>
      <w:r>
        <w:rPr>
          <w:b/>
          <w:sz w:val="24"/>
          <w:szCs w:val="24"/>
        </w:rPr>
        <w:t>Describe the Nature and Extent of Unsheltered and Sheltered Homelessness.</w:t>
      </w:r>
    </w:p>
    <w:p w14:paraId="48E7683F" w14:textId="77777777" w:rsidR="009867E7" w:rsidRPr="008C1F1F" w:rsidRDefault="009867E7" w:rsidP="009867E7">
      <w:pPr>
        <w:rPr>
          <w:rFonts w:cs="Arial"/>
          <w:sz w:val="24"/>
          <w:szCs w:val="24"/>
        </w:rPr>
      </w:pPr>
    </w:p>
    <w:p w14:paraId="70972694" w14:textId="38503D32" w:rsidR="009867E7" w:rsidRDefault="009867E7" w:rsidP="009867E7">
      <w:pPr>
        <w:spacing w:line="204" w:lineRule="auto"/>
        <w:rPr>
          <w:b/>
          <w:sz w:val="24"/>
          <w:szCs w:val="24"/>
        </w:rPr>
      </w:pPr>
      <w:r>
        <w:rPr>
          <w:b/>
          <w:sz w:val="24"/>
          <w:szCs w:val="24"/>
        </w:rPr>
        <w:t>Discussion:</w:t>
      </w:r>
    </w:p>
    <w:p w14:paraId="79486820" w14:textId="325CD1C3" w:rsidR="00FD71BB" w:rsidRDefault="00404D01" w:rsidP="00433982">
      <w:pPr>
        <w:contextualSpacing/>
        <w:rPr>
          <w:sz w:val="24"/>
          <w:szCs w:val="24"/>
        </w:rPr>
      </w:pPr>
      <w:r>
        <w:rPr>
          <w:sz w:val="24"/>
          <w:szCs w:val="24"/>
        </w:rPr>
        <w:t>In 2017, The Kansas Statewide Homeless Coalition commissi</w:t>
      </w:r>
      <w:r w:rsidR="00160D16">
        <w:rPr>
          <w:sz w:val="24"/>
          <w:szCs w:val="24"/>
        </w:rPr>
        <w:t xml:space="preserve">oned a </w:t>
      </w:r>
      <w:r w:rsidR="002D1426">
        <w:rPr>
          <w:sz w:val="24"/>
          <w:szCs w:val="24"/>
        </w:rPr>
        <w:t xml:space="preserve">Needs Assessment </w:t>
      </w:r>
      <w:r w:rsidR="00160D16">
        <w:rPr>
          <w:sz w:val="24"/>
          <w:szCs w:val="24"/>
        </w:rPr>
        <w:t>study on the Kansas Balance of</w:t>
      </w:r>
      <w:r w:rsidR="002D1426">
        <w:rPr>
          <w:sz w:val="24"/>
          <w:szCs w:val="24"/>
        </w:rPr>
        <w:t xml:space="preserve"> State Continuum of Care. </w:t>
      </w:r>
      <w:r w:rsidR="006234D7">
        <w:rPr>
          <w:sz w:val="24"/>
          <w:szCs w:val="24"/>
        </w:rPr>
        <w:t xml:space="preserve">Community engagement was done in seven regions and Douglas County. Qualitative data was gathered </w:t>
      </w:r>
      <w:r w:rsidR="00501532">
        <w:rPr>
          <w:sz w:val="24"/>
          <w:szCs w:val="24"/>
        </w:rPr>
        <w:t>in each region, outlining the needs of the community in working with those experiencing homelessness. Below is an overview of those community engagement outlining community needs</w:t>
      </w:r>
      <w:r w:rsidR="00614BB4">
        <w:rPr>
          <w:sz w:val="24"/>
          <w:szCs w:val="24"/>
        </w:rPr>
        <w:t>. Those needs identified below are those that trended across all regions</w:t>
      </w:r>
      <w:r w:rsidR="00501532">
        <w:rPr>
          <w:sz w:val="24"/>
          <w:szCs w:val="24"/>
        </w:rPr>
        <w:t>:</w:t>
      </w:r>
    </w:p>
    <w:p w14:paraId="0CF9CDF1" w14:textId="77777777" w:rsidR="00614BB4" w:rsidRDefault="00614BB4" w:rsidP="00614BB4">
      <w:pPr>
        <w:pStyle w:val="ListParagraph"/>
        <w:numPr>
          <w:ilvl w:val="0"/>
          <w:numId w:val="61"/>
        </w:numPr>
        <w:spacing w:line="204" w:lineRule="auto"/>
        <w:rPr>
          <w:sz w:val="24"/>
          <w:szCs w:val="24"/>
        </w:rPr>
      </w:pPr>
      <w:r>
        <w:rPr>
          <w:sz w:val="24"/>
          <w:szCs w:val="24"/>
        </w:rPr>
        <w:t>Additional affordable housing at varying income levels</w:t>
      </w:r>
    </w:p>
    <w:p w14:paraId="713E50DA" w14:textId="7F31AC1F" w:rsidR="00614BB4" w:rsidRDefault="00614BB4" w:rsidP="00614BB4">
      <w:pPr>
        <w:pStyle w:val="ListParagraph"/>
        <w:numPr>
          <w:ilvl w:val="0"/>
          <w:numId w:val="60"/>
        </w:numPr>
        <w:spacing w:line="204" w:lineRule="auto"/>
        <w:rPr>
          <w:sz w:val="24"/>
          <w:szCs w:val="24"/>
        </w:rPr>
      </w:pPr>
      <w:r>
        <w:rPr>
          <w:sz w:val="24"/>
          <w:szCs w:val="24"/>
        </w:rPr>
        <w:t>Additional funding for supportive services</w:t>
      </w:r>
    </w:p>
    <w:p w14:paraId="69AFB955" w14:textId="61B43CA2" w:rsidR="00501532" w:rsidRDefault="00614BB4" w:rsidP="00501532">
      <w:pPr>
        <w:pStyle w:val="ListParagraph"/>
        <w:numPr>
          <w:ilvl w:val="0"/>
          <w:numId w:val="61"/>
        </w:numPr>
        <w:spacing w:line="204" w:lineRule="auto"/>
        <w:rPr>
          <w:sz w:val="24"/>
          <w:szCs w:val="24"/>
        </w:rPr>
      </w:pPr>
      <w:r>
        <w:rPr>
          <w:sz w:val="24"/>
          <w:szCs w:val="24"/>
        </w:rPr>
        <w:t>Community education</w:t>
      </w:r>
    </w:p>
    <w:p w14:paraId="5A86F96D" w14:textId="3E93AB11" w:rsidR="00614BB4" w:rsidRDefault="00614BB4" w:rsidP="00501532">
      <w:pPr>
        <w:pStyle w:val="ListParagraph"/>
        <w:numPr>
          <w:ilvl w:val="0"/>
          <w:numId w:val="61"/>
        </w:numPr>
        <w:spacing w:line="204" w:lineRule="auto"/>
        <w:rPr>
          <w:sz w:val="24"/>
          <w:szCs w:val="24"/>
        </w:rPr>
      </w:pPr>
      <w:r>
        <w:rPr>
          <w:sz w:val="24"/>
          <w:szCs w:val="24"/>
        </w:rPr>
        <w:t>Medication assistance</w:t>
      </w:r>
    </w:p>
    <w:p w14:paraId="41B25AC3" w14:textId="0C56B03B" w:rsidR="00614BB4" w:rsidRDefault="00614BB4" w:rsidP="00501532">
      <w:pPr>
        <w:pStyle w:val="ListParagraph"/>
        <w:numPr>
          <w:ilvl w:val="0"/>
          <w:numId w:val="61"/>
        </w:numPr>
        <w:spacing w:line="204" w:lineRule="auto"/>
        <w:rPr>
          <w:sz w:val="24"/>
          <w:szCs w:val="24"/>
        </w:rPr>
      </w:pPr>
      <w:r>
        <w:rPr>
          <w:sz w:val="24"/>
          <w:szCs w:val="24"/>
        </w:rPr>
        <w:t>Additional case management</w:t>
      </w:r>
    </w:p>
    <w:p w14:paraId="74B38146" w14:textId="438EAA2F" w:rsidR="00614BB4" w:rsidRDefault="00614BB4" w:rsidP="00501532">
      <w:pPr>
        <w:pStyle w:val="ListParagraph"/>
        <w:numPr>
          <w:ilvl w:val="0"/>
          <w:numId w:val="61"/>
        </w:numPr>
        <w:spacing w:line="204" w:lineRule="auto"/>
        <w:rPr>
          <w:sz w:val="24"/>
          <w:szCs w:val="24"/>
        </w:rPr>
      </w:pPr>
      <w:r>
        <w:rPr>
          <w:sz w:val="24"/>
          <w:szCs w:val="24"/>
        </w:rPr>
        <w:t>Additional mental health resources</w:t>
      </w:r>
    </w:p>
    <w:p w14:paraId="5323A8EF" w14:textId="73716ECA" w:rsidR="00614BB4" w:rsidRPr="00501532" w:rsidRDefault="00614BB4" w:rsidP="00501532">
      <w:pPr>
        <w:pStyle w:val="ListParagraph"/>
        <w:numPr>
          <w:ilvl w:val="0"/>
          <w:numId w:val="61"/>
        </w:numPr>
        <w:spacing w:line="204" w:lineRule="auto"/>
        <w:rPr>
          <w:sz w:val="24"/>
          <w:szCs w:val="24"/>
        </w:rPr>
      </w:pPr>
      <w:r>
        <w:rPr>
          <w:sz w:val="24"/>
          <w:szCs w:val="24"/>
        </w:rPr>
        <w:t>Additional shelters</w:t>
      </w:r>
    </w:p>
    <w:p w14:paraId="4271AFDE" w14:textId="61B5F6FA" w:rsidR="00501532" w:rsidRPr="00501532" w:rsidRDefault="00956404" w:rsidP="00433982">
      <w:pPr>
        <w:contextualSpacing/>
        <w:rPr>
          <w:sz w:val="24"/>
          <w:szCs w:val="24"/>
        </w:rPr>
      </w:pPr>
      <w:r>
        <w:rPr>
          <w:sz w:val="24"/>
          <w:szCs w:val="24"/>
        </w:rPr>
        <w:t xml:space="preserve">For a complete assessment of each region and further community level information on the causes of homelessness, as well as regional demographic and economic indicators, the entire study can be found here: </w:t>
      </w:r>
      <w:r w:rsidRPr="00956404">
        <w:rPr>
          <w:sz w:val="24"/>
          <w:szCs w:val="24"/>
        </w:rPr>
        <w:t>http://kshomeless.com/uncategorized/kansas-bos-coc-needs-assessment</w:t>
      </w:r>
    </w:p>
    <w:p w14:paraId="71AFF8F8" w14:textId="77777777" w:rsidR="009867E7" w:rsidRDefault="009867E7" w:rsidP="009867E7">
      <w:pPr>
        <w:pStyle w:val="Heading2"/>
        <w:pageBreakBefore/>
        <w:shd w:val="clear" w:color="auto" w:fill="95B3D7" w:themeFill="accent1" w:themeFillTint="99"/>
        <w:rPr>
          <w:rFonts w:ascii="Calibri" w:hAnsi="Calibri"/>
          <w:i w:val="0"/>
        </w:rPr>
      </w:pPr>
      <w:bookmarkStart w:id="31" w:name="_Toc524603016"/>
      <w:r>
        <w:rPr>
          <w:rFonts w:ascii="Calibri" w:hAnsi="Calibri"/>
          <w:i w:val="0"/>
        </w:rPr>
        <w:t>NA-45 Non-Homeless Special Needs Assessment – 91.305 (b,d)</w:t>
      </w:r>
      <w:bookmarkEnd w:id="31"/>
    </w:p>
    <w:p w14:paraId="2111CEEA" w14:textId="77777777" w:rsidR="009867E7" w:rsidRDefault="009867E7" w:rsidP="009867E7">
      <w:pPr>
        <w:keepNext/>
        <w:widowControl w:val="0"/>
        <w:rPr>
          <w:b/>
          <w: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9867E7" w14:paraId="4ED50CE9" w14:textId="77777777" w:rsidTr="007C520D">
        <w:trPr>
          <w:cantSplit/>
          <w:tblHeader/>
        </w:trPr>
        <w:tc>
          <w:tcPr>
            <w:tcW w:w="4788" w:type="dxa"/>
            <w:tcBorders>
              <w:right w:val="nil"/>
            </w:tcBorders>
          </w:tcPr>
          <w:p w14:paraId="433BA918" w14:textId="77777777" w:rsidR="009867E7" w:rsidRDefault="009867E7" w:rsidP="007C520D">
            <w:pPr>
              <w:keepNext/>
              <w:widowControl w:val="0"/>
              <w:spacing w:after="0" w:line="240" w:lineRule="auto"/>
              <w:rPr>
                <w:b/>
                <w:i/>
              </w:rPr>
            </w:pPr>
            <w:r>
              <w:rPr>
                <w:b/>
              </w:rPr>
              <w:t>Current HOPWA formula use:</w:t>
            </w:r>
          </w:p>
        </w:tc>
        <w:tc>
          <w:tcPr>
            <w:tcW w:w="4788" w:type="dxa"/>
            <w:tcBorders>
              <w:left w:val="nil"/>
            </w:tcBorders>
          </w:tcPr>
          <w:p w14:paraId="62D2DF80" w14:textId="77777777" w:rsidR="009867E7" w:rsidRDefault="009867E7" w:rsidP="007C520D">
            <w:pPr>
              <w:keepNext/>
              <w:widowControl w:val="0"/>
              <w:spacing w:after="0" w:line="240" w:lineRule="auto"/>
              <w:rPr>
                <w:b/>
                <w:i/>
              </w:rPr>
            </w:pPr>
          </w:p>
        </w:tc>
      </w:tr>
      <w:tr w:rsidR="009867E7" w14:paraId="032A0090" w14:textId="77777777" w:rsidTr="007C520D">
        <w:trPr>
          <w:cantSplit/>
        </w:trPr>
        <w:tc>
          <w:tcPr>
            <w:tcW w:w="0" w:type="auto"/>
          </w:tcPr>
          <w:p w14:paraId="5E5D378F" w14:textId="77777777" w:rsidR="009867E7" w:rsidRDefault="009867E7" w:rsidP="007C520D">
            <w:pPr>
              <w:spacing w:beforeAutospacing="1" w:afterAutospacing="1"/>
            </w:pPr>
            <w:r>
              <w:rPr>
                <w:color w:val="000000"/>
              </w:rPr>
              <w:t>Cumulative cases of AIDS reported</w:t>
            </w:r>
          </w:p>
        </w:tc>
        <w:tc>
          <w:tcPr>
            <w:tcW w:w="0" w:type="auto"/>
            <w:vAlign w:val="bottom"/>
          </w:tcPr>
          <w:p w14:paraId="39295EE3" w14:textId="77777777" w:rsidR="009867E7" w:rsidRDefault="009867E7" w:rsidP="007C520D">
            <w:pPr>
              <w:spacing w:beforeAutospacing="1" w:afterAutospacing="1"/>
              <w:jc w:val="right"/>
            </w:pPr>
            <w:r>
              <w:rPr>
                <w:color w:val="000000"/>
              </w:rPr>
              <w:t>0</w:t>
            </w:r>
          </w:p>
        </w:tc>
      </w:tr>
      <w:tr w:rsidR="009867E7" w14:paraId="48BEADFD" w14:textId="77777777" w:rsidTr="007C520D">
        <w:trPr>
          <w:cantSplit/>
        </w:trPr>
        <w:tc>
          <w:tcPr>
            <w:tcW w:w="0" w:type="auto"/>
          </w:tcPr>
          <w:p w14:paraId="7D643C78" w14:textId="77777777" w:rsidR="009867E7" w:rsidRDefault="009867E7" w:rsidP="007C520D">
            <w:pPr>
              <w:spacing w:beforeAutospacing="1" w:afterAutospacing="1"/>
            </w:pPr>
            <w:r>
              <w:rPr>
                <w:color w:val="000000"/>
              </w:rPr>
              <w:t>Area incidence of AIDS</w:t>
            </w:r>
          </w:p>
        </w:tc>
        <w:tc>
          <w:tcPr>
            <w:tcW w:w="0" w:type="auto"/>
            <w:vAlign w:val="bottom"/>
          </w:tcPr>
          <w:p w14:paraId="0970D597" w14:textId="77777777" w:rsidR="009867E7" w:rsidRDefault="009867E7" w:rsidP="007C520D">
            <w:pPr>
              <w:spacing w:beforeAutospacing="1" w:afterAutospacing="1"/>
              <w:jc w:val="right"/>
            </w:pPr>
            <w:r>
              <w:rPr>
                <w:color w:val="000000"/>
              </w:rPr>
              <w:t>0</w:t>
            </w:r>
          </w:p>
        </w:tc>
      </w:tr>
      <w:tr w:rsidR="009867E7" w14:paraId="6D697A63" w14:textId="77777777" w:rsidTr="007C520D">
        <w:trPr>
          <w:cantSplit/>
        </w:trPr>
        <w:tc>
          <w:tcPr>
            <w:tcW w:w="0" w:type="auto"/>
          </w:tcPr>
          <w:p w14:paraId="56259C39" w14:textId="77777777" w:rsidR="009867E7" w:rsidRDefault="009867E7" w:rsidP="007C520D">
            <w:pPr>
              <w:spacing w:beforeAutospacing="1" w:afterAutospacing="1"/>
            </w:pPr>
            <w:r>
              <w:rPr>
                <w:color w:val="000000"/>
              </w:rPr>
              <w:t>Rate per population</w:t>
            </w:r>
          </w:p>
        </w:tc>
        <w:tc>
          <w:tcPr>
            <w:tcW w:w="0" w:type="auto"/>
            <w:vAlign w:val="bottom"/>
          </w:tcPr>
          <w:p w14:paraId="7BE72453" w14:textId="77777777" w:rsidR="009867E7" w:rsidRDefault="009867E7" w:rsidP="007C520D">
            <w:pPr>
              <w:spacing w:beforeAutospacing="1" w:afterAutospacing="1"/>
              <w:jc w:val="right"/>
            </w:pPr>
            <w:r>
              <w:rPr>
                <w:color w:val="000000"/>
              </w:rPr>
              <w:t>0</w:t>
            </w:r>
          </w:p>
        </w:tc>
      </w:tr>
      <w:tr w:rsidR="009867E7" w14:paraId="698EF210" w14:textId="77777777" w:rsidTr="007C520D">
        <w:trPr>
          <w:cantSplit/>
        </w:trPr>
        <w:tc>
          <w:tcPr>
            <w:tcW w:w="0" w:type="auto"/>
          </w:tcPr>
          <w:p w14:paraId="02891A16" w14:textId="77777777" w:rsidR="009867E7" w:rsidRDefault="009867E7" w:rsidP="007C520D">
            <w:pPr>
              <w:spacing w:beforeAutospacing="1" w:afterAutospacing="1"/>
            </w:pPr>
            <w:r>
              <w:rPr>
                <w:color w:val="000000"/>
              </w:rPr>
              <w:t>Number of new cases prior year (3 years of data)</w:t>
            </w:r>
          </w:p>
        </w:tc>
        <w:tc>
          <w:tcPr>
            <w:tcW w:w="0" w:type="auto"/>
            <w:vAlign w:val="bottom"/>
          </w:tcPr>
          <w:p w14:paraId="60BA63AE" w14:textId="77777777" w:rsidR="009867E7" w:rsidRDefault="009867E7" w:rsidP="007C520D">
            <w:pPr>
              <w:spacing w:beforeAutospacing="1" w:afterAutospacing="1"/>
              <w:jc w:val="right"/>
            </w:pPr>
            <w:r>
              <w:rPr>
                <w:color w:val="000000"/>
              </w:rPr>
              <w:t>0</w:t>
            </w:r>
          </w:p>
        </w:tc>
      </w:tr>
      <w:tr w:rsidR="009867E7" w14:paraId="42086A35" w14:textId="77777777" w:rsidTr="007C520D">
        <w:trPr>
          <w:cantSplit/>
        </w:trPr>
        <w:tc>
          <w:tcPr>
            <w:tcW w:w="0" w:type="auto"/>
          </w:tcPr>
          <w:p w14:paraId="2BE93737" w14:textId="77777777" w:rsidR="009867E7" w:rsidRDefault="009867E7" w:rsidP="007C520D">
            <w:pPr>
              <w:spacing w:beforeAutospacing="1" w:afterAutospacing="1"/>
            </w:pPr>
            <w:r>
              <w:rPr>
                <w:color w:val="000000"/>
              </w:rPr>
              <w:t>Rate per population (3 years of data)</w:t>
            </w:r>
          </w:p>
        </w:tc>
        <w:tc>
          <w:tcPr>
            <w:tcW w:w="0" w:type="auto"/>
            <w:vAlign w:val="bottom"/>
          </w:tcPr>
          <w:p w14:paraId="2CF805EF" w14:textId="77777777" w:rsidR="009867E7" w:rsidRDefault="009867E7" w:rsidP="007C520D">
            <w:pPr>
              <w:spacing w:beforeAutospacing="1" w:afterAutospacing="1"/>
              <w:jc w:val="right"/>
            </w:pPr>
            <w:r>
              <w:rPr>
                <w:color w:val="000000"/>
              </w:rPr>
              <w:t>0</w:t>
            </w:r>
          </w:p>
        </w:tc>
      </w:tr>
    </w:tbl>
    <w:p w14:paraId="57DF3890" w14:textId="77777777" w:rsidR="009867E7" w:rsidRDefault="009867E7" w:rsidP="009867E7">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9867E7" w14:paraId="24DEA583" w14:textId="77777777" w:rsidTr="007C520D">
        <w:trPr>
          <w:cantSplit/>
          <w:tblHeader/>
        </w:trPr>
        <w:tc>
          <w:tcPr>
            <w:tcW w:w="4788" w:type="dxa"/>
            <w:tcBorders>
              <w:right w:val="nil"/>
            </w:tcBorders>
          </w:tcPr>
          <w:p w14:paraId="2989C6D4" w14:textId="77777777" w:rsidR="009867E7" w:rsidRDefault="009867E7" w:rsidP="007C520D">
            <w:pPr>
              <w:keepNext/>
              <w:widowControl w:val="0"/>
              <w:spacing w:after="0" w:line="240" w:lineRule="auto"/>
              <w:rPr>
                <w:b/>
              </w:rPr>
            </w:pPr>
            <w:r>
              <w:rPr>
                <w:b/>
              </w:rPr>
              <w:t>Current HIV surveillance data:</w:t>
            </w:r>
          </w:p>
        </w:tc>
        <w:tc>
          <w:tcPr>
            <w:tcW w:w="4788" w:type="dxa"/>
            <w:tcBorders>
              <w:left w:val="nil"/>
            </w:tcBorders>
          </w:tcPr>
          <w:p w14:paraId="259D76AE" w14:textId="77777777" w:rsidR="009867E7" w:rsidRDefault="009867E7" w:rsidP="007C520D">
            <w:pPr>
              <w:keepNext/>
              <w:widowControl w:val="0"/>
              <w:spacing w:after="0" w:line="240" w:lineRule="auto"/>
              <w:rPr>
                <w:b/>
              </w:rPr>
            </w:pPr>
          </w:p>
        </w:tc>
      </w:tr>
      <w:tr w:rsidR="009867E7" w14:paraId="20876545" w14:textId="77777777" w:rsidTr="007C520D">
        <w:trPr>
          <w:cantSplit/>
        </w:trPr>
        <w:tc>
          <w:tcPr>
            <w:tcW w:w="0" w:type="auto"/>
          </w:tcPr>
          <w:p w14:paraId="0C806431" w14:textId="77777777" w:rsidR="009867E7" w:rsidRDefault="009867E7" w:rsidP="007C520D">
            <w:pPr>
              <w:spacing w:beforeAutospacing="1" w:afterAutospacing="1"/>
            </w:pPr>
            <w:r>
              <w:rPr>
                <w:color w:val="000000"/>
              </w:rPr>
              <w:t>Number of Persons living with HIV (PLWH)</w:t>
            </w:r>
          </w:p>
        </w:tc>
        <w:tc>
          <w:tcPr>
            <w:tcW w:w="0" w:type="auto"/>
            <w:vAlign w:val="bottom"/>
          </w:tcPr>
          <w:p w14:paraId="349057DC" w14:textId="77777777" w:rsidR="009867E7" w:rsidRDefault="009867E7" w:rsidP="007C520D">
            <w:pPr>
              <w:spacing w:beforeAutospacing="1" w:afterAutospacing="1"/>
              <w:jc w:val="right"/>
            </w:pPr>
            <w:r>
              <w:rPr>
                <w:color w:val="000000"/>
              </w:rPr>
              <w:t>833</w:t>
            </w:r>
          </w:p>
        </w:tc>
      </w:tr>
      <w:tr w:rsidR="009867E7" w14:paraId="44B45F22" w14:textId="77777777" w:rsidTr="007C520D">
        <w:trPr>
          <w:cantSplit/>
        </w:trPr>
        <w:tc>
          <w:tcPr>
            <w:tcW w:w="0" w:type="auto"/>
          </w:tcPr>
          <w:p w14:paraId="0544D373" w14:textId="77777777" w:rsidR="009867E7" w:rsidRDefault="009867E7" w:rsidP="007C520D">
            <w:pPr>
              <w:spacing w:beforeAutospacing="1" w:afterAutospacing="1"/>
            </w:pPr>
            <w:r>
              <w:rPr>
                <w:color w:val="000000"/>
              </w:rPr>
              <w:t>Area Prevalence (PLWH per population)</w:t>
            </w:r>
          </w:p>
        </w:tc>
        <w:tc>
          <w:tcPr>
            <w:tcW w:w="0" w:type="auto"/>
            <w:vAlign w:val="bottom"/>
          </w:tcPr>
          <w:p w14:paraId="3C708BEA" w14:textId="77777777" w:rsidR="009867E7" w:rsidRDefault="009867E7" w:rsidP="007C520D">
            <w:pPr>
              <w:spacing w:beforeAutospacing="1" w:afterAutospacing="1"/>
              <w:jc w:val="right"/>
            </w:pPr>
            <w:r>
              <w:rPr>
                <w:color w:val="000000"/>
              </w:rPr>
              <w:t>922</w:t>
            </w:r>
          </w:p>
        </w:tc>
      </w:tr>
      <w:tr w:rsidR="009867E7" w14:paraId="329F07D8" w14:textId="77777777" w:rsidTr="007C520D">
        <w:trPr>
          <w:cantSplit/>
        </w:trPr>
        <w:tc>
          <w:tcPr>
            <w:tcW w:w="0" w:type="auto"/>
          </w:tcPr>
          <w:p w14:paraId="56B26DFF" w14:textId="77777777" w:rsidR="009867E7" w:rsidRDefault="009867E7" w:rsidP="007C520D">
            <w:pPr>
              <w:spacing w:beforeAutospacing="1" w:afterAutospacing="1"/>
            </w:pPr>
            <w:r>
              <w:rPr>
                <w:color w:val="000000"/>
              </w:rPr>
              <w:t>Number of new HIV cases reported last year</w:t>
            </w:r>
          </w:p>
        </w:tc>
        <w:tc>
          <w:tcPr>
            <w:tcW w:w="0" w:type="auto"/>
            <w:vAlign w:val="bottom"/>
          </w:tcPr>
          <w:p w14:paraId="1632B6E4" w14:textId="77777777" w:rsidR="009867E7" w:rsidRDefault="009867E7" w:rsidP="007C520D">
            <w:pPr>
              <w:spacing w:beforeAutospacing="1" w:afterAutospacing="1"/>
              <w:jc w:val="right"/>
            </w:pPr>
            <w:r>
              <w:rPr>
                <w:color w:val="000000"/>
              </w:rPr>
              <w:t>0</w:t>
            </w:r>
          </w:p>
        </w:tc>
      </w:tr>
    </w:tbl>
    <w:p w14:paraId="19FCBA18" w14:textId="7669D891" w:rsidR="009867E7" w:rsidRDefault="009867E7" w:rsidP="009867E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1</w:t>
      </w:r>
      <w:r>
        <w:rPr>
          <w:rFonts w:asciiTheme="minorHAnsi" w:hAnsiTheme="minorHAnsi"/>
        </w:rPr>
        <w:fldChar w:fldCharType="end"/>
      </w:r>
      <w:r>
        <w:rPr>
          <w:rFonts w:asciiTheme="minorHAnsi" w:hAnsiTheme="minorHAnsi"/>
        </w:rPr>
        <w:t xml:space="preserve"> </w:t>
      </w:r>
      <w:r>
        <w:rPr>
          <w:rFonts w:asciiTheme="minorHAnsi" w:hAnsiTheme="minorHAnsi"/>
          <w:bCs w:val="0"/>
        </w:rPr>
        <w:t>– HOPWA Data</w:t>
      </w:r>
      <w:r>
        <w:rPr>
          <w:rFonts w:asciiTheme="minorHAnsi" w:hAnsiTheme="minorHAnsi"/>
          <w:i/>
        </w:rPr>
        <w:t xml:space="preserve"> </w:t>
      </w:r>
    </w:p>
    <w:tbl>
      <w:tblPr>
        <w:tblW w:w="5000" w:type="pct"/>
        <w:tblInd w:w="115" w:type="dxa"/>
        <w:tblCellMar>
          <w:left w:w="115" w:type="dxa"/>
          <w:right w:w="115" w:type="dxa"/>
        </w:tblCellMar>
        <w:tblLook w:val="01E0" w:firstRow="1" w:lastRow="1" w:firstColumn="1" w:lastColumn="1" w:noHBand="0" w:noVBand="0"/>
      </w:tblPr>
      <w:tblGrid>
        <w:gridCol w:w="9360"/>
      </w:tblGrid>
      <w:tr w:rsidR="009867E7" w14:paraId="2097585A" w14:textId="77777777" w:rsidTr="007C520D">
        <w:trPr>
          <w:cantSplit/>
        </w:trPr>
        <w:tc>
          <w:tcPr>
            <w:tcW w:w="9360" w:type="dxa"/>
          </w:tcPr>
          <w:p w14:paraId="0F7BEF48" w14:textId="77777777" w:rsidR="009867E7" w:rsidRDefault="009867E7" w:rsidP="007C520D">
            <w:pPr>
              <w:spacing w:after="0" w:line="240" w:lineRule="auto"/>
              <w:rPr>
                <w:sz w:val="16"/>
                <w:szCs w:val="16"/>
              </w:rPr>
            </w:pPr>
          </w:p>
        </w:tc>
      </w:tr>
      <w:tr w:rsidR="009867E7" w14:paraId="545D10CE" w14:textId="77777777" w:rsidTr="007C520D">
        <w:trPr>
          <w:cantSplit/>
        </w:trPr>
        <w:tc>
          <w:tcPr>
            <w:tcW w:w="9360" w:type="dxa"/>
          </w:tcPr>
          <w:p w14:paraId="69253B33" w14:textId="77777777" w:rsidR="009867E7" w:rsidRDefault="009867E7" w:rsidP="007C520D">
            <w:pPr>
              <w:spacing w:after="0" w:line="240" w:lineRule="auto"/>
              <w:rPr>
                <w:sz w:val="16"/>
                <w:szCs w:val="16"/>
              </w:rPr>
            </w:pPr>
            <w:r>
              <w:rPr>
                <w:b/>
                <w:bCs/>
                <w:sz w:val="16"/>
                <w:szCs w:val="16"/>
              </w:rPr>
              <w:t xml:space="preserve">Data Source: </w:t>
            </w:r>
            <w:r>
              <w:rPr>
                <w:sz w:val="16"/>
                <w:szCs w:val="16"/>
              </w:rPr>
              <w:t>CDC HIV Surveillance</w:t>
            </w:r>
          </w:p>
        </w:tc>
      </w:tr>
    </w:tbl>
    <w:p w14:paraId="115AA3A7" w14:textId="77777777" w:rsidR="009867E7" w:rsidRDefault="009867E7" w:rsidP="009867E7"/>
    <w:p w14:paraId="5D44F7F6" w14:textId="77777777" w:rsidR="009867E7" w:rsidRDefault="009867E7" w:rsidP="009867E7">
      <w:pPr>
        <w:pStyle w:val="Body"/>
        <w:jc w:val="both"/>
        <w:rPr>
          <w:b/>
          <w:bCs/>
          <w:vanish/>
          <w:sz w:val="16"/>
          <w:szCs w:val="16"/>
        </w:rPr>
      </w:pPr>
      <w:r>
        <w:rPr>
          <w:b/>
          <w:sz w:val="24"/>
          <w:szCs w:val="24"/>
        </w:rPr>
        <w:t xml:space="preserve">Table 21 – </w:t>
      </w:r>
    </w:p>
    <w:p w14:paraId="39E97E58" w14:textId="77777777" w:rsidR="009867E7" w:rsidRDefault="009867E7" w:rsidP="009867E7">
      <w:pPr>
        <w:keepNext/>
        <w:widowControl w:val="0"/>
        <w:rPr>
          <w:b/>
          <w:bCs/>
          <w:vanish/>
          <w:sz w:val="16"/>
          <w:szCs w:val="16"/>
        </w:rPr>
      </w:pPr>
      <w:r>
        <w:rPr>
          <w:b/>
          <w:sz w:val="24"/>
          <w:szCs w:val="24"/>
        </w:rPr>
        <w:t>Characteristics of Special Needs Populations in Kansas</w:t>
      </w:r>
    </w:p>
    <w:p w14:paraId="4DA0D7F9" w14:textId="77777777" w:rsidR="009867E7" w:rsidRDefault="009867E7" w:rsidP="009867E7">
      <w:pPr>
        <w:keepNext/>
        <w:widowControl w:val="0"/>
        <w:spacing w:after="0" w:line="240" w:lineRule="auto"/>
        <w:rPr>
          <w:b/>
          <w:bCs/>
          <w:vanish/>
          <w:sz w:val="20"/>
          <w:szCs w:val="20"/>
        </w:rPr>
      </w:pPr>
    </w:p>
    <w:p w14:paraId="2E8A5BC7" w14:textId="77777777" w:rsidR="009867E7" w:rsidRDefault="009867E7" w:rsidP="009867E7">
      <w:pPr>
        <w:spacing w:after="0" w:line="240" w:lineRule="auto"/>
        <w:rPr>
          <w:b/>
          <w:bCs/>
          <w:vanish/>
          <w:sz w:val="16"/>
          <w:szCs w:val="16"/>
        </w:rPr>
      </w:pPr>
    </w:p>
    <w:p w14:paraId="0CEF9F7D" w14:textId="77777777" w:rsidR="009867E7" w:rsidRDefault="009867E7" w:rsidP="009867E7"/>
    <w:tbl>
      <w:tblPr>
        <w:tblStyle w:val="GridTable4-Accent1"/>
        <w:tblW w:w="3117" w:type="pct"/>
        <w:tblLook w:val="04A0" w:firstRow="1" w:lastRow="0" w:firstColumn="1" w:lastColumn="0" w:noHBand="0" w:noVBand="1"/>
      </w:tblPr>
      <w:tblGrid>
        <w:gridCol w:w="3663"/>
        <w:gridCol w:w="875"/>
        <w:gridCol w:w="1291"/>
      </w:tblGrid>
      <w:tr w:rsidR="009867E7" w14:paraId="3BC0544C" w14:textId="77777777" w:rsidTr="007C520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63" w:type="dxa"/>
          </w:tcPr>
          <w:p w14:paraId="5FC628BE" w14:textId="77777777" w:rsidR="009867E7" w:rsidRPr="00300C59" w:rsidRDefault="009867E7" w:rsidP="007C520D">
            <w:pPr>
              <w:pStyle w:val="TableHeader"/>
              <w:jc w:val="center"/>
              <w:rPr>
                <w:szCs w:val="22"/>
              </w:rPr>
            </w:pPr>
            <w:r w:rsidRPr="00300C59">
              <w:rPr>
                <w:szCs w:val="22"/>
              </w:rPr>
              <w:t>Special Needs Group</w:t>
            </w:r>
          </w:p>
        </w:tc>
        <w:tc>
          <w:tcPr>
            <w:tcW w:w="875" w:type="dxa"/>
          </w:tcPr>
          <w:p w14:paraId="5015F2EA" w14:textId="77777777" w:rsidR="009867E7" w:rsidRPr="00300C59" w:rsidRDefault="009867E7" w:rsidP="007C520D">
            <w:pPr>
              <w:pStyle w:val="TableHeader"/>
              <w:jc w:val="center"/>
              <w:cnfStyle w:val="100000000000" w:firstRow="1" w:lastRow="0" w:firstColumn="0" w:lastColumn="0" w:oddVBand="0" w:evenVBand="0" w:oddHBand="0" w:evenHBand="0" w:firstRowFirstColumn="0" w:firstRowLastColumn="0" w:lastRowFirstColumn="0" w:lastRowLastColumn="0"/>
              <w:rPr>
                <w:szCs w:val="22"/>
              </w:rPr>
            </w:pPr>
            <w:r w:rsidRPr="00300C59">
              <w:rPr>
                <w:szCs w:val="22"/>
              </w:rPr>
              <w:t>#</w:t>
            </w:r>
          </w:p>
        </w:tc>
        <w:tc>
          <w:tcPr>
            <w:tcW w:w="1291" w:type="dxa"/>
          </w:tcPr>
          <w:p w14:paraId="7514D871" w14:textId="77777777" w:rsidR="009867E7" w:rsidRPr="00300C59" w:rsidRDefault="009867E7" w:rsidP="007C520D">
            <w:pPr>
              <w:pStyle w:val="TableHeader"/>
              <w:jc w:val="center"/>
              <w:cnfStyle w:val="100000000000" w:firstRow="1" w:lastRow="0" w:firstColumn="0" w:lastColumn="0" w:oddVBand="0" w:evenVBand="0" w:oddHBand="0" w:evenHBand="0" w:firstRowFirstColumn="0" w:firstRowLastColumn="0" w:lastRowFirstColumn="0" w:lastRowLastColumn="0"/>
              <w:rPr>
                <w:szCs w:val="22"/>
              </w:rPr>
            </w:pPr>
            <w:r w:rsidRPr="00300C59">
              <w:rPr>
                <w:szCs w:val="22"/>
              </w:rPr>
              <w:t>%</w:t>
            </w:r>
          </w:p>
        </w:tc>
      </w:tr>
      <w:tr w:rsidR="009867E7" w14:paraId="6C3789D0" w14:textId="77777777" w:rsidTr="007C52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63" w:type="dxa"/>
          </w:tcPr>
          <w:p w14:paraId="5C6EBB27" w14:textId="77777777" w:rsidR="009867E7" w:rsidRPr="00300C59" w:rsidRDefault="009867E7" w:rsidP="007C520D">
            <w:pPr>
              <w:pStyle w:val="TableBody"/>
              <w:rPr>
                <w:szCs w:val="22"/>
              </w:rPr>
            </w:pPr>
            <w:r w:rsidRPr="00300C59">
              <w:rPr>
                <w:szCs w:val="22"/>
              </w:rPr>
              <w:t>Disabled Persons</w:t>
            </w:r>
          </w:p>
        </w:tc>
        <w:tc>
          <w:tcPr>
            <w:tcW w:w="875" w:type="dxa"/>
          </w:tcPr>
          <w:p w14:paraId="1F0EB551" w14:textId="77777777" w:rsidR="009867E7" w:rsidRPr="00300C59" w:rsidRDefault="009867E7" w:rsidP="007C520D">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sz w:val="20"/>
              </w:rPr>
            </w:pPr>
          </w:p>
        </w:tc>
        <w:tc>
          <w:tcPr>
            <w:tcW w:w="1291" w:type="dxa"/>
          </w:tcPr>
          <w:p w14:paraId="124E985B" w14:textId="77777777" w:rsidR="009867E7" w:rsidRPr="00300C59" w:rsidRDefault="009867E7" w:rsidP="007C520D">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b/>
                <w:sz w:val="20"/>
              </w:rPr>
            </w:pPr>
            <w:r w:rsidRPr="00300C59">
              <w:rPr>
                <w:b/>
                <w:sz w:val="20"/>
              </w:rPr>
              <w:t>%</w:t>
            </w:r>
          </w:p>
        </w:tc>
      </w:tr>
      <w:tr w:rsidR="009867E7" w14:paraId="0E5A3531" w14:textId="77777777" w:rsidTr="007C520D">
        <w:trPr>
          <w:trHeight w:val="313"/>
        </w:trPr>
        <w:tc>
          <w:tcPr>
            <w:cnfStyle w:val="001000000000" w:firstRow="0" w:lastRow="0" w:firstColumn="1" w:lastColumn="0" w:oddVBand="0" w:evenVBand="0" w:oddHBand="0" w:evenHBand="0" w:firstRowFirstColumn="0" w:firstRowLastColumn="0" w:lastRowFirstColumn="0" w:lastRowLastColumn="0"/>
            <w:tcW w:w="3663" w:type="dxa"/>
          </w:tcPr>
          <w:p w14:paraId="29AED797" w14:textId="77777777" w:rsidR="009867E7" w:rsidRPr="00300C59" w:rsidRDefault="009867E7" w:rsidP="007C520D">
            <w:pPr>
              <w:pStyle w:val="TableBody"/>
              <w:rPr>
                <w:b w:val="0"/>
                <w:i/>
                <w:szCs w:val="22"/>
              </w:rPr>
            </w:pPr>
            <w:r w:rsidRPr="00300C59">
              <w:rPr>
                <w:b w:val="0"/>
                <w:i/>
                <w:szCs w:val="22"/>
              </w:rPr>
              <w:t>Sensory</w:t>
            </w:r>
          </w:p>
        </w:tc>
        <w:tc>
          <w:tcPr>
            <w:tcW w:w="875" w:type="dxa"/>
          </w:tcPr>
          <w:p w14:paraId="33918C68" w14:textId="77777777" w:rsidR="009867E7" w:rsidRPr="00300C59" w:rsidRDefault="009867E7" w:rsidP="007C520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sz w:val="20"/>
              </w:rPr>
            </w:pPr>
            <w:r w:rsidRPr="00300C59">
              <w:rPr>
                <w:sz w:val="20"/>
              </w:rPr>
              <w:t>170,219</w:t>
            </w:r>
          </w:p>
        </w:tc>
        <w:tc>
          <w:tcPr>
            <w:tcW w:w="1291" w:type="dxa"/>
          </w:tcPr>
          <w:p w14:paraId="71C42F5F" w14:textId="77777777" w:rsidR="009867E7" w:rsidRPr="00300C59" w:rsidRDefault="009867E7" w:rsidP="007C520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b/>
                <w:sz w:val="20"/>
              </w:rPr>
            </w:pPr>
            <w:r w:rsidRPr="00300C59">
              <w:rPr>
                <w:b/>
                <w:sz w:val="20"/>
              </w:rPr>
              <w:t>6.0%</w:t>
            </w:r>
          </w:p>
        </w:tc>
      </w:tr>
      <w:tr w:rsidR="009867E7" w14:paraId="016483AF" w14:textId="77777777" w:rsidTr="007C520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63" w:type="dxa"/>
          </w:tcPr>
          <w:p w14:paraId="35B75F02" w14:textId="77777777" w:rsidR="009867E7" w:rsidRPr="00300C59" w:rsidRDefault="009867E7" w:rsidP="007C520D">
            <w:pPr>
              <w:pStyle w:val="TableBody"/>
              <w:rPr>
                <w:b w:val="0"/>
                <w:i/>
                <w:szCs w:val="22"/>
              </w:rPr>
            </w:pPr>
            <w:r w:rsidRPr="00300C59">
              <w:rPr>
                <w:b w:val="0"/>
                <w:i/>
                <w:szCs w:val="22"/>
              </w:rPr>
              <w:t>Ambulatory</w:t>
            </w:r>
          </w:p>
        </w:tc>
        <w:tc>
          <w:tcPr>
            <w:tcW w:w="875" w:type="dxa"/>
          </w:tcPr>
          <w:p w14:paraId="56C4B122" w14:textId="77777777" w:rsidR="009867E7" w:rsidRPr="00300C59" w:rsidRDefault="009867E7" w:rsidP="007C520D">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color w:val="000000"/>
                <w:sz w:val="20"/>
              </w:rPr>
            </w:pPr>
            <w:r w:rsidRPr="00300C59">
              <w:rPr>
                <w:color w:val="000000"/>
                <w:sz w:val="20"/>
              </w:rPr>
              <w:t>177,425</w:t>
            </w:r>
          </w:p>
        </w:tc>
        <w:tc>
          <w:tcPr>
            <w:tcW w:w="1291" w:type="dxa"/>
          </w:tcPr>
          <w:p w14:paraId="52CC4449" w14:textId="77777777" w:rsidR="009867E7" w:rsidRPr="00300C59" w:rsidRDefault="009867E7" w:rsidP="007C520D">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300C59">
              <w:rPr>
                <w:b/>
                <w:color w:val="000000"/>
                <w:sz w:val="20"/>
              </w:rPr>
              <w:t>6.7%</w:t>
            </w:r>
          </w:p>
        </w:tc>
      </w:tr>
      <w:tr w:rsidR="009867E7" w14:paraId="240B7332" w14:textId="77777777" w:rsidTr="007C520D">
        <w:trPr>
          <w:trHeight w:val="298"/>
        </w:trPr>
        <w:tc>
          <w:tcPr>
            <w:cnfStyle w:val="001000000000" w:firstRow="0" w:lastRow="0" w:firstColumn="1" w:lastColumn="0" w:oddVBand="0" w:evenVBand="0" w:oddHBand="0" w:evenHBand="0" w:firstRowFirstColumn="0" w:firstRowLastColumn="0" w:lastRowFirstColumn="0" w:lastRowLastColumn="0"/>
            <w:tcW w:w="3663" w:type="dxa"/>
          </w:tcPr>
          <w:p w14:paraId="081C77EA" w14:textId="77777777" w:rsidR="009867E7" w:rsidRPr="00300C59" w:rsidRDefault="009867E7" w:rsidP="007C520D">
            <w:pPr>
              <w:pStyle w:val="TableBody"/>
              <w:rPr>
                <w:b w:val="0"/>
                <w:i/>
                <w:szCs w:val="22"/>
              </w:rPr>
            </w:pPr>
            <w:r w:rsidRPr="00300C59">
              <w:rPr>
                <w:b w:val="0"/>
                <w:i/>
                <w:szCs w:val="22"/>
              </w:rPr>
              <w:t>Cognitive</w:t>
            </w:r>
          </w:p>
        </w:tc>
        <w:tc>
          <w:tcPr>
            <w:tcW w:w="875" w:type="dxa"/>
          </w:tcPr>
          <w:p w14:paraId="47310D59" w14:textId="77777777" w:rsidR="009867E7" w:rsidRPr="00300C59" w:rsidRDefault="009867E7" w:rsidP="007C520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color w:val="000000"/>
                <w:sz w:val="20"/>
              </w:rPr>
            </w:pPr>
            <w:r w:rsidRPr="00300C59">
              <w:rPr>
                <w:color w:val="000000"/>
                <w:sz w:val="20"/>
              </w:rPr>
              <w:t>129,911</w:t>
            </w:r>
          </w:p>
        </w:tc>
        <w:tc>
          <w:tcPr>
            <w:tcW w:w="1291" w:type="dxa"/>
          </w:tcPr>
          <w:p w14:paraId="3FD9DD4C" w14:textId="77777777" w:rsidR="009867E7" w:rsidRPr="00300C59" w:rsidRDefault="009867E7" w:rsidP="007C520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b/>
                <w:color w:val="000000"/>
                <w:sz w:val="20"/>
              </w:rPr>
            </w:pPr>
            <w:r w:rsidRPr="00300C59">
              <w:rPr>
                <w:b/>
                <w:color w:val="000000"/>
                <w:sz w:val="20"/>
              </w:rPr>
              <w:t>4.9%</w:t>
            </w:r>
          </w:p>
        </w:tc>
      </w:tr>
      <w:tr w:rsidR="009867E7" w14:paraId="593D21D4" w14:textId="77777777" w:rsidTr="007C520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663" w:type="dxa"/>
          </w:tcPr>
          <w:p w14:paraId="664EFCAF" w14:textId="77777777" w:rsidR="009867E7" w:rsidRPr="00300C59" w:rsidRDefault="009867E7" w:rsidP="007C520D">
            <w:pPr>
              <w:pStyle w:val="TableBody"/>
              <w:rPr>
                <w:szCs w:val="22"/>
              </w:rPr>
            </w:pPr>
            <w:r w:rsidRPr="00300C59">
              <w:rPr>
                <w:szCs w:val="22"/>
              </w:rPr>
              <w:t>Persons with Illicit Drug Dependence/ Abuse</w:t>
            </w:r>
          </w:p>
        </w:tc>
        <w:tc>
          <w:tcPr>
            <w:tcW w:w="875" w:type="dxa"/>
          </w:tcPr>
          <w:p w14:paraId="7F40B643" w14:textId="77777777" w:rsidR="009867E7" w:rsidRPr="00300C59" w:rsidRDefault="009867E7" w:rsidP="007C520D">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color w:val="000000"/>
                <w:sz w:val="20"/>
              </w:rPr>
            </w:pPr>
            <w:r w:rsidRPr="00300C59">
              <w:rPr>
                <w:color w:val="000000"/>
                <w:sz w:val="20"/>
              </w:rPr>
              <w:t>56,000</w:t>
            </w:r>
          </w:p>
        </w:tc>
        <w:tc>
          <w:tcPr>
            <w:tcW w:w="1291" w:type="dxa"/>
          </w:tcPr>
          <w:p w14:paraId="709D2FBC" w14:textId="77777777" w:rsidR="009867E7" w:rsidRPr="00300C59" w:rsidRDefault="009867E7" w:rsidP="007C520D">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b/>
                <w:color w:val="000000"/>
                <w:sz w:val="20"/>
              </w:rPr>
            </w:pPr>
            <w:r w:rsidRPr="00300C59">
              <w:rPr>
                <w:b/>
                <w:color w:val="000000"/>
                <w:sz w:val="20"/>
              </w:rPr>
              <w:t>2.4%</w:t>
            </w:r>
          </w:p>
        </w:tc>
      </w:tr>
      <w:tr w:rsidR="009867E7" w14:paraId="1260D048" w14:textId="77777777" w:rsidTr="007C520D">
        <w:trPr>
          <w:trHeight w:val="620"/>
        </w:trPr>
        <w:tc>
          <w:tcPr>
            <w:cnfStyle w:val="001000000000" w:firstRow="0" w:lastRow="0" w:firstColumn="1" w:lastColumn="0" w:oddVBand="0" w:evenVBand="0" w:oddHBand="0" w:evenHBand="0" w:firstRowFirstColumn="0" w:firstRowLastColumn="0" w:lastRowFirstColumn="0" w:lastRowLastColumn="0"/>
            <w:tcW w:w="3663" w:type="dxa"/>
          </w:tcPr>
          <w:p w14:paraId="19479676" w14:textId="77777777" w:rsidR="009867E7" w:rsidRPr="00300C59" w:rsidRDefault="009867E7" w:rsidP="007C520D">
            <w:pPr>
              <w:pStyle w:val="TableBody"/>
              <w:rPr>
                <w:szCs w:val="22"/>
              </w:rPr>
            </w:pPr>
            <w:r w:rsidRPr="00300C59">
              <w:rPr>
                <w:szCs w:val="22"/>
              </w:rPr>
              <w:t>Persons with Alcohol Dependence/ Abuse</w:t>
            </w:r>
          </w:p>
        </w:tc>
        <w:tc>
          <w:tcPr>
            <w:tcW w:w="875" w:type="dxa"/>
          </w:tcPr>
          <w:p w14:paraId="6A63FB8A" w14:textId="77777777" w:rsidR="009867E7" w:rsidRPr="00300C59" w:rsidRDefault="009867E7" w:rsidP="007C520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color w:val="000000"/>
                <w:sz w:val="20"/>
              </w:rPr>
            </w:pPr>
            <w:r w:rsidRPr="00300C59">
              <w:rPr>
                <w:color w:val="000000"/>
                <w:sz w:val="20"/>
              </w:rPr>
              <w:t>120,000</w:t>
            </w:r>
          </w:p>
        </w:tc>
        <w:tc>
          <w:tcPr>
            <w:tcW w:w="1291" w:type="dxa"/>
          </w:tcPr>
          <w:p w14:paraId="18B5D2B3" w14:textId="77777777" w:rsidR="009867E7" w:rsidRPr="00300C59" w:rsidRDefault="009867E7" w:rsidP="007C520D">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b/>
                <w:color w:val="000000"/>
                <w:sz w:val="20"/>
              </w:rPr>
            </w:pPr>
            <w:r w:rsidRPr="00300C59">
              <w:rPr>
                <w:b/>
                <w:color w:val="000000"/>
                <w:sz w:val="20"/>
              </w:rPr>
              <w:t>5.1%</w:t>
            </w:r>
            <w:r>
              <w:rPr>
                <w:rStyle w:val="FootnoteReference"/>
                <w:b/>
                <w:color w:val="000000"/>
                <w:sz w:val="20"/>
              </w:rPr>
              <w:footnoteReference w:id="2"/>
            </w:r>
          </w:p>
        </w:tc>
      </w:tr>
    </w:tbl>
    <w:p w14:paraId="272316ED" w14:textId="77777777" w:rsidR="009867E7" w:rsidRPr="00EB3E99" w:rsidRDefault="009867E7" w:rsidP="009867E7">
      <w:pPr>
        <w:rPr>
          <w:b/>
          <w:sz w:val="24"/>
          <w:szCs w:val="24"/>
        </w:rPr>
      </w:pPr>
      <w:r w:rsidRPr="00EB3E99">
        <w:rPr>
          <w:i/>
          <w:sz w:val="18"/>
          <w:szCs w:val="24"/>
        </w:rPr>
        <w:t>Source:</w:t>
      </w:r>
      <w:r>
        <w:rPr>
          <w:i/>
          <w:sz w:val="18"/>
          <w:szCs w:val="24"/>
        </w:rPr>
        <w:t xml:space="preserve"> 2012-2016 ACS (S1810), 2016 NSDUH</w:t>
      </w:r>
    </w:p>
    <w:p w14:paraId="0833417E" w14:textId="77777777" w:rsidR="009867E7" w:rsidRDefault="009867E7" w:rsidP="009867E7">
      <w:pPr>
        <w:rPr>
          <w:b/>
          <w:sz w:val="24"/>
          <w:szCs w:val="24"/>
        </w:rPr>
      </w:pPr>
      <w:r>
        <w:rPr>
          <w:b/>
          <w:sz w:val="24"/>
          <w:szCs w:val="24"/>
        </w:rPr>
        <w:t>Describe the characteristics of special needs populations in your community:</w:t>
      </w:r>
    </w:p>
    <w:p w14:paraId="31642583" w14:textId="14FC4D00" w:rsidR="009867E7" w:rsidRPr="003314A2" w:rsidRDefault="009867E7" w:rsidP="009867E7">
      <w:pPr>
        <w:pStyle w:val="Body"/>
        <w:jc w:val="both"/>
        <w:rPr>
          <w:sz w:val="24"/>
          <w:szCs w:val="24"/>
        </w:rPr>
      </w:pPr>
      <w:r w:rsidRPr="003314A2">
        <w:rPr>
          <w:sz w:val="24"/>
          <w:szCs w:val="24"/>
        </w:rPr>
        <w:t>Persons with special needs include the elderly and frail elderly, persons with severe mental illness, developmentally disabled, physically disabled, persons with alcohol/other drug addictions, and public housing residents.  The segments of these populations requiring special housing options ha</w:t>
      </w:r>
      <w:r>
        <w:rPr>
          <w:sz w:val="24"/>
          <w:szCs w:val="24"/>
        </w:rPr>
        <w:t>ve</w:t>
      </w:r>
      <w:r w:rsidRPr="003314A2">
        <w:rPr>
          <w:sz w:val="24"/>
          <w:szCs w:val="24"/>
        </w:rPr>
        <w:t xml:space="preserve"> not been quantified.  Many persons with such special needs also have very low incomes.   Therefore, their needs may have already been considered in estimating the housing needs of persons with very low incomes.  However, for some people, supportive housing – housing with supportive services – is needed</w:t>
      </w:r>
      <w:r w:rsidR="000B7EAD">
        <w:rPr>
          <w:sz w:val="24"/>
          <w:szCs w:val="24"/>
        </w:rPr>
        <w:t>,</w:t>
      </w:r>
      <w:r w:rsidRPr="003314A2">
        <w:rPr>
          <w:sz w:val="24"/>
          <w:szCs w:val="24"/>
        </w:rPr>
        <w:t xml:space="preserve"> as they are unable to undertake the activities of daily living (ADL) without assistance.  </w:t>
      </w:r>
    </w:p>
    <w:p w14:paraId="69FFE8E8" w14:textId="77777777" w:rsidR="009867E7" w:rsidRDefault="009867E7" w:rsidP="009867E7">
      <w:pPr>
        <w:pStyle w:val="Body"/>
        <w:jc w:val="both"/>
        <w:rPr>
          <w:sz w:val="24"/>
          <w:szCs w:val="24"/>
        </w:rPr>
      </w:pPr>
      <w:r w:rsidRPr="003314A2">
        <w:rPr>
          <w:sz w:val="24"/>
          <w:szCs w:val="24"/>
        </w:rPr>
        <w:t xml:space="preserve">Supportive housing is defined as </w:t>
      </w:r>
      <w:r>
        <w:rPr>
          <w:sz w:val="24"/>
          <w:szCs w:val="24"/>
        </w:rPr>
        <w:t>housing</w:t>
      </w:r>
      <w:r w:rsidRPr="003314A2">
        <w:rPr>
          <w:sz w:val="24"/>
          <w:szCs w:val="24"/>
        </w:rPr>
        <w:t xml:space="preserve"> units that provide a range of services needed for the resident to achieve personal goals. Various subpopulations with special needs require supportive housing. The needs of these subpopulations are described below.</w:t>
      </w:r>
    </w:p>
    <w:p w14:paraId="1996EFB7" w14:textId="77777777" w:rsidR="009867E7" w:rsidRPr="00A06587" w:rsidRDefault="009867E7" w:rsidP="009867E7">
      <w:pPr>
        <w:pStyle w:val="Body"/>
        <w:jc w:val="both"/>
        <w:rPr>
          <w:sz w:val="24"/>
          <w:szCs w:val="24"/>
        </w:rPr>
      </w:pPr>
      <w:r w:rsidRPr="00A06587">
        <w:rPr>
          <w:sz w:val="24"/>
          <w:szCs w:val="24"/>
        </w:rPr>
        <w:t>In Kansas, the number of individuals with disabilities is expected to increase due to an increase in life expectancy and aging baby boomers</w:t>
      </w:r>
      <w:r>
        <w:rPr>
          <w:sz w:val="24"/>
          <w:szCs w:val="24"/>
        </w:rPr>
        <w:t xml:space="preserve">. </w:t>
      </w:r>
    </w:p>
    <w:p w14:paraId="4E76F461" w14:textId="77777777" w:rsidR="009867E7" w:rsidRPr="003314A2" w:rsidRDefault="009867E7" w:rsidP="009867E7">
      <w:pPr>
        <w:pStyle w:val="Body"/>
        <w:rPr>
          <w:i/>
          <w:sz w:val="24"/>
          <w:szCs w:val="24"/>
        </w:rPr>
      </w:pPr>
      <w:r w:rsidRPr="003314A2">
        <w:rPr>
          <w:i/>
          <w:sz w:val="24"/>
          <w:szCs w:val="24"/>
        </w:rPr>
        <w:t>Elderly and Frail Elderly</w:t>
      </w:r>
    </w:p>
    <w:p w14:paraId="448A1038" w14:textId="77777777" w:rsidR="009867E7" w:rsidRDefault="009867E7" w:rsidP="009867E7">
      <w:pPr>
        <w:pStyle w:val="Body"/>
        <w:jc w:val="both"/>
        <w:rPr>
          <w:sz w:val="24"/>
          <w:szCs w:val="24"/>
        </w:rPr>
      </w:pPr>
      <w:r w:rsidRPr="003314A2">
        <w:rPr>
          <w:sz w:val="24"/>
          <w:szCs w:val="24"/>
        </w:rPr>
        <w:t>Elderly persons may need housing assistance for two reasons – financial and supportive. When a person has one or more limitations on activities of daily living (ADL), he or she may need assistance to perform routine activities of daily living and, therefore, can be considered frail. Supportive housing is needed when an elderly person is both frail and very low income since housing assistance offers services to compensate for the frailty in addition to the financial assistance</w:t>
      </w:r>
      <w:r>
        <w:rPr>
          <w:sz w:val="24"/>
          <w:szCs w:val="24"/>
        </w:rPr>
        <w:t xml:space="preserve">. </w:t>
      </w:r>
    </w:p>
    <w:p w14:paraId="7F9D0C28" w14:textId="77777777" w:rsidR="009867E7" w:rsidRPr="003314A2" w:rsidRDefault="009867E7" w:rsidP="009867E7">
      <w:pPr>
        <w:pStyle w:val="Body"/>
        <w:rPr>
          <w:i/>
          <w:sz w:val="24"/>
          <w:szCs w:val="24"/>
        </w:rPr>
      </w:pPr>
      <w:r w:rsidRPr="003314A2">
        <w:rPr>
          <w:i/>
          <w:sz w:val="24"/>
          <w:szCs w:val="24"/>
        </w:rPr>
        <w:t>Persons with Mental, Physical, and/or Other Developmental Disabilities</w:t>
      </w:r>
    </w:p>
    <w:p w14:paraId="46E8563D" w14:textId="77777777" w:rsidR="009867E7" w:rsidRPr="003314A2" w:rsidRDefault="009867E7" w:rsidP="009867E7">
      <w:pPr>
        <w:pStyle w:val="Body"/>
        <w:jc w:val="both"/>
        <w:rPr>
          <w:sz w:val="24"/>
          <w:szCs w:val="24"/>
        </w:rPr>
      </w:pPr>
      <w:r w:rsidRPr="003314A2">
        <w:rPr>
          <w:sz w:val="24"/>
          <w:szCs w:val="24"/>
        </w:rPr>
        <w:t>Severe mental illness includes the diagnoses of psychoses and the major affective disorders such as bipolar and major depression. The condition must be chronic, meaning it has existed for at least one year, to meet the HUD definition for a disability.</w:t>
      </w:r>
    </w:p>
    <w:p w14:paraId="5A4137CD" w14:textId="77777777" w:rsidR="009867E7" w:rsidRDefault="009867E7" w:rsidP="009867E7">
      <w:pPr>
        <w:pStyle w:val="Body"/>
        <w:jc w:val="both"/>
        <w:rPr>
          <w:sz w:val="24"/>
          <w:szCs w:val="24"/>
        </w:rPr>
      </w:pPr>
      <w:r w:rsidRPr="003314A2">
        <w:rPr>
          <w:sz w:val="24"/>
          <w:szCs w:val="24"/>
        </w:rPr>
        <w:t xml:space="preserve">Not all persons with disabilities require supportive housing; however, those that cannot live with supportive family or need help </w:t>
      </w:r>
      <w:r>
        <w:rPr>
          <w:sz w:val="24"/>
          <w:szCs w:val="24"/>
        </w:rPr>
        <w:t>with</w:t>
      </w:r>
      <w:r w:rsidRPr="003314A2">
        <w:rPr>
          <w:sz w:val="24"/>
          <w:szCs w:val="24"/>
        </w:rPr>
        <w:t xml:space="preserve"> basic life activities do require supportive housing and/or services. Physically disabled individuals usually require modifications to their living space including the removal of physical barriers. </w:t>
      </w:r>
    </w:p>
    <w:p w14:paraId="1306A4EB" w14:textId="77777777" w:rsidR="009867E7" w:rsidRPr="00B35F39" w:rsidRDefault="009867E7" w:rsidP="009867E7">
      <w:pPr>
        <w:pStyle w:val="Body"/>
        <w:jc w:val="both"/>
        <w:rPr>
          <w:sz w:val="24"/>
          <w:szCs w:val="24"/>
        </w:rPr>
      </w:pPr>
      <w:r w:rsidRPr="00B35F39">
        <w:rPr>
          <w:sz w:val="24"/>
          <w:szCs w:val="24"/>
        </w:rPr>
        <w:t xml:space="preserve">In 2011, 12.2% (342,285) of the Kansas population reported a disability, 6.0% had a sensory disability, 6.4% an ambulatory disability, and 4.5% a cognitive disability. As stated above, 37.5% of persons above 65 years old had a disability, making elderly the most prevalent to have a disability. </w:t>
      </w:r>
    </w:p>
    <w:p w14:paraId="00F17F00" w14:textId="77777777" w:rsidR="009867E7" w:rsidRPr="00B35F39" w:rsidRDefault="009867E7" w:rsidP="009867E7">
      <w:pPr>
        <w:pStyle w:val="Body"/>
        <w:rPr>
          <w:i/>
          <w:sz w:val="24"/>
          <w:szCs w:val="24"/>
        </w:rPr>
      </w:pPr>
      <w:r w:rsidRPr="00B35F39">
        <w:rPr>
          <w:i/>
          <w:sz w:val="24"/>
          <w:szCs w:val="24"/>
        </w:rPr>
        <w:t>Persons with Alcohol or other Drug Addictions</w:t>
      </w:r>
    </w:p>
    <w:p w14:paraId="4BA1DC3F" w14:textId="77777777" w:rsidR="009867E7" w:rsidRDefault="009867E7" w:rsidP="009867E7">
      <w:pPr>
        <w:pStyle w:val="Body"/>
        <w:jc w:val="both"/>
        <w:rPr>
          <w:sz w:val="24"/>
          <w:szCs w:val="24"/>
        </w:rPr>
      </w:pPr>
      <w:r w:rsidRPr="00B35F39">
        <w:rPr>
          <w:sz w:val="24"/>
          <w:szCs w:val="24"/>
        </w:rPr>
        <w:t>According to data provided by the Kansas Behavior Risk Factor Surveillance in 2012, 52,000 of Kansans reported illicit drug dependence/ abuse and 183,000 individuals reported alcohol dependence or abuse. This comprised approximately 1.9% and 6.5% of the population, respectively.</w:t>
      </w:r>
    </w:p>
    <w:p w14:paraId="1B8B2E0A" w14:textId="77777777" w:rsidR="009867E7" w:rsidRDefault="009867E7" w:rsidP="009867E7">
      <w:pPr>
        <w:pStyle w:val="Body"/>
        <w:rPr>
          <w:i/>
          <w:sz w:val="24"/>
          <w:szCs w:val="24"/>
        </w:rPr>
      </w:pPr>
      <w:r w:rsidRPr="003314A2">
        <w:rPr>
          <w:i/>
          <w:sz w:val="24"/>
          <w:szCs w:val="24"/>
        </w:rPr>
        <w:t>Persons with HIV/AIDS and their families</w:t>
      </w:r>
    </w:p>
    <w:p w14:paraId="4571E9B5" w14:textId="40BACB94" w:rsidR="009867E7" w:rsidRDefault="009867E7" w:rsidP="009867E7">
      <w:pPr>
        <w:pStyle w:val="Body"/>
        <w:jc w:val="both"/>
        <w:rPr>
          <w:b/>
          <w:sz w:val="24"/>
          <w:szCs w:val="24"/>
        </w:rPr>
      </w:pPr>
      <w:r w:rsidRPr="00E97BB2">
        <w:rPr>
          <w:sz w:val="24"/>
          <w:szCs w:val="24"/>
        </w:rPr>
        <w:t xml:space="preserve">Persons diagnosed with HIV and AIDS represent a very small portion of the Kansas population. In 2014, the Kansas HIV/ AIDS Report System (also referred to as eHARS) </w:t>
      </w:r>
      <w:r w:rsidRPr="00B35F39">
        <w:rPr>
          <w:sz w:val="24"/>
          <w:szCs w:val="24"/>
        </w:rPr>
        <w:t>reported 2,423 persons</w:t>
      </w:r>
      <w:r>
        <w:rPr>
          <w:sz w:val="24"/>
          <w:szCs w:val="24"/>
        </w:rPr>
        <w:t xml:space="preserve"> with AIDS and 2</w:t>
      </w:r>
      <w:r w:rsidRPr="00E97BB2">
        <w:rPr>
          <w:sz w:val="24"/>
          <w:szCs w:val="24"/>
        </w:rPr>
        <w:t>,</w:t>
      </w:r>
      <w:r>
        <w:rPr>
          <w:sz w:val="24"/>
          <w:szCs w:val="24"/>
        </w:rPr>
        <w:t>827</w:t>
      </w:r>
      <w:r w:rsidRPr="00E97BB2">
        <w:rPr>
          <w:sz w:val="24"/>
          <w:szCs w:val="24"/>
        </w:rPr>
        <w:t xml:space="preserve"> persons with HIV. In both cased this represented less than 0.1% of the </w:t>
      </w:r>
      <w:r w:rsidR="00556755">
        <w:rPr>
          <w:sz w:val="24"/>
          <w:szCs w:val="24"/>
        </w:rPr>
        <w:t>state</w:t>
      </w:r>
      <w:r w:rsidRPr="00E97BB2">
        <w:rPr>
          <w:sz w:val="24"/>
          <w:szCs w:val="24"/>
        </w:rPr>
        <w:t>’s population, in other words less than 1 in 1,000 residents.</w:t>
      </w:r>
    </w:p>
    <w:p w14:paraId="3E1FA7CF" w14:textId="77777777" w:rsidR="009867E7" w:rsidRDefault="009867E7" w:rsidP="009867E7">
      <w:pPr>
        <w:rPr>
          <w:b/>
          <w:sz w:val="24"/>
          <w:szCs w:val="24"/>
        </w:rPr>
      </w:pPr>
      <w:r>
        <w:rPr>
          <w:b/>
          <w:sz w:val="24"/>
          <w:szCs w:val="24"/>
        </w:rPr>
        <w:t xml:space="preserve">What are the housing and supportive service needs of these populations and how are these needs determined?   </w:t>
      </w:r>
    </w:p>
    <w:p w14:paraId="5F758EFB" w14:textId="77777777" w:rsidR="009867E7" w:rsidRPr="00D91E60" w:rsidRDefault="009867E7" w:rsidP="009867E7">
      <w:pPr>
        <w:pStyle w:val="Body"/>
        <w:jc w:val="both"/>
        <w:rPr>
          <w:sz w:val="24"/>
          <w:szCs w:val="24"/>
        </w:rPr>
      </w:pPr>
      <w:r w:rsidRPr="00D91E60">
        <w:rPr>
          <w:sz w:val="24"/>
          <w:szCs w:val="24"/>
        </w:rPr>
        <w:t xml:space="preserve">There is a growing share of need among senior homeowners aging in place, extremely low income senior renters, and older seniors needing service enriched housing options. These seniors need home repair/improvement, rental assistance, and residential support service. Additionally, many frail </w:t>
      </w:r>
      <w:r>
        <w:rPr>
          <w:sz w:val="24"/>
          <w:szCs w:val="24"/>
        </w:rPr>
        <w:t>seniors</w:t>
      </w:r>
      <w:r w:rsidRPr="00D91E60">
        <w:rPr>
          <w:sz w:val="24"/>
          <w:szCs w:val="24"/>
        </w:rPr>
        <w:t xml:space="preserve"> do not have access to appropriate housing considering their disabilities.</w:t>
      </w:r>
    </w:p>
    <w:p w14:paraId="3BFB2AC5" w14:textId="77777777" w:rsidR="009867E7" w:rsidRPr="00B35F39" w:rsidRDefault="009867E7" w:rsidP="009867E7">
      <w:pPr>
        <w:pStyle w:val="Body"/>
        <w:jc w:val="both"/>
        <w:rPr>
          <w:sz w:val="24"/>
          <w:szCs w:val="24"/>
        </w:rPr>
      </w:pPr>
      <w:r w:rsidRPr="00B35F39">
        <w:rPr>
          <w:sz w:val="24"/>
          <w:szCs w:val="24"/>
        </w:rPr>
        <w:t>The previous statewide Consolidated Plan noted that there was a significant need for appropriate housing for the physically disabled. Considering disability demographics and the number of housing units available for this population has not changed since 2009, this need still remains.</w:t>
      </w:r>
    </w:p>
    <w:p w14:paraId="2DA49D83" w14:textId="77777777" w:rsidR="009867E7" w:rsidRPr="00D91E60" w:rsidRDefault="009867E7" w:rsidP="009867E7">
      <w:pPr>
        <w:pStyle w:val="Body"/>
        <w:jc w:val="both"/>
        <w:rPr>
          <w:sz w:val="24"/>
          <w:szCs w:val="24"/>
        </w:rPr>
      </w:pPr>
      <w:r w:rsidRPr="00B35F39">
        <w:rPr>
          <w:sz w:val="24"/>
          <w:szCs w:val="24"/>
        </w:rPr>
        <w:t>According to the National Survey on Drug Use and Health (NSDUH) in 2009 there is a significant need for more treatment for persons with alcohol abuse/ dependence and illicit drug abuse/ dependence. Approximately 90% of persons with illicit drug dependence or abuse were not receiving the treatment needed. The percentage was even higher for persons with alcohol dependence or abuse at 93%.</w:t>
      </w:r>
    </w:p>
    <w:p w14:paraId="1F3B6B2E" w14:textId="77777777" w:rsidR="009867E7" w:rsidRDefault="009867E7" w:rsidP="009867E7">
      <w:pPr>
        <w:rPr>
          <w:rFonts w:cs="Arial"/>
          <w:b/>
          <w:sz w:val="24"/>
          <w:szCs w:val="24"/>
        </w:rPr>
      </w:pPr>
      <w:r w:rsidRPr="00D91E60">
        <w:rPr>
          <w:sz w:val="24"/>
          <w:szCs w:val="24"/>
        </w:rPr>
        <w:t xml:space="preserve">According to the Kansas Statewide Coordinated Statement of Need, in terms of housing need, persons living with HIV/AIDS need continued assistance for housing, utilities, and rental assistance. Supportive service needs identified include: assistance with medication and paying </w:t>
      </w:r>
      <w:r>
        <w:rPr>
          <w:sz w:val="24"/>
          <w:szCs w:val="24"/>
        </w:rPr>
        <w:t xml:space="preserve">health </w:t>
      </w:r>
      <w:r w:rsidRPr="00D91E60">
        <w:rPr>
          <w:sz w:val="24"/>
          <w:szCs w:val="24"/>
        </w:rPr>
        <w:t>insurance premiums.</w:t>
      </w:r>
    </w:p>
    <w:p w14:paraId="458B8D37" w14:textId="77777777" w:rsidR="009867E7" w:rsidRDefault="009867E7" w:rsidP="009867E7">
      <w:pPr>
        <w:rPr>
          <w:b/>
          <w:sz w:val="24"/>
          <w:szCs w:val="24"/>
        </w:rPr>
      </w:pPr>
      <w:r>
        <w:rPr>
          <w:b/>
          <w:sz w:val="24"/>
          <w:szCs w:val="24"/>
        </w:rPr>
        <w:t xml:space="preserve">Discuss the size and characteristics of the population with HIV/AIDS and their families within the Eligible Metropolitan Statistical Area: </w:t>
      </w:r>
    </w:p>
    <w:p w14:paraId="15B55817" w14:textId="77777777" w:rsidR="009867E7" w:rsidRPr="00263B46" w:rsidRDefault="009867E7" w:rsidP="009867E7">
      <w:pPr>
        <w:rPr>
          <w:sz w:val="24"/>
          <w:szCs w:val="24"/>
        </w:rPr>
      </w:pPr>
      <w:r>
        <w:rPr>
          <w:sz w:val="24"/>
          <w:szCs w:val="24"/>
        </w:rPr>
        <w:t>This information may be found in the other parts of this section of the plan.</w:t>
      </w:r>
    </w:p>
    <w:p w14:paraId="69012D6A" w14:textId="77777777" w:rsidR="009867E7" w:rsidRDefault="009867E7" w:rsidP="009867E7">
      <w:pPr>
        <w:spacing w:line="204" w:lineRule="auto"/>
        <w:rPr>
          <w:b/>
          <w:sz w:val="24"/>
          <w:szCs w:val="24"/>
        </w:rPr>
      </w:pPr>
      <w:r>
        <w:rPr>
          <w:b/>
          <w:sz w:val="24"/>
          <w:szCs w:val="24"/>
        </w:rPr>
        <w:t>Discussion:</w:t>
      </w:r>
    </w:p>
    <w:p w14:paraId="6D382B26" w14:textId="77777777" w:rsidR="009867E7" w:rsidRDefault="009867E7" w:rsidP="009867E7">
      <w:pPr>
        <w:pStyle w:val="Heading2"/>
        <w:pageBreakBefore/>
        <w:shd w:val="clear" w:color="auto" w:fill="95B3D7" w:themeFill="accent1" w:themeFillTint="99"/>
        <w:rPr>
          <w:rFonts w:ascii="Calibri" w:hAnsi="Calibri"/>
          <w:i w:val="0"/>
        </w:rPr>
      </w:pPr>
      <w:bookmarkStart w:id="32" w:name="_Toc524603017"/>
      <w:r>
        <w:rPr>
          <w:rFonts w:ascii="Calibri" w:hAnsi="Calibri"/>
          <w:i w:val="0"/>
        </w:rPr>
        <w:t>NA-50 Non-Housing Community Development Needs - 91.315 (f)</w:t>
      </w:r>
      <w:bookmarkEnd w:id="32"/>
    </w:p>
    <w:p w14:paraId="1EDC435F" w14:textId="038A52A2" w:rsidR="009867E7" w:rsidRDefault="009867E7" w:rsidP="009867E7">
      <w:pPr>
        <w:pStyle w:val="Body"/>
        <w:rPr>
          <w:sz w:val="24"/>
          <w:szCs w:val="24"/>
        </w:rPr>
      </w:pPr>
      <w:r w:rsidRPr="00F762AF">
        <w:rPr>
          <w:sz w:val="24"/>
          <w:szCs w:val="24"/>
        </w:rPr>
        <w:t xml:space="preserve">The State of Kansas has not chosen to target particular geographical areas for special assistance under the CDBG Program. Rather, </w:t>
      </w:r>
      <w:r>
        <w:rPr>
          <w:sz w:val="24"/>
          <w:szCs w:val="24"/>
        </w:rPr>
        <w:t>it permits</w:t>
      </w:r>
      <w:r w:rsidRPr="00F762AF">
        <w:rPr>
          <w:sz w:val="24"/>
          <w:szCs w:val="24"/>
        </w:rPr>
        <w:t xml:space="preserve"> all the non-entitlement communities to submit applications in funding categories on a competitive basis. Thus, </w:t>
      </w:r>
      <w:r>
        <w:rPr>
          <w:sz w:val="24"/>
          <w:szCs w:val="24"/>
        </w:rPr>
        <w:t>the State has</w:t>
      </w:r>
      <w:r w:rsidRPr="00F762AF">
        <w:rPr>
          <w:sz w:val="24"/>
          <w:szCs w:val="24"/>
        </w:rPr>
        <w:t xml:space="preserve"> not authorized or approved any local government revitalization strategies.</w:t>
      </w:r>
    </w:p>
    <w:p w14:paraId="03116304" w14:textId="2E22AE6D" w:rsidR="009867E7" w:rsidRPr="00F762AF" w:rsidRDefault="009867E7" w:rsidP="009867E7">
      <w:pPr>
        <w:pStyle w:val="Body"/>
        <w:rPr>
          <w:sz w:val="24"/>
          <w:szCs w:val="24"/>
        </w:rPr>
      </w:pPr>
      <w:r w:rsidRPr="00F762AF">
        <w:rPr>
          <w:sz w:val="24"/>
          <w:szCs w:val="24"/>
        </w:rPr>
        <w:t>The State will distribute development resources in proportion to development needs</w:t>
      </w:r>
      <w:r>
        <w:rPr>
          <w:sz w:val="24"/>
          <w:szCs w:val="24"/>
        </w:rPr>
        <w:t xml:space="preserve">. </w:t>
      </w:r>
      <w:r w:rsidRPr="00F762AF">
        <w:rPr>
          <w:sz w:val="24"/>
          <w:szCs w:val="24"/>
        </w:rPr>
        <w:t>In general, the Kansas Department of Commerce (</w:t>
      </w:r>
      <w:r>
        <w:rPr>
          <w:sz w:val="24"/>
          <w:szCs w:val="24"/>
        </w:rPr>
        <w:t>KDOC</w:t>
      </w:r>
      <w:r w:rsidRPr="00F762AF">
        <w:rPr>
          <w:sz w:val="24"/>
          <w:szCs w:val="24"/>
        </w:rPr>
        <w:t xml:space="preserve">), </w:t>
      </w:r>
      <w:r>
        <w:rPr>
          <w:sz w:val="24"/>
          <w:szCs w:val="24"/>
        </w:rPr>
        <w:t xml:space="preserve">the </w:t>
      </w:r>
      <w:r w:rsidRPr="00F762AF">
        <w:rPr>
          <w:sz w:val="24"/>
          <w:szCs w:val="24"/>
        </w:rPr>
        <w:t xml:space="preserve">Kansas Housing Resources Corporation (KHRC), and the Kansas Department of Health and Environment (KDHE) will approve funding for development projects which satisfy one or more of the following criteria: </w:t>
      </w:r>
    </w:p>
    <w:p w14:paraId="4D103937" w14:textId="59533B46" w:rsidR="009867E7" w:rsidRPr="00942616" w:rsidRDefault="009867E7" w:rsidP="00A121EE">
      <w:pPr>
        <w:pStyle w:val="Default"/>
        <w:numPr>
          <w:ilvl w:val="0"/>
          <w:numId w:val="15"/>
        </w:numPr>
        <w:spacing w:line="276" w:lineRule="auto"/>
        <w:ind w:left="720"/>
        <w:rPr>
          <w:rFonts w:asciiTheme="minorHAnsi" w:hAnsiTheme="minorHAnsi"/>
        </w:rPr>
      </w:pPr>
      <w:r w:rsidRPr="00942616">
        <w:rPr>
          <w:rFonts w:asciiTheme="minorHAnsi" w:hAnsiTheme="minorHAnsi"/>
          <w:b/>
          <w:bCs/>
        </w:rPr>
        <w:t xml:space="preserve">Community Need </w:t>
      </w:r>
      <w:r w:rsidRPr="00942616">
        <w:rPr>
          <w:rFonts w:asciiTheme="minorHAnsi" w:hAnsiTheme="minorHAnsi"/>
        </w:rPr>
        <w:t xml:space="preserve">- Comparison of development needs between cities, counties, and regions of the </w:t>
      </w:r>
      <w:r w:rsidR="00556755">
        <w:rPr>
          <w:rFonts w:asciiTheme="minorHAnsi" w:hAnsiTheme="minorHAnsi"/>
        </w:rPr>
        <w:t>state</w:t>
      </w:r>
      <w:r w:rsidRPr="00942616">
        <w:rPr>
          <w:rFonts w:asciiTheme="minorHAnsi" w:hAnsiTheme="minorHAnsi"/>
        </w:rPr>
        <w:t xml:space="preserve">. Development resources will be allocated to areas of greatest need, i.e., unmet need. </w:t>
      </w:r>
    </w:p>
    <w:p w14:paraId="026FC5A2" w14:textId="03C0129B" w:rsidR="009867E7" w:rsidRPr="00942616" w:rsidRDefault="009867E7" w:rsidP="00A121EE">
      <w:pPr>
        <w:pStyle w:val="Default"/>
        <w:numPr>
          <w:ilvl w:val="0"/>
          <w:numId w:val="15"/>
        </w:numPr>
        <w:spacing w:line="276" w:lineRule="auto"/>
        <w:ind w:left="720"/>
        <w:rPr>
          <w:rFonts w:asciiTheme="minorHAnsi" w:hAnsiTheme="minorHAnsi"/>
        </w:rPr>
      </w:pPr>
      <w:r w:rsidRPr="00942616">
        <w:rPr>
          <w:rFonts w:asciiTheme="minorHAnsi" w:hAnsiTheme="minorHAnsi"/>
          <w:b/>
          <w:bCs/>
        </w:rPr>
        <w:t xml:space="preserve">Community Effort </w:t>
      </w:r>
      <w:r w:rsidRPr="00942616">
        <w:rPr>
          <w:rFonts w:asciiTheme="minorHAnsi" w:hAnsiTheme="minorHAnsi"/>
        </w:rPr>
        <w:t xml:space="preserve">- Comparison of the shares of assisted development between cities, counties, and regions of the </w:t>
      </w:r>
      <w:r w:rsidR="00556755">
        <w:rPr>
          <w:rFonts w:asciiTheme="minorHAnsi" w:hAnsiTheme="minorHAnsi"/>
        </w:rPr>
        <w:t>state</w:t>
      </w:r>
      <w:r w:rsidRPr="00942616">
        <w:rPr>
          <w:rFonts w:asciiTheme="minorHAnsi" w:hAnsiTheme="minorHAnsi"/>
        </w:rPr>
        <w:t xml:space="preserve">. Areas with low shares of assisted development will be encouraged to seek a fair share of development resources. </w:t>
      </w:r>
    </w:p>
    <w:p w14:paraId="14FD8962" w14:textId="76E9096F" w:rsidR="009867E7" w:rsidRPr="00942616" w:rsidRDefault="009867E7" w:rsidP="00A121EE">
      <w:pPr>
        <w:pStyle w:val="Default"/>
        <w:numPr>
          <w:ilvl w:val="0"/>
          <w:numId w:val="15"/>
        </w:numPr>
        <w:spacing w:line="276" w:lineRule="auto"/>
        <w:ind w:left="720"/>
        <w:rPr>
          <w:rFonts w:asciiTheme="minorHAnsi" w:hAnsiTheme="minorHAnsi"/>
        </w:rPr>
      </w:pPr>
      <w:r w:rsidRPr="00942616">
        <w:rPr>
          <w:rFonts w:asciiTheme="minorHAnsi" w:hAnsiTheme="minorHAnsi"/>
          <w:b/>
          <w:bCs/>
        </w:rPr>
        <w:t xml:space="preserve">Resident Need </w:t>
      </w:r>
      <w:r w:rsidRPr="00942616">
        <w:rPr>
          <w:rFonts w:asciiTheme="minorHAnsi" w:hAnsiTheme="minorHAnsi"/>
        </w:rPr>
        <w:t xml:space="preserve">- Comparison of income eligible persons within cities, counties, and regions of the </w:t>
      </w:r>
      <w:r w:rsidR="00556755">
        <w:rPr>
          <w:rFonts w:asciiTheme="minorHAnsi" w:hAnsiTheme="minorHAnsi"/>
        </w:rPr>
        <w:t>state</w:t>
      </w:r>
      <w:r w:rsidRPr="00942616">
        <w:rPr>
          <w:rFonts w:asciiTheme="minorHAnsi" w:hAnsiTheme="minorHAnsi"/>
        </w:rPr>
        <w:t xml:space="preserve">. Development resources will be allocated first to the lowest income eligible persons within an area. </w:t>
      </w:r>
    </w:p>
    <w:p w14:paraId="5D8C2A8D" w14:textId="78CD8BF6" w:rsidR="009867E7" w:rsidRPr="00942616" w:rsidRDefault="009867E7" w:rsidP="00A121EE">
      <w:pPr>
        <w:pStyle w:val="Default"/>
        <w:numPr>
          <w:ilvl w:val="0"/>
          <w:numId w:val="15"/>
        </w:numPr>
        <w:spacing w:line="276" w:lineRule="auto"/>
        <w:ind w:left="720"/>
        <w:rPr>
          <w:rFonts w:asciiTheme="minorHAnsi" w:hAnsiTheme="minorHAnsi"/>
        </w:rPr>
      </w:pPr>
      <w:r w:rsidRPr="00942616">
        <w:rPr>
          <w:rFonts w:asciiTheme="minorHAnsi" w:hAnsiTheme="minorHAnsi"/>
          <w:b/>
          <w:bCs/>
        </w:rPr>
        <w:t xml:space="preserve">Resident Risk </w:t>
      </w:r>
      <w:r w:rsidRPr="00942616">
        <w:rPr>
          <w:rFonts w:asciiTheme="minorHAnsi" w:hAnsiTheme="minorHAnsi"/>
        </w:rPr>
        <w:t xml:space="preserve">- Comparison of persons with multiple risks versus single risks, within cities, counties, and regions of the </w:t>
      </w:r>
      <w:r w:rsidR="00556755">
        <w:rPr>
          <w:rFonts w:asciiTheme="minorHAnsi" w:hAnsiTheme="minorHAnsi"/>
        </w:rPr>
        <w:t>state</w:t>
      </w:r>
      <w:r w:rsidRPr="00942616">
        <w:rPr>
          <w:rFonts w:asciiTheme="minorHAnsi" w:hAnsiTheme="minorHAnsi"/>
        </w:rPr>
        <w:t xml:space="preserve">, i.e., unemployment, cost burden, racial minority, single parent, physical disability, etc. Development resources will be allocated first to persons with multiple risks within an area. </w:t>
      </w:r>
    </w:p>
    <w:p w14:paraId="65494BAC" w14:textId="30A4C3A6" w:rsidR="009867E7" w:rsidRDefault="009867E7" w:rsidP="00A121EE">
      <w:pPr>
        <w:pStyle w:val="Default"/>
        <w:numPr>
          <w:ilvl w:val="0"/>
          <w:numId w:val="15"/>
        </w:numPr>
        <w:spacing w:line="276" w:lineRule="auto"/>
        <w:ind w:left="720"/>
        <w:rPr>
          <w:rFonts w:asciiTheme="minorHAnsi" w:hAnsiTheme="minorHAnsi"/>
        </w:rPr>
      </w:pPr>
      <w:r w:rsidRPr="00942616">
        <w:rPr>
          <w:rFonts w:asciiTheme="minorHAnsi" w:hAnsiTheme="minorHAnsi"/>
          <w:b/>
          <w:bCs/>
        </w:rPr>
        <w:t xml:space="preserve">Preventive Action </w:t>
      </w:r>
      <w:r w:rsidRPr="00942616">
        <w:rPr>
          <w:rFonts w:asciiTheme="minorHAnsi" w:hAnsiTheme="minorHAnsi"/>
        </w:rPr>
        <w:t xml:space="preserve">- Preventing shortages of development resources within cities, counties, and regions of the </w:t>
      </w:r>
      <w:r w:rsidR="00556755">
        <w:rPr>
          <w:rFonts w:asciiTheme="minorHAnsi" w:hAnsiTheme="minorHAnsi"/>
        </w:rPr>
        <w:t>state</w:t>
      </w:r>
      <w:r w:rsidRPr="00942616">
        <w:rPr>
          <w:rFonts w:asciiTheme="minorHAnsi" w:hAnsiTheme="minorHAnsi"/>
        </w:rPr>
        <w:t xml:space="preserve">. Development resources will be allocated early to areas undergoing economic development and/or deinstitutionalization of persons with disabilities. </w:t>
      </w:r>
    </w:p>
    <w:p w14:paraId="47E8E744" w14:textId="77777777" w:rsidR="009867E7" w:rsidRPr="00942616" w:rsidRDefault="009867E7" w:rsidP="009867E7">
      <w:pPr>
        <w:pStyle w:val="Default"/>
        <w:spacing w:line="276" w:lineRule="auto"/>
        <w:ind w:left="720"/>
        <w:rPr>
          <w:rFonts w:asciiTheme="minorHAnsi" w:hAnsiTheme="minorHAnsi"/>
        </w:rPr>
      </w:pPr>
    </w:p>
    <w:p w14:paraId="4CFCF71D" w14:textId="77777777" w:rsidR="009867E7" w:rsidRDefault="009867E7" w:rsidP="009867E7">
      <w:pPr>
        <w:pStyle w:val="Body"/>
        <w:rPr>
          <w:sz w:val="24"/>
          <w:szCs w:val="24"/>
        </w:rPr>
      </w:pPr>
      <w:r>
        <w:rPr>
          <w:sz w:val="24"/>
          <w:szCs w:val="24"/>
        </w:rPr>
        <w:t>The following three categories defined by HUD for non-housing community development needs, Public Facilities, Public Improvements, and Public Services, are outlined below. Note that information collected for economic development needs is outlined in MA-45.</w:t>
      </w:r>
    </w:p>
    <w:p w14:paraId="1FA10474" w14:textId="77777777" w:rsidR="009867E7" w:rsidRDefault="009867E7" w:rsidP="009867E7">
      <w:pPr>
        <w:rPr>
          <w:b/>
          <w:sz w:val="24"/>
          <w:szCs w:val="24"/>
        </w:rPr>
      </w:pPr>
      <w:r>
        <w:rPr>
          <w:b/>
          <w:sz w:val="24"/>
          <w:szCs w:val="24"/>
        </w:rPr>
        <w:t>Describe the jurisdiction’s need for Public Facilities:</w:t>
      </w:r>
    </w:p>
    <w:p w14:paraId="7F34A5B6" w14:textId="77777777" w:rsidR="009867E7" w:rsidRDefault="009867E7" w:rsidP="009867E7">
      <w:pPr>
        <w:pStyle w:val="Body"/>
        <w:rPr>
          <w:sz w:val="24"/>
          <w:szCs w:val="24"/>
        </w:rPr>
      </w:pPr>
      <w:r w:rsidRPr="00805931">
        <w:rPr>
          <w:sz w:val="24"/>
          <w:szCs w:val="24"/>
        </w:rPr>
        <w:t>The State of Kansas c</w:t>
      </w:r>
      <w:r>
        <w:rPr>
          <w:sz w:val="24"/>
          <w:szCs w:val="24"/>
        </w:rPr>
        <w:t>ontinues to need public facilities</w:t>
      </w:r>
      <w:r w:rsidRPr="00805931">
        <w:rPr>
          <w:sz w:val="24"/>
          <w:szCs w:val="24"/>
        </w:rPr>
        <w:t xml:space="preserve">.  Through the Department of Commerce, </w:t>
      </w:r>
      <w:r>
        <w:rPr>
          <w:sz w:val="24"/>
          <w:szCs w:val="24"/>
        </w:rPr>
        <w:t xml:space="preserve">Community Development Block Grant (CDBG) funds will be directed towards public improvements.  </w:t>
      </w:r>
    </w:p>
    <w:p w14:paraId="21C63393" w14:textId="77777777" w:rsidR="009867E7" w:rsidRDefault="009867E7" w:rsidP="009867E7">
      <w:pPr>
        <w:pStyle w:val="Body"/>
        <w:rPr>
          <w:sz w:val="24"/>
          <w:szCs w:val="24"/>
        </w:rPr>
      </w:pPr>
      <w:r>
        <w:rPr>
          <w:sz w:val="24"/>
          <w:szCs w:val="24"/>
        </w:rPr>
        <w:t>Addressing the need for public facilities was one of the identified State policies. (Note: while HUD defines the activities as “public facilities,” some of the activities are defined as “community facilities” in Kansas.)</w:t>
      </w:r>
    </w:p>
    <w:p w14:paraId="4BB55D00" w14:textId="77777777" w:rsidR="009867E7" w:rsidRPr="00AB6D3C" w:rsidRDefault="009867E7" w:rsidP="009867E7">
      <w:pPr>
        <w:rPr>
          <w:i/>
          <w:sz w:val="24"/>
          <w:szCs w:val="24"/>
        </w:rPr>
      </w:pPr>
      <w:r w:rsidRPr="00AB6D3C">
        <w:rPr>
          <w:b/>
          <w:i/>
          <w:sz w:val="24"/>
          <w:szCs w:val="24"/>
        </w:rPr>
        <w:t>Community Facilities</w:t>
      </w:r>
      <w:r w:rsidRPr="00AB6D3C">
        <w:rPr>
          <w:i/>
          <w:sz w:val="24"/>
          <w:szCs w:val="24"/>
        </w:rPr>
        <w:t xml:space="preserve"> </w:t>
      </w:r>
    </w:p>
    <w:p w14:paraId="07BDB799" w14:textId="77777777" w:rsidR="009867E7" w:rsidRDefault="009867E7" w:rsidP="009867E7">
      <w:pPr>
        <w:rPr>
          <w:sz w:val="24"/>
          <w:szCs w:val="24"/>
        </w:rPr>
      </w:pPr>
      <w:r>
        <w:rPr>
          <w:sz w:val="24"/>
          <w:szCs w:val="24"/>
        </w:rPr>
        <w:t>P</w:t>
      </w:r>
      <w:r w:rsidRPr="002E6457">
        <w:rPr>
          <w:sz w:val="24"/>
          <w:szCs w:val="24"/>
        </w:rPr>
        <w:t>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The project grant amount is limited to $2,000 per beneficiary up to a maximum of $</w:t>
      </w:r>
      <w:r>
        <w:rPr>
          <w:sz w:val="24"/>
          <w:szCs w:val="24"/>
        </w:rPr>
        <w:t>700,000</w:t>
      </w:r>
      <w:r w:rsidRPr="002E6457">
        <w:rPr>
          <w:sz w:val="24"/>
          <w:szCs w:val="24"/>
        </w:rPr>
        <w:t>.</w:t>
      </w:r>
    </w:p>
    <w:p w14:paraId="14391FF5" w14:textId="77777777" w:rsidR="009867E7" w:rsidRPr="00D379FF" w:rsidRDefault="009867E7" w:rsidP="009867E7">
      <w:pPr>
        <w:rPr>
          <w:sz w:val="24"/>
          <w:szCs w:val="24"/>
        </w:rPr>
      </w:pPr>
      <w:r>
        <w:rPr>
          <w:sz w:val="24"/>
          <w:szCs w:val="24"/>
        </w:rPr>
        <w:t>It is estimated that 15% to 35% of CDBG funds will be expended on community facilities in any given year, depending on the level of need for public facilities during the five-year period.</w:t>
      </w:r>
    </w:p>
    <w:p w14:paraId="6E8BB665" w14:textId="77777777" w:rsidR="009867E7" w:rsidRDefault="009867E7" w:rsidP="009867E7">
      <w:pPr>
        <w:rPr>
          <w:rFonts w:cs="Arial"/>
          <w:b/>
          <w:sz w:val="24"/>
          <w:szCs w:val="24"/>
        </w:rPr>
      </w:pPr>
      <w:r>
        <w:rPr>
          <w:b/>
          <w:sz w:val="24"/>
          <w:szCs w:val="24"/>
        </w:rPr>
        <w:t>How were these needs determined?</w:t>
      </w:r>
    </w:p>
    <w:p w14:paraId="00E129F8" w14:textId="77777777" w:rsidR="009867E7" w:rsidRDefault="009867E7" w:rsidP="009867E7">
      <w:pPr>
        <w:rPr>
          <w:sz w:val="24"/>
          <w:szCs w:val="24"/>
        </w:rPr>
      </w:pPr>
      <w:r w:rsidRPr="000A549F">
        <w:rPr>
          <w:sz w:val="24"/>
          <w:szCs w:val="24"/>
        </w:rPr>
        <w:t>The State of Kansas will distribute development resources in proporti</w:t>
      </w:r>
      <w:r>
        <w:rPr>
          <w:sz w:val="24"/>
          <w:szCs w:val="24"/>
        </w:rPr>
        <w:t xml:space="preserve">on to development needs. </w:t>
      </w:r>
      <w:r w:rsidRPr="000A549F">
        <w:rPr>
          <w:sz w:val="24"/>
          <w:szCs w:val="24"/>
        </w:rPr>
        <w:t>In general, the Kansas Department of Commerce (</w:t>
      </w:r>
      <w:r>
        <w:rPr>
          <w:sz w:val="24"/>
          <w:szCs w:val="24"/>
        </w:rPr>
        <w:t>KDOC</w:t>
      </w:r>
      <w:r w:rsidRPr="000A549F">
        <w:rPr>
          <w:sz w:val="24"/>
          <w:szCs w:val="24"/>
        </w:rPr>
        <w:t xml:space="preserve">), the Kansas Housing Resources Corporation (KHRC), and the Kansas Department of Health and Environment (KDHE) will approve funding for development projects which satisfy one or more of the following criteria: </w:t>
      </w:r>
      <w:r>
        <w:rPr>
          <w:sz w:val="24"/>
          <w:szCs w:val="24"/>
        </w:rPr>
        <w:t>(1)</w:t>
      </w:r>
      <w:r w:rsidRPr="000A549F">
        <w:rPr>
          <w:sz w:val="24"/>
          <w:szCs w:val="24"/>
        </w:rPr>
        <w:t xml:space="preserve"> Community Need, </w:t>
      </w:r>
      <w:r>
        <w:rPr>
          <w:sz w:val="24"/>
          <w:szCs w:val="24"/>
        </w:rPr>
        <w:t>(2)</w:t>
      </w:r>
      <w:r w:rsidRPr="000A549F">
        <w:rPr>
          <w:sz w:val="24"/>
          <w:szCs w:val="24"/>
        </w:rPr>
        <w:t xml:space="preserve"> Community Effort, </w:t>
      </w:r>
      <w:r>
        <w:rPr>
          <w:sz w:val="24"/>
          <w:szCs w:val="24"/>
        </w:rPr>
        <w:t>(3)</w:t>
      </w:r>
      <w:r w:rsidRPr="000A549F">
        <w:rPr>
          <w:sz w:val="24"/>
          <w:szCs w:val="24"/>
        </w:rPr>
        <w:t xml:space="preserve"> Resident Need, </w:t>
      </w:r>
      <w:r>
        <w:rPr>
          <w:sz w:val="24"/>
          <w:szCs w:val="24"/>
        </w:rPr>
        <w:t>(4)</w:t>
      </w:r>
      <w:r w:rsidRPr="000A549F">
        <w:rPr>
          <w:sz w:val="24"/>
          <w:szCs w:val="24"/>
        </w:rPr>
        <w:t xml:space="preserve"> Resident Risk,</w:t>
      </w:r>
      <w:r>
        <w:rPr>
          <w:sz w:val="24"/>
          <w:szCs w:val="24"/>
        </w:rPr>
        <w:t xml:space="preserve"> and</w:t>
      </w:r>
      <w:r w:rsidRPr="000A549F">
        <w:rPr>
          <w:sz w:val="24"/>
          <w:szCs w:val="24"/>
        </w:rPr>
        <w:t xml:space="preserve"> </w:t>
      </w:r>
      <w:r>
        <w:rPr>
          <w:sz w:val="24"/>
          <w:szCs w:val="24"/>
        </w:rPr>
        <w:t>(5)</w:t>
      </w:r>
      <w:r w:rsidRPr="000A549F">
        <w:rPr>
          <w:sz w:val="24"/>
          <w:szCs w:val="24"/>
        </w:rPr>
        <w:t xml:space="preserve"> Preventive Action.</w:t>
      </w:r>
      <w:r>
        <w:rPr>
          <w:sz w:val="24"/>
          <w:szCs w:val="24"/>
        </w:rPr>
        <w:t xml:space="preserve">  </w:t>
      </w:r>
    </w:p>
    <w:p w14:paraId="5913CA83" w14:textId="77777777" w:rsidR="009867E7" w:rsidRDefault="009867E7" w:rsidP="009867E7">
      <w:pPr>
        <w:rPr>
          <w:sz w:val="24"/>
          <w:szCs w:val="24"/>
        </w:rPr>
      </w:pPr>
      <w:r>
        <w:rPr>
          <w:sz w:val="24"/>
          <w:szCs w:val="24"/>
        </w:rPr>
        <w:t xml:space="preserve">CDBG-assisted community improvement projects must be reviewed by a registered professional engineer or architect, unless the project is for a vehicle or a piece of equipment (i.e. storm siren, fire truck, etc.).  The review will consist of a preliminary report sufficient in scope to analyze the need, determine the most appropriate solution alternatives, provide estimated construction and non-construction costs and recommend the required level of funds for operation and maintenance of the facility, if applicable.   </w:t>
      </w:r>
    </w:p>
    <w:p w14:paraId="674CDF00" w14:textId="77777777" w:rsidR="009867E7" w:rsidRDefault="009867E7" w:rsidP="009867E7">
      <w:pPr>
        <w:pStyle w:val="Body"/>
        <w:rPr>
          <w:sz w:val="24"/>
          <w:szCs w:val="24"/>
        </w:rPr>
      </w:pPr>
      <w:r w:rsidRPr="00805931">
        <w:rPr>
          <w:sz w:val="24"/>
          <w:szCs w:val="24"/>
        </w:rPr>
        <w:t xml:space="preserve">The State of Kansas continues to need public improvements.  Through the Department of Commerce, </w:t>
      </w:r>
      <w:r>
        <w:rPr>
          <w:sz w:val="24"/>
          <w:szCs w:val="24"/>
        </w:rPr>
        <w:t xml:space="preserve">Community Development Block Grant (CDBG) funds will be directed towards public improvements.  </w:t>
      </w:r>
    </w:p>
    <w:p w14:paraId="0B13FF62" w14:textId="77777777" w:rsidR="009867E7" w:rsidRPr="00805931" w:rsidRDefault="009867E7" w:rsidP="009867E7">
      <w:pPr>
        <w:pStyle w:val="Body"/>
        <w:rPr>
          <w:sz w:val="24"/>
          <w:szCs w:val="24"/>
        </w:rPr>
      </w:pPr>
      <w:r>
        <w:rPr>
          <w:sz w:val="24"/>
          <w:szCs w:val="24"/>
        </w:rPr>
        <w:t xml:space="preserve">Addressing the need for public improvements was one of the identified State policies.   </w:t>
      </w:r>
    </w:p>
    <w:p w14:paraId="19391A29" w14:textId="77777777" w:rsidR="009867E7" w:rsidRPr="00F405C7" w:rsidRDefault="009867E7" w:rsidP="00A121EE">
      <w:pPr>
        <w:pStyle w:val="ListParagraph"/>
        <w:numPr>
          <w:ilvl w:val="0"/>
          <w:numId w:val="8"/>
        </w:numPr>
        <w:rPr>
          <w:b/>
          <w:i/>
          <w:sz w:val="24"/>
          <w:szCs w:val="24"/>
        </w:rPr>
      </w:pPr>
      <w:r w:rsidRPr="00F405C7">
        <w:rPr>
          <w:b/>
          <w:i/>
          <w:sz w:val="24"/>
          <w:szCs w:val="24"/>
        </w:rPr>
        <w:t xml:space="preserve">Water and Sewer </w:t>
      </w:r>
    </w:p>
    <w:p w14:paraId="3EAD5C47" w14:textId="77777777" w:rsidR="009867E7" w:rsidRDefault="009867E7" w:rsidP="009867E7">
      <w:pPr>
        <w:rPr>
          <w:sz w:val="24"/>
          <w:szCs w:val="24"/>
        </w:rPr>
      </w:pPr>
      <w:r w:rsidRPr="00AB6D3C">
        <w:rPr>
          <w:sz w:val="24"/>
          <w:szCs w:val="24"/>
        </w:rPr>
        <w:t>The Water and Sewer annual competition will be separate from the Community Facilities annual competition, although threshold requirements ap</w:t>
      </w:r>
      <w:r>
        <w:rPr>
          <w:sz w:val="24"/>
          <w:szCs w:val="24"/>
        </w:rPr>
        <w:t xml:space="preserve">ply equally to both categories. </w:t>
      </w:r>
      <w:r w:rsidRPr="00AB6D3C">
        <w:rPr>
          <w:sz w:val="24"/>
          <w:szCs w:val="24"/>
        </w:rPr>
        <w:t>Appearance before the interagency review committee consisting of a core group of the Kansas Department of Commerce, the Kansas Department of Health and Environment, and the U.S. Department of Agriculture, Rural Development, is part of the rating criteria of this program. The project grant amount is li</w:t>
      </w:r>
      <w:r>
        <w:rPr>
          <w:sz w:val="24"/>
          <w:szCs w:val="24"/>
        </w:rPr>
        <w:t xml:space="preserve">mited to $2,000 per beneficiary </w:t>
      </w:r>
      <w:r w:rsidRPr="00AB6D3C">
        <w:rPr>
          <w:sz w:val="24"/>
          <w:szCs w:val="24"/>
        </w:rPr>
        <w:t>up to a maximum of $</w:t>
      </w:r>
      <w:r>
        <w:rPr>
          <w:sz w:val="24"/>
          <w:szCs w:val="24"/>
        </w:rPr>
        <w:t>600,000 for communities less than 5,000 population, and $700,000 for communities over 5,000 population</w:t>
      </w:r>
      <w:r w:rsidRPr="00AB6D3C">
        <w:rPr>
          <w:sz w:val="24"/>
          <w:szCs w:val="24"/>
        </w:rPr>
        <w:t>.</w:t>
      </w:r>
    </w:p>
    <w:p w14:paraId="1BB9F147" w14:textId="3BF2774C" w:rsidR="009867E7" w:rsidRDefault="009867E7" w:rsidP="009867E7">
      <w:pPr>
        <w:rPr>
          <w:sz w:val="24"/>
          <w:szCs w:val="24"/>
        </w:rPr>
      </w:pPr>
      <w:r>
        <w:rPr>
          <w:sz w:val="24"/>
          <w:szCs w:val="24"/>
        </w:rPr>
        <w:t xml:space="preserve">It is estimated that 25% to 55% of CDBG funds will be expended on water and sewer facilities in any given year, depending on the level of need for public facilities during the five-year period. The State will focus their resources in rural areas of the </w:t>
      </w:r>
      <w:r w:rsidR="00556755">
        <w:rPr>
          <w:sz w:val="24"/>
          <w:szCs w:val="24"/>
        </w:rPr>
        <w:t>state</w:t>
      </w:r>
      <w:r>
        <w:rPr>
          <w:sz w:val="24"/>
          <w:szCs w:val="24"/>
        </w:rPr>
        <w:t xml:space="preserve"> and in areas that have been most effected by drought.</w:t>
      </w:r>
    </w:p>
    <w:p w14:paraId="4769F055" w14:textId="77777777" w:rsidR="009867E7" w:rsidRPr="00535C98" w:rsidRDefault="009867E7" w:rsidP="00A121EE">
      <w:pPr>
        <w:pStyle w:val="ListParagraph"/>
        <w:numPr>
          <w:ilvl w:val="0"/>
          <w:numId w:val="8"/>
        </w:numPr>
        <w:rPr>
          <w:b/>
          <w:i/>
          <w:sz w:val="24"/>
          <w:szCs w:val="24"/>
        </w:rPr>
      </w:pPr>
      <w:r w:rsidRPr="00535C98">
        <w:rPr>
          <w:b/>
          <w:i/>
          <w:sz w:val="24"/>
          <w:szCs w:val="24"/>
        </w:rPr>
        <w:t xml:space="preserve">Downtown Commercial </w:t>
      </w:r>
      <w:r>
        <w:rPr>
          <w:b/>
          <w:i/>
          <w:sz w:val="24"/>
          <w:szCs w:val="24"/>
        </w:rPr>
        <w:t>Rehabilitation</w:t>
      </w:r>
    </w:p>
    <w:p w14:paraId="4635C7EB" w14:textId="77777777" w:rsidR="009867E7" w:rsidRDefault="009867E7" w:rsidP="009867E7">
      <w:pPr>
        <w:pStyle w:val="ListParagraph"/>
        <w:autoSpaceDE w:val="0"/>
        <w:autoSpaceDN w:val="0"/>
        <w:adjustRightInd w:val="0"/>
        <w:spacing w:after="0"/>
        <w:rPr>
          <w:sz w:val="24"/>
          <w:szCs w:val="24"/>
        </w:rPr>
      </w:pPr>
    </w:p>
    <w:p w14:paraId="18435073" w14:textId="77777777" w:rsidR="009867E7" w:rsidRDefault="009867E7" w:rsidP="009867E7">
      <w:pPr>
        <w:autoSpaceDE w:val="0"/>
        <w:autoSpaceDN w:val="0"/>
        <w:adjustRightInd w:val="0"/>
        <w:spacing w:after="0"/>
        <w:rPr>
          <w:sz w:val="24"/>
          <w:szCs w:val="24"/>
        </w:rPr>
      </w:pPr>
      <w:r w:rsidRPr="00535C98">
        <w:rPr>
          <w:sz w:val="24"/>
          <w:szCs w:val="24"/>
        </w:rPr>
        <w:t>The purpose of the program is to help communities improve the quality of their downtown commercial districts by assisting private property owners in the rehabilitation of blighted buildings. All projects must meet the “slum and b</w:t>
      </w:r>
      <w:r>
        <w:rPr>
          <w:sz w:val="24"/>
          <w:szCs w:val="24"/>
        </w:rPr>
        <w:t xml:space="preserve">light” national objective. The number of </w:t>
      </w:r>
      <w:r w:rsidRPr="00535C98">
        <w:rPr>
          <w:sz w:val="24"/>
          <w:szCs w:val="24"/>
        </w:rPr>
        <w:t xml:space="preserve">application rounds </w:t>
      </w:r>
      <w:r>
        <w:rPr>
          <w:sz w:val="24"/>
          <w:szCs w:val="24"/>
        </w:rPr>
        <w:t xml:space="preserve">and the due dates </w:t>
      </w:r>
      <w:r w:rsidRPr="00535C98">
        <w:rPr>
          <w:sz w:val="24"/>
          <w:szCs w:val="24"/>
        </w:rPr>
        <w:t xml:space="preserve">for the </w:t>
      </w:r>
      <w:r>
        <w:rPr>
          <w:sz w:val="24"/>
          <w:szCs w:val="24"/>
        </w:rPr>
        <w:t>2018</w:t>
      </w:r>
      <w:r w:rsidRPr="00535C98">
        <w:rPr>
          <w:sz w:val="24"/>
          <w:szCs w:val="24"/>
        </w:rPr>
        <w:t xml:space="preserve"> </w:t>
      </w:r>
      <w:r>
        <w:rPr>
          <w:sz w:val="24"/>
          <w:szCs w:val="24"/>
        </w:rPr>
        <w:t>applications will be determined at a later date</w:t>
      </w:r>
      <w:r w:rsidRPr="00535C98">
        <w:rPr>
          <w:sz w:val="24"/>
          <w:szCs w:val="24"/>
        </w:rPr>
        <w:t>. The maximum grant award is $250,000. A private match of at least 25% will be required.</w:t>
      </w:r>
    </w:p>
    <w:p w14:paraId="56E6E070" w14:textId="77777777" w:rsidR="009867E7" w:rsidRDefault="009867E7" w:rsidP="009867E7">
      <w:pPr>
        <w:autoSpaceDE w:val="0"/>
        <w:autoSpaceDN w:val="0"/>
        <w:adjustRightInd w:val="0"/>
        <w:spacing w:after="0"/>
        <w:rPr>
          <w:sz w:val="24"/>
          <w:szCs w:val="24"/>
        </w:rPr>
      </w:pPr>
    </w:p>
    <w:p w14:paraId="723D08D1" w14:textId="77777777" w:rsidR="009867E7" w:rsidRPr="00F762AF" w:rsidRDefault="009867E7" w:rsidP="00A121EE">
      <w:pPr>
        <w:pStyle w:val="ListParagraph"/>
        <w:numPr>
          <w:ilvl w:val="0"/>
          <w:numId w:val="8"/>
        </w:numPr>
        <w:rPr>
          <w:b/>
          <w:i/>
          <w:sz w:val="24"/>
          <w:szCs w:val="24"/>
        </w:rPr>
      </w:pPr>
      <w:r w:rsidRPr="00F762AF">
        <w:rPr>
          <w:b/>
          <w:i/>
          <w:sz w:val="24"/>
          <w:szCs w:val="24"/>
        </w:rPr>
        <w:t xml:space="preserve">Urgent Need </w:t>
      </w:r>
    </w:p>
    <w:p w14:paraId="2A883BDA" w14:textId="77777777" w:rsidR="009867E7" w:rsidRDefault="009867E7" w:rsidP="009867E7">
      <w:pPr>
        <w:autoSpaceDE w:val="0"/>
        <w:autoSpaceDN w:val="0"/>
        <w:adjustRightInd w:val="0"/>
        <w:spacing w:after="0"/>
        <w:rPr>
          <w:sz w:val="24"/>
          <w:szCs w:val="24"/>
        </w:rPr>
      </w:pPr>
      <w:r w:rsidRPr="00F762AF">
        <w:rPr>
          <w:sz w:val="24"/>
          <w:szCs w:val="24"/>
        </w:rPr>
        <w:t>Project activities must address an urgent need resulting from a sudden and severe natural or other disaster that has created conditions that pose a serious and immediate threat to the health or welfare of the community. Awards will be made to address only the solution to the immediate problem and not necessarily the long-term solution. The conditions must have become urgent within six months following the event. Applications are accepted on an as-needed basis at a maximum amount of $400,000 per grant.</w:t>
      </w:r>
    </w:p>
    <w:p w14:paraId="476CF2D6" w14:textId="77777777" w:rsidR="009867E7" w:rsidRDefault="009867E7" w:rsidP="009867E7">
      <w:pPr>
        <w:autoSpaceDE w:val="0"/>
        <w:autoSpaceDN w:val="0"/>
        <w:adjustRightInd w:val="0"/>
        <w:spacing w:after="0"/>
        <w:rPr>
          <w:sz w:val="24"/>
          <w:szCs w:val="24"/>
        </w:rPr>
      </w:pPr>
    </w:p>
    <w:p w14:paraId="39ACD103" w14:textId="77777777" w:rsidR="009867E7" w:rsidRDefault="009867E7" w:rsidP="009867E7">
      <w:pPr>
        <w:autoSpaceDE w:val="0"/>
        <w:autoSpaceDN w:val="0"/>
        <w:adjustRightInd w:val="0"/>
        <w:spacing w:after="0"/>
        <w:rPr>
          <w:sz w:val="24"/>
          <w:szCs w:val="24"/>
        </w:rPr>
      </w:pPr>
      <w:r w:rsidRPr="00604C82">
        <w:rPr>
          <w:sz w:val="24"/>
          <w:szCs w:val="24"/>
        </w:rPr>
        <w:t>These awards assist local government in meeting the community needs created by a severe natural or other disaster that pose an immediate threat to health or welfare of the community and for which no other financial resources are available. These applications are reviewed on an as-needed basis throughout the year</w:t>
      </w:r>
    </w:p>
    <w:p w14:paraId="35DB2EB1" w14:textId="77777777" w:rsidR="009867E7" w:rsidRDefault="009867E7" w:rsidP="009867E7">
      <w:pPr>
        <w:autoSpaceDE w:val="0"/>
        <w:autoSpaceDN w:val="0"/>
        <w:adjustRightInd w:val="0"/>
        <w:spacing w:after="0"/>
        <w:rPr>
          <w:sz w:val="24"/>
          <w:szCs w:val="24"/>
        </w:rPr>
      </w:pPr>
    </w:p>
    <w:p w14:paraId="349B0488" w14:textId="77777777" w:rsidR="009867E7" w:rsidRDefault="009867E7" w:rsidP="009867E7">
      <w:pPr>
        <w:autoSpaceDE w:val="0"/>
        <w:autoSpaceDN w:val="0"/>
        <w:adjustRightInd w:val="0"/>
        <w:spacing w:after="0"/>
        <w:rPr>
          <w:b/>
          <w:sz w:val="24"/>
          <w:szCs w:val="24"/>
        </w:rPr>
      </w:pPr>
      <w:r>
        <w:rPr>
          <w:b/>
          <w:sz w:val="24"/>
          <w:szCs w:val="24"/>
        </w:rPr>
        <w:t>How were these needs determined?</w:t>
      </w:r>
    </w:p>
    <w:p w14:paraId="3A09B324" w14:textId="77777777" w:rsidR="009867E7" w:rsidRPr="00F405C7" w:rsidRDefault="009867E7" w:rsidP="009867E7">
      <w:pPr>
        <w:rPr>
          <w:sz w:val="24"/>
          <w:szCs w:val="24"/>
        </w:rPr>
      </w:pPr>
      <w:r w:rsidRPr="000A549F">
        <w:rPr>
          <w:sz w:val="24"/>
          <w:szCs w:val="24"/>
        </w:rPr>
        <w:t>The State of Kansas will distribute development resources in proportion to development needs</w:t>
      </w:r>
      <w:r>
        <w:rPr>
          <w:sz w:val="24"/>
          <w:szCs w:val="24"/>
        </w:rPr>
        <w:t>.</w:t>
      </w:r>
      <w:r w:rsidRPr="000A549F">
        <w:rPr>
          <w:sz w:val="24"/>
          <w:szCs w:val="24"/>
        </w:rPr>
        <w:t xml:space="preserve"> In general, the Kansas Department of Commerce (Department of Commerce), the Kansas Housing Resources Corporation (KHRC), and the Kansas Department of Health and Environment (KDHE) will approve funding for development projects which satisfy one or more of the following criteria: </w:t>
      </w:r>
      <w:r>
        <w:rPr>
          <w:sz w:val="24"/>
          <w:szCs w:val="24"/>
        </w:rPr>
        <w:t>(1)</w:t>
      </w:r>
      <w:r w:rsidRPr="000A549F">
        <w:rPr>
          <w:sz w:val="24"/>
          <w:szCs w:val="24"/>
        </w:rPr>
        <w:t xml:space="preserve"> Community Need, </w:t>
      </w:r>
      <w:r>
        <w:rPr>
          <w:sz w:val="24"/>
          <w:szCs w:val="24"/>
        </w:rPr>
        <w:t>(2)</w:t>
      </w:r>
      <w:r w:rsidRPr="000A549F">
        <w:rPr>
          <w:sz w:val="24"/>
          <w:szCs w:val="24"/>
        </w:rPr>
        <w:t xml:space="preserve"> Community Effort, </w:t>
      </w:r>
      <w:r>
        <w:rPr>
          <w:sz w:val="24"/>
          <w:szCs w:val="24"/>
        </w:rPr>
        <w:t>(3)</w:t>
      </w:r>
      <w:r w:rsidRPr="000A549F">
        <w:rPr>
          <w:sz w:val="24"/>
          <w:szCs w:val="24"/>
        </w:rPr>
        <w:t xml:space="preserve"> Resident Need, </w:t>
      </w:r>
      <w:r>
        <w:rPr>
          <w:sz w:val="24"/>
          <w:szCs w:val="24"/>
        </w:rPr>
        <w:t>(4)</w:t>
      </w:r>
      <w:r w:rsidRPr="000A549F">
        <w:rPr>
          <w:sz w:val="24"/>
          <w:szCs w:val="24"/>
        </w:rPr>
        <w:t xml:space="preserve"> Resident Risk, </w:t>
      </w:r>
      <w:r>
        <w:rPr>
          <w:sz w:val="24"/>
          <w:szCs w:val="24"/>
        </w:rPr>
        <w:t>and (5)</w:t>
      </w:r>
      <w:r w:rsidRPr="000A549F">
        <w:rPr>
          <w:sz w:val="24"/>
          <w:szCs w:val="24"/>
        </w:rPr>
        <w:t xml:space="preserve"> Preventive Action.</w:t>
      </w:r>
      <w:r>
        <w:rPr>
          <w:sz w:val="24"/>
          <w:szCs w:val="24"/>
        </w:rPr>
        <w:t xml:space="preserve">  </w:t>
      </w:r>
    </w:p>
    <w:p w14:paraId="212A4ED6" w14:textId="77777777" w:rsidR="009867E7" w:rsidRDefault="009867E7" w:rsidP="009867E7">
      <w:pPr>
        <w:rPr>
          <w:b/>
          <w:sz w:val="24"/>
          <w:szCs w:val="24"/>
        </w:rPr>
      </w:pPr>
      <w:r>
        <w:rPr>
          <w:b/>
          <w:sz w:val="24"/>
          <w:szCs w:val="24"/>
        </w:rPr>
        <w:t>Describe the jurisdiction’s need for Public Services:</w:t>
      </w:r>
    </w:p>
    <w:p w14:paraId="6F1F2AA7" w14:textId="77777777" w:rsidR="009867E7" w:rsidRPr="002B069E" w:rsidRDefault="009867E7" w:rsidP="009867E7">
      <w:pPr>
        <w:rPr>
          <w:sz w:val="24"/>
          <w:szCs w:val="24"/>
        </w:rPr>
      </w:pPr>
      <w:r w:rsidRPr="002B069E">
        <w:rPr>
          <w:sz w:val="24"/>
          <w:szCs w:val="24"/>
        </w:rPr>
        <w:t xml:space="preserve">The State of Kansas utilizes ESG and HOPWA funds to address public service needs related to homeless </w:t>
      </w:r>
      <w:r>
        <w:rPr>
          <w:sz w:val="24"/>
          <w:szCs w:val="24"/>
        </w:rPr>
        <w:t>persons and those with AIDS/HIV.  Although much of the funding is targeted towards meeting housing needs, a portion of funds also addresses the myriad of social service needs.</w:t>
      </w:r>
    </w:p>
    <w:p w14:paraId="19B42A61" w14:textId="77777777" w:rsidR="009867E7" w:rsidRDefault="009867E7" w:rsidP="00A121EE">
      <w:pPr>
        <w:pStyle w:val="ListParagraph"/>
        <w:numPr>
          <w:ilvl w:val="0"/>
          <w:numId w:val="16"/>
        </w:numPr>
        <w:rPr>
          <w:b/>
          <w:sz w:val="24"/>
          <w:szCs w:val="24"/>
        </w:rPr>
      </w:pPr>
      <w:r>
        <w:rPr>
          <w:b/>
          <w:sz w:val="24"/>
          <w:szCs w:val="24"/>
        </w:rPr>
        <w:t>Emergency Solutions Grants (ESG)</w:t>
      </w:r>
    </w:p>
    <w:p w14:paraId="2FCA7952" w14:textId="77777777" w:rsidR="009867E7" w:rsidRDefault="009867E7" w:rsidP="009867E7">
      <w:pPr>
        <w:autoSpaceDE w:val="0"/>
        <w:autoSpaceDN w:val="0"/>
        <w:adjustRightInd w:val="0"/>
        <w:spacing w:after="0"/>
        <w:rPr>
          <w:sz w:val="24"/>
          <w:szCs w:val="24"/>
        </w:rPr>
      </w:pPr>
      <w:r>
        <w:rPr>
          <w:sz w:val="24"/>
          <w:szCs w:val="24"/>
        </w:rPr>
        <w:t>Public s</w:t>
      </w:r>
      <w:r w:rsidRPr="00837365">
        <w:rPr>
          <w:sz w:val="24"/>
          <w:szCs w:val="24"/>
        </w:rPr>
        <w:t>ervice</w:t>
      </w:r>
      <w:r>
        <w:rPr>
          <w:sz w:val="24"/>
          <w:szCs w:val="24"/>
        </w:rPr>
        <w:t>s for those in homeless shelters include education programs, financial literacy, and job search skills</w:t>
      </w:r>
      <w:r w:rsidRPr="00837365">
        <w:rPr>
          <w:sz w:val="24"/>
          <w:szCs w:val="24"/>
        </w:rPr>
        <w:t xml:space="preserve">.  </w:t>
      </w:r>
      <w:r w:rsidRPr="00A25529">
        <w:rPr>
          <w:sz w:val="24"/>
          <w:szCs w:val="24"/>
        </w:rPr>
        <w:t xml:space="preserve">As part of their application, local units of government allocate funds for specific activities to private nonprofit organizations that provide services to the homeless in their community. In addition, Kansas </w:t>
      </w:r>
      <w:r>
        <w:rPr>
          <w:sz w:val="24"/>
          <w:szCs w:val="24"/>
        </w:rPr>
        <w:t>Statewide Homeless Coalition</w:t>
      </w:r>
      <w:r w:rsidRPr="00837365">
        <w:rPr>
          <w:sz w:val="24"/>
          <w:szCs w:val="24"/>
        </w:rPr>
        <w:t xml:space="preserve"> has started providing mini-summits in each of the regions to educate the public on homeless issues and services. </w:t>
      </w:r>
      <w:r>
        <w:rPr>
          <w:sz w:val="24"/>
          <w:szCs w:val="24"/>
        </w:rPr>
        <w:t>A</w:t>
      </w:r>
      <w:r w:rsidRPr="00837365">
        <w:rPr>
          <w:sz w:val="24"/>
          <w:szCs w:val="24"/>
        </w:rPr>
        <w:t xml:space="preserve"> 21</w:t>
      </w:r>
      <w:r>
        <w:rPr>
          <w:sz w:val="24"/>
          <w:szCs w:val="24"/>
        </w:rPr>
        <w:t>1-coordinated assessment system is under development as a referral system for</w:t>
      </w:r>
      <w:r w:rsidRPr="00837365">
        <w:rPr>
          <w:sz w:val="24"/>
          <w:szCs w:val="24"/>
        </w:rPr>
        <w:t xml:space="preserve"> homeless persons seeking assistance </w:t>
      </w:r>
      <w:r>
        <w:rPr>
          <w:sz w:val="24"/>
          <w:szCs w:val="24"/>
        </w:rPr>
        <w:t>who will be</w:t>
      </w:r>
      <w:r w:rsidRPr="00837365">
        <w:rPr>
          <w:sz w:val="24"/>
          <w:szCs w:val="24"/>
        </w:rPr>
        <w:t xml:space="preserve"> directed to appropriate services. There are five providers in the BoS CoC that have developed PATH programs, providing outreach to homeless persons in order to help identify their needs and connect them to appropriate services.</w:t>
      </w:r>
    </w:p>
    <w:p w14:paraId="059D0D78" w14:textId="77777777" w:rsidR="009867E7" w:rsidRDefault="009867E7" w:rsidP="009867E7">
      <w:pPr>
        <w:autoSpaceDE w:val="0"/>
        <w:autoSpaceDN w:val="0"/>
        <w:adjustRightInd w:val="0"/>
        <w:spacing w:after="0"/>
        <w:rPr>
          <w:sz w:val="24"/>
          <w:szCs w:val="24"/>
        </w:rPr>
      </w:pPr>
    </w:p>
    <w:p w14:paraId="751A5D6D" w14:textId="77777777" w:rsidR="009867E7" w:rsidRDefault="009867E7" w:rsidP="009867E7">
      <w:pPr>
        <w:autoSpaceDE w:val="0"/>
        <w:autoSpaceDN w:val="0"/>
        <w:adjustRightInd w:val="0"/>
        <w:spacing w:after="0"/>
        <w:rPr>
          <w:sz w:val="24"/>
          <w:szCs w:val="24"/>
        </w:rPr>
      </w:pPr>
      <w:r>
        <w:rPr>
          <w:sz w:val="24"/>
          <w:szCs w:val="24"/>
        </w:rPr>
        <w:t xml:space="preserve">There is a need for increased coordination to offer wrap-around services for those individuals and families experiencing homelessness. In rural areas especially, there is both a need for coordination of social services in conjunction with housing, as well as an increased capacity for rural areas to offer social services. </w:t>
      </w:r>
    </w:p>
    <w:p w14:paraId="0F7F1E94" w14:textId="77777777" w:rsidR="009867E7" w:rsidRDefault="009867E7" w:rsidP="009867E7">
      <w:pPr>
        <w:autoSpaceDE w:val="0"/>
        <w:autoSpaceDN w:val="0"/>
        <w:adjustRightInd w:val="0"/>
        <w:spacing w:after="0"/>
        <w:rPr>
          <w:sz w:val="24"/>
          <w:szCs w:val="24"/>
        </w:rPr>
      </w:pPr>
    </w:p>
    <w:p w14:paraId="1AC4D089" w14:textId="77777777" w:rsidR="009867E7" w:rsidRPr="00893B1A" w:rsidRDefault="009867E7" w:rsidP="00A121EE">
      <w:pPr>
        <w:pStyle w:val="ListParagraph"/>
        <w:numPr>
          <w:ilvl w:val="0"/>
          <w:numId w:val="16"/>
        </w:numPr>
        <w:rPr>
          <w:b/>
          <w:sz w:val="24"/>
          <w:szCs w:val="24"/>
        </w:rPr>
      </w:pPr>
      <w:r w:rsidRPr="00837365">
        <w:rPr>
          <w:b/>
          <w:sz w:val="24"/>
          <w:szCs w:val="24"/>
        </w:rPr>
        <w:t>Housing Opportunities for Persons with AIDS (HOPWA)</w:t>
      </w:r>
    </w:p>
    <w:p w14:paraId="0B80D72A" w14:textId="77777777" w:rsidR="009867E7" w:rsidRPr="00893B1A" w:rsidRDefault="009867E7" w:rsidP="009867E7">
      <w:pPr>
        <w:autoSpaceDE w:val="0"/>
        <w:autoSpaceDN w:val="0"/>
        <w:adjustRightInd w:val="0"/>
        <w:spacing w:after="0"/>
        <w:rPr>
          <w:sz w:val="24"/>
          <w:szCs w:val="24"/>
        </w:rPr>
      </w:pPr>
      <w:r w:rsidRPr="00893B1A">
        <w:rPr>
          <w:sz w:val="24"/>
          <w:szCs w:val="24"/>
        </w:rPr>
        <w:t xml:space="preserve">While much of the limited HOPWA funding that is received goes towards the </w:t>
      </w:r>
      <w:r>
        <w:rPr>
          <w:sz w:val="24"/>
          <w:szCs w:val="24"/>
        </w:rPr>
        <w:t>S</w:t>
      </w:r>
      <w:r w:rsidRPr="00893B1A">
        <w:rPr>
          <w:sz w:val="24"/>
          <w:szCs w:val="24"/>
        </w:rPr>
        <w:t>hort-</w:t>
      </w:r>
      <w:r>
        <w:rPr>
          <w:sz w:val="24"/>
          <w:szCs w:val="24"/>
        </w:rPr>
        <w:t>T</w:t>
      </w:r>
      <w:r w:rsidRPr="00893B1A">
        <w:rPr>
          <w:sz w:val="24"/>
          <w:szCs w:val="24"/>
        </w:rPr>
        <w:t xml:space="preserve">erm </w:t>
      </w:r>
      <w:r>
        <w:rPr>
          <w:sz w:val="24"/>
          <w:szCs w:val="24"/>
        </w:rPr>
        <w:t>R</w:t>
      </w:r>
      <w:r w:rsidRPr="00893B1A">
        <w:rPr>
          <w:sz w:val="24"/>
          <w:szCs w:val="24"/>
        </w:rPr>
        <w:t xml:space="preserve">ent, </w:t>
      </w:r>
      <w:r>
        <w:rPr>
          <w:sz w:val="24"/>
          <w:szCs w:val="24"/>
        </w:rPr>
        <w:t>M</w:t>
      </w:r>
      <w:r w:rsidRPr="00893B1A">
        <w:rPr>
          <w:sz w:val="24"/>
          <w:szCs w:val="24"/>
        </w:rPr>
        <w:t xml:space="preserve">ortgage and </w:t>
      </w:r>
      <w:r>
        <w:rPr>
          <w:sz w:val="24"/>
          <w:szCs w:val="24"/>
        </w:rPr>
        <w:t>U</w:t>
      </w:r>
      <w:r w:rsidRPr="00893B1A">
        <w:rPr>
          <w:sz w:val="24"/>
          <w:szCs w:val="24"/>
        </w:rPr>
        <w:t xml:space="preserve">tilities </w:t>
      </w:r>
      <w:r>
        <w:rPr>
          <w:sz w:val="24"/>
          <w:szCs w:val="24"/>
        </w:rPr>
        <w:t>P</w:t>
      </w:r>
      <w:r w:rsidRPr="00893B1A">
        <w:rPr>
          <w:sz w:val="24"/>
          <w:szCs w:val="24"/>
        </w:rPr>
        <w:t>rogram (STRMU), a small portion also goes towards housing coordination, technical assistance, nutritional supplements, mental health, drug/alcohol counseling and treatment, and transportation.</w:t>
      </w:r>
      <w:r>
        <w:rPr>
          <w:sz w:val="24"/>
          <w:szCs w:val="24"/>
        </w:rPr>
        <w:t xml:space="preserve">  Funding is also targeted towards Tenant Based Rental Assistance (TBRA) and Permanent Housing Placement.</w:t>
      </w:r>
    </w:p>
    <w:p w14:paraId="68CB0CFE" w14:textId="77777777" w:rsidR="009867E7" w:rsidRPr="00893B1A" w:rsidRDefault="009867E7" w:rsidP="009867E7">
      <w:pPr>
        <w:autoSpaceDE w:val="0"/>
        <w:autoSpaceDN w:val="0"/>
        <w:adjustRightInd w:val="0"/>
        <w:spacing w:after="0"/>
        <w:rPr>
          <w:sz w:val="24"/>
          <w:szCs w:val="24"/>
        </w:rPr>
      </w:pPr>
    </w:p>
    <w:p w14:paraId="50BE68F4" w14:textId="77777777" w:rsidR="009867E7" w:rsidRDefault="009867E7" w:rsidP="009867E7">
      <w:pPr>
        <w:autoSpaceDE w:val="0"/>
        <w:autoSpaceDN w:val="0"/>
        <w:adjustRightInd w:val="0"/>
        <w:spacing w:after="0"/>
        <w:rPr>
          <w:sz w:val="24"/>
          <w:szCs w:val="24"/>
        </w:rPr>
      </w:pPr>
      <w:r w:rsidRPr="00893B1A">
        <w:rPr>
          <w:sz w:val="24"/>
          <w:szCs w:val="24"/>
        </w:rPr>
        <w:t>The Kansas Care Through Housing (KCTH) program, a HOPWA-funded program that provides assistance for housing and related expenses for low income persons with HIV/AIDS and their family, will look to continue to fund supportive services through 2014 depending on available funds.</w:t>
      </w:r>
    </w:p>
    <w:p w14:paraId="33CD3C12" w14:textId="7428E5DA" w:rsidR="009867E7" w:rsidRDefault="009867E7" w:rsidP="009867E7">
      <w:pPr>
        <w:autoSpaceDE w:val="0"/>
        <w:autoSpaceDN w:val="0"/>
        <w:adjustRightInd w:val="0"/>
        <w:spacing w:after="0"/>
        <w:rPr>
          <w:sz w:val="24"/>
          <w:szCs w:val="24"/>
        </w:rPr>
      </w:pPr>
    </w:p>
    <w:p w14:paraId="6006D008" w14:textId="77777777" w:rsidR="009867E7" w:rsidRPr="00893B1A" w:rsidRDefault="009867E7" w:rsidP="009867E7">
      <w:pPr>
        <w:autoSpaceDE w:val="0"/>
        <w:autoSpaceDN w:val="0"/>
        <w:adjustRightInd w:val="0"/>
        <w:spacing w:after="0"/>
        <w:rPr>
          <w:sz w:val="24"/>
          <w:szCs w:val="24"/>
        </w:rPr>
      </w:pPr>
    </w:p>
    <w:p w14:paraId="3EEE5BEB" w14:textId="77777777" w:rsidR="009867E7" w:rsidRDefault="009867E7" w:rsidP="009867E7">
      <w:pPr>
        <w:rPr>
          <w:b/>
          <w:sz w:val="24"/>
          <w:szCs w:val="24"/>
        </w:rPr>
      </w:pPr>
      <w:r>
        <w:rPr>
          <w:b/>
          <w:sz w:val="24"/>
          <w:szCs w:val="24"/>
        </w:rPr>
        <w:t>How were these needs determined?</w:t>
      </w:r>
    </w:p>
    <w:p w14:paraId="59CB858A" w14:textId="77777777" w:rsidR="009867E7" w:rsidRDefault="009867E7" w:rsidP="009867E7">
      <w:pPr>
        <w:rPr>
          <w:sz w:val="24"/>
          <w:szCs w:val="24"/>
        </w:rPr>
      </w:pPr>
      <w:r w:rsidRPr="009867E7">
        <w:rPr>
          <w:sz w:val="24"/>
          <w:szCs w:val="24"/>
        </w:rPr>
        <w:t>ESG: The first priority of the ESG program is to fund emergency beds in an attempt to decrease the number of homeless persons in Kansas.  The need for services while utilizing emergency shelter as well as wrap-around services is great and is a component of the overall ESG program.</w:t>
      </w:r>
    </w:p>
    <w:p w14:paraId="2E2869F5" w14:textId="6FCEEEB3" w:rsidR="009867E7" w:rsidRDefault="009867E7" w:rsidP="009867E7">
      <w:pPr>
        <w:rPr>
          <w:sz w:val="24"/>
          <w:szCs w:val="24"/>
        </w:rPr>
      </w:pPr>
      <w:r w:rsidRPr="009867E7">
        <w:rPr>
          <w:sz w:val="24"/>
          <w:szCs w:val="24"/>
        </w:rPr>
        <w:t>HOPWA:  Ongoing analysis of quality of life through surveys and Steering Committee recommendations indicate the highest priority of need based on reduced funding will be for short term rent, mortgage and utility payments.  Services will continue to be a part of the HOPWA program, and the level of need will be determined by the number of persons requesting services.</w:t>
      </w:r>
    </w:p>
    <w:p w14:paraId="70A8349F" w14:textId="7FF7B1AB" w:rsidR="009867E7" w:rsidRDefault="009867E7" w:rsidP="009867E7">
      <w:pPr>
        <w:rPr>
          <w:sz w:val="24"/>
          <w:szCs w:val="24"/>
        </w:rPr>
      </w:pPr>
    </w:p>
    <w:p w14:paraId="457CD3AA" w14:textId="77777777" w:rsidR="00DC3841" w:rsidRDefault="00DC3841" w:rsidP="00DC3841">
      <w:pPr>
        <w:pStyle w:val="Heading1"/>
        <w:pageBreakBefore/>
        <w:jc w:val="center"/>
        <w:rPr>
          <w:rFonts w:asciiTheme="minorHAnsi" w:hAnsiTheme="minorHAnsi"/>
          <w:color w:val="auto"/>
          <w:sz w:val="32"/>
        </w:rPr>
      </w:pPr>
      <w:bookmarkStart w:id="33" w:name="_Toc524603018"/>
      <w:r>
        <w:rPr>
          <w:rFonts w:asciiTheme="minorHAnsi" w:hAnsiTheme="minorHAnsi"/>
          <w:color w:val="auto"/>
          <w:sz w:val="32"/>
        </w:rPr>
        <w:t>Housing Market Analysis</w:t>
      </w:r>
      <w:bookmarkEnd w:id="33"/>
    </w:p>
    <w:p w14:paraId="60D10084" w14:textId="77777777" w:rsidR="00DC3841" w:rsidRDefault="00DC3841" w:rsidP="00DC3841">
      <w:pPr>
        <w:pStyle w:val="Heading2"/>
        <w:shd w:val="clear" w:color="auto" w:fill="95B3D7" w:themeFill="accent1" w:themeFillTint="99"/>
        <w:rPr>
          <w:rFonts w:ascii="Calibri" w:hAnsi="Calibri"/>
          <w:i w:val="0"/>
        </w:rPr>
      </w:pPr>
      <w:bookmarkStart w:id="34" w:name="_Toc524603019"/>
      <w:r>
        <w:rPr>
          <w:rFonts w:ascii="Calibri" w:hAnsi="Calibri"/>
          <w:i w:val="0"/>
        </w:rPr>
        <w:t>MA-05 Overview</w:t>
      </w:r>
      <w:bookmarkEnd w:id="34"/>
    </w:p>
    <w:p w14:paraId="4D0DA709" w14:textId="77777777" w:rsidR="00DC3841" w:rsidRDefault="00DC3841" w:rsidP="00DC3841">
      <w:pPr>
        <w:rPr>
          <w:rFonts w:asciiTheme="minorHAnsi" w:hAnsiTheme="minorHAnsi"/>
          <w:b/>
          <w:sz w:val="24"/>
        </w:rPr>
      </w:pPr>
      <w:r>
        <w:rPr>
          <w:rFonts w:asciiTheme="minorHAnsi" w:hAnsiTheme="minorHAnsi"/>
          <w:b/>
          <w:sz w:val="24"/>
        </w:rPr>
        <w:t>Housing Market Analysis Overview:</w:t>
      </w:r>
    </w:p>
    <w:p w14:paraId="1FCDF15E" w14:textId="77777777" w:rsidR="00DC3841" w:rsidRDefault="00DC3841" w:rsidP="00DC3841">
      <w:pPr>
        <w:pStyle w:val="Body"/>
        <w:rPr>
          <w:sz w:val="24"/>
          <w:szCs w:val="24"/>
        </w:rPr>
      </w:pPr>
      <w:r>
        <w:rPr>
          <w:sz w:val="24"/>
          <w:szCs w:val="24"/>
        </w:rPr>
        <w:t xml:space="preserve">The data used throughout the Housing Market Analysis is derived from the 2009-2013 American Community Survey (ACS). This is the data that HUD prepopulates tables with and the years also used the Needs Assessment section. </w:t>
      </w:r>
    </w:p>
    <w:p w14:paraId="3AB1689C" w14:textId="77777777" w:rsidR="00DC3841" w:rsidRDefault="00DC3841" w:rsidP="00DC3841">
      <w:pPr>
        <w:pStyle w:val="Body"/>
        <w:rPr>
          <w:sz w:val="24"/>
          <w:szCs w:val="24"/>
        </w:rPr>
      </w:pPr>
      <w:r>
        <w:rPr>
          <w:sz w:val="24"/>
          <w:szCs w:val="24"/>
        </w:rPr>
        <w:t xml:space="preserve">The following gives a brief overview of the Market Analysis results, with more detailed information included in each corresponding section. </w:t>
      </w:r>
    </w:p>
    <w:p w14:paraId="4306EAC2" w14:textId="77777777" w:rsidR="00DC3841" w:rsidRDefault="00DC3841" w:rsidP="00DC3841">
      <w:pPr>
        <w:pStyle w:val="Body"/>
        <w:contextualSpacing/>
        <w:rPr>
          <w:sz w:val="24"/>
          <w:szCs w:val="24"/>
        </w:rPr>
      </w:pPr>
      <w:r>
        <w:rPr>
          <w:b/>
          <w:sz w:val="24"/>
          <w:szCs w:val="24"/>
        </w:rPr>
        <w:t>MA-10: Number of Housing Units</w:t>
      </w:r>
    </w:p>
    <w:p w14:paraId="7B68F641" w14:textId="77777777" w:rsidR="00DC3841" w:rsidRDefault="00DC3841" w:rsidP="00A121EE">
      <w:pPr>
        <w:pStyle w:val="Body"/>
        <w:numPr>
          <w:ilvl w:val="0"/>
          <w:numId w:val="39"/>
        </w:numPr>
        <w:contextualSpacing/>
        <w:rPr>
          <w:sz w:val="24"/>
          <w:szCs w:val="24"/>
        </w:rPr>
      </w:pPr>
      <w:r>
        <w:rPr>
          <w:sz w:val="24"/>
          <w:szCs w:val="24"/>
        </w:rPr>
        <w:t>78% of all housing units in Kansas are single-family homes</w:t>
      </w:r>
    </w:p>
    <w:p w14:paraId="04BC1D65" w14:textId="77777777" w:rsidR="00DC3841" w:rsidRDefault="00DC3841" w:rsidP="00A121EE">
      <w:pPr>
        <w:pStyle w:val="Body"/>
        <w:numPr>
          <w:ilvl w:val="1"/>
          <w:numId w:val="39"/>
        </w:numPr>
        <w:contextualSpacing/>
        <w:rPr>
          <w:sz w:val="24"/>
          <w:szCs w:val="24"/>
        </w:rPr>
      </w:pPr>
      <w:r>
        <w:rPr>
          <w:sz w:val="24"/>
          <w:szCs w:val="24"/>
        </w:rPr>
        <w:t>48% of renter households rent a single-family home in Kansas</w:t>
      </w:r>
    </w:p>
    <w:p w14:paraId="3FC04FE2" w14:textId="77777777" w:rsidR="00DC3841" w:rsidRDefault="00DC3841" w:rsidP="00A121EE">
      <w:pPr>
        <w:pStyle w:val="Body"/>
        <w:numPr>
          <w:ilvl w:val="0"/>
          <w:numId w:val="39"/>
        </w:numPr>
        <w:contextualSpacing/>
        <w:rPr>
          <w:sz w:val="24"/>
          <w:szCs w:val="24"/>
        </w:rPr>
      </w:pPr>
      <w:r>
        <w:rPr>
          <w:sz w:val="24"/>
          <w:szCs w:val="24"/>
        </w:rPr>
        <w:t xml:space="preserve">Unit size varies from no bedroom (studio) to 3+ bedrooms </w:t>
      </w:r>
    </w:p>
    <w:p w14:paraId="4FC560AD" w14:textId="77777777" w:rsidR="00DC3841" w:rsidRDefault="00DC3841" w:rsidP="00A121EE">
      <w:pPr>
        <w:pStyle w:val="Body"/>
        <w:numPr>
          <w:ilvl w:val="1"/>
          <w:numId w:val="39"/>
        </w:numPr>
        <w:contextualSpacing/>
        <w:rPr>
          <w:sz w:val="24"/>
          <w:szCs w:val="24"/>
        </w:rPr>
      </w:pPr>
      <w:r>
        <w:rPr>
          <w:sz w:val="24"/>
          <w:szCs w:val="24"/>
        </w:rPr>
        <w:t>79% of owner households live in home with 3+ bedrooms</w:t>
      </w:r>
    </w:p>
    <w:p w14:paraId="621AA2F0" w14:textId="77777777" w:rsidR="00DC3841" w:rsidRDefault="00DC3841" w:rsidP="00A121EE">
      <w:pPr>
        <w:pStyle w:val="Body"/>
        <w:numPr>
          <w:ilvl w:val="1"/>
          <w:numId w:val="39"/>
        </w:numPr>
        <w:contextualSpacing/>
        <w:rPr>
          <w:sz w:val="24"/>
          <w:szCs w:val="24"/>
        </w:rPr>
      </w:pPr>
      <w:r>
        <w:rPr>
          <w:sz w:val="24"/>
          <w:szCs w:val="24"/>
        </w:rPr>
        <w:t>63% of renter households live in units with 2-3 bedrooms</w:t>
      </w:r>
    </w:p>
    <w:p w14:paraId="32E9C614" w14:textId="77777777" w:rsidR="00DC3841" w:rsidRDefault="00DC3841" w:rsidP="00A121EE">
      <w:pPr>
        <w:pStyle w:val="Body"/>
        <w:numPr>
          <w:ilvl w:val="0"/>
          <w:numId w:val="39"/>
        </w:numPr>
        <w:contextualSpacing/>
        <w:rPr>
          <w:sz w:val="24"/>
          <w:szCs w:val="24"/>
        </w:rPr>
      </w:pPr>
      <w:r>
        <w:rPr>
          <w:sz w:val="24"/>
          <w:szCs w:val="24"/>
        </w:rPr>
        <w:t>33% of households in Kansas rent their housing unit</w:t>
      </w:r>
    </w:p>
    <w:p w14:paraId="4D60AE87" w14:textId="77777777" w:rsidR="00DC3841" w:rsidRDefault="00DC3841" w:rsidP="00DC3841">
      <w:pPr>
        <w:pStyle w:val="Body"/>
        <w:contextualSpacing/>
        <w:rPr>
          <w:sz w:val="24"/>
          <w:szCs w:val="24"/>
        </w:rPr>
      </w:pPr>
    </w:p>
    <w:p w14:paraId="111452E7" w14:textId="77777777" w:rsidR="00DC3841" w:rsidRDefault="00DC3841" w:rsidP="00DC3841">
      <w:pPr>
        <w:pStyle w:val="Body"/>
        <w:contextualSpacing/>
        <w:rPr>
          <w:b/>
          <w:sz w:val="24"/>
          <w:szCs w:val="24"/>
        </w:rPr>
      </w:pPr>
      <w:r>
        <w:rPr>
          <w:b/>
          <w:sz w:val="24"/>
          <w:szCs w:val="24"/>
        </w:rPr>
        <w:t>MA-15: Cost of Housing</w:t>
      </w:r>
    </w:p>
    <w:p w14:paraId="53BD23EF" w14:textId="77777777" w:rsidR="00DC3841" w:rsidRPr="00E04948" w:rsidRDefault="00DC3841" w:rsidP="00A121EE">
      <w:pPr>
        <w:pStyle w:val="Body"/>
        <w:numPr>
          <w:ilvl w:val="0"/>
          <w:numId w:val="40"/>
        </w:numPr>
        <w:contextualSpacing/>
        <w:rPr>
          <w:b/>
          <w:sz w:val="24"/>
          <w:szCs w:val="24"/>
        </w:rPr>
      </w:pPr>
      <w:r>
        <w:rPr>
          <w:sz w:val="24"/>
          <w:szCs w:val="24"/>
        </w:rPr>
        <w:t>There has been a steady increase in median home values and median rental rates</w:t>
      </w:r>
    </w:p>
    <w:p w14:paraId="1A18749F" w14:textId="77777777" w:rsidR="00DC3841" w:rsidRPr="00E04948" w:rsidRDefault="00DC3841" w:rsidP="00A121EE">
      <w:pPr>
        <w:pStyle w:val="Body"/>
        <w:numPr>
          <w:ilvl w:val="1"/>
          <w:numId w:val="40"/>
        </w:numPr>
        <w:contextualSpacing/>
        <w:rPr>
          <w:b/>
          <w:sz w:val="24"/>
          <w:szCs w:val="24"/>
        </w:rPr>
      </w:pPr>
      <w:r>
        <w:rPr>
          <w:sz w:val="24"/>
          <w:szCs w:val="24"/>
        </w:rPr>
        <w:t>Between 2000 and 2016, the median home value has risen by 19% (adjusted for inflation)</w:t>
      </w:r>
    </w:p>
    <w:p w14:paraId="373EC7B6" w14:textId="77777777" w:rsidR="00DC3841" w:rsidRPr="00E04948" w:rsidRDefault="00DC3841" w:rsidP="00A121EE">
      <w:pPr>
        <w:pStyle w:val="Body"/>
        <w:numPr>
          <w:ilvl w:val="1"/>
          <w:numId w:val="40"/>
        </w:numPr>
        <w:contextualSpacing/>
        <w:rPr>
          <w:b/>
          <w:sz w:val="24"/>
          <w:szCs w:val="24"/>
        </w:rPr>
      </w:pPr>
      <w:r>
        <w:rPr>
          <w:sz w:val="24"/>
          <w:szCs w:val="24"/>
        </w:rPr>
        <w:t>Between 2000 and 2016, median rental rate has risen 8% (adjusted for inflation)</w:t>
      </w:r>
    </w:p>
    <w:p w14:paraId="7E8063AF" w14:textId="77777777" w:rsidR="00DC3841" w:rsidRDefault="00DC3841" w:rsidP="00A121EE">
      <w:pPr>
        <w:pStyle w:val="Body"/>
        <w:numPr>
          <w:ilvl w:val="0"/>
          <w:numId w:val="40"/>
        </w:numPr>
        <w:contextualSpacing/>
        <w:rPr>
          <w:b/>
          <w:sz w:val="24"/>
          <w:szCs w:val="24"/>
        </w:rPr>
      </w:pPr>
      <w:r>
        <w:rPr>
          <w:sz w:val="24"/>
          <w:szCs w:val="24"/>
        </w:rPr>
        <w:t>There are an estimated 130,625 housing units affordable to renter households earning 50% or less of the AMI in Kansas</w:t>
      </w:r>
    </w:p>
    <w:p w14:paraId="1E7D3739" w14:textId="77777777" w:rsidR="00DC3841" w:rsidRDefault="00DC3841" w:rsidP="00DC3841">
      <w:pPr>
        <w:pStyle w:val="Body"/>
        <w:contextualSpacing/>
        <w:rPr>
          <w:b/>
          <w:sz w:val="24"/>
          <w:szCs w:val="24"/>
        </w:rPr>
      </w:pPr>
    </w:p>
    <w:p w14:paraId="44BC48EB" w14:textId="77777777" w:rsidR="00DC3841" w:rsidRDefault="00DC3841" w:rsidP="00DC3841">
      <w:pPr>
        <w:pStyle w:val="Body"/>
        <w:contextualSpacing/>
        <w:rPr>
          <w:b/>
          <w:sz w:val="24"/>
          <w:szCs w:val="24"/>
        </w:rPr>
      </w:pPr>
      <w:r>
        <w:rPr>
          <w:b/>
          <w:sz w:val="24"/>
          <w:szCs w:val="24"/>
        </w:rPr>
        <w:t>MA-20: Condition of Housing</w:t>
      </w:r>
    </w:p>
    <w:p w14:paraId="06463697" w14:textId="77777777" w:rsidR="00DC3841" w:rsidRDefault="00DC3841" w:rsidP="00A121EE">
      <w:pPr>
        <w:pStyle w:val="Body"/>
        <w:numPr>
          <w:ilvl w:val="0"/>
          <w:numId w:val="41"/>
        </w:numPr>
        <w:contextualSpacing/>
        <w:rPr>
          <w:sz w:val="24"/>
          <w:szCs w:val="24"/>
        </w:rPr>
      </w:pPr>
      <w:r>
        <w:rPr>
          <w:sz w:val="24"/>
          <w:szCs w:val="24"/>
        </w:rPr>
        <w:t>HUD collects data on four housing problems/conditions: Cost burden, substandard condition (lack of plumbing or kitchen facilities), and overcrowding</w:t>
      </w:r>
    </w:p>
    <w:p w14:paraId="4EA902D1" w14:textId="77777777" w:rsidR="00DC3841" w:rsidRDefault="00DC3841" w:rsidP="00A121EE">
      <w:pPr>
        <w:pStyle w:val="Body"/>
        <w:numPr>
          <w:ilvl w:val="1"/>
          <w:numId w:val="41"/>
        </w:numPr>
        <w:contextualSpacing/>
        <w:rPr>
          <w:sz w:val="24"/>
          <w:szCs w:val="24"/>
        </w:rPr>
      </w:pPr>
      <w:r>
        <w:rPr>
          <w:sz w:val="24"/>
          <w:szCs w:val="24"/>
        </w:rPr>
        <w:t>39% of renter-occupied units have one of the four conditions</w:t>
      </w:r>
    </w:p>
    <w:p w14:paraId="44DDDC19" w14:textId="77777777" w:rsidR="00DC3841" w:rsidRDefault="00DC3841" w:rsidP="00A121EE">
      <w:pPr>
        <w:pStyle w:val="Body"/>
        <w:numPr>
          <w:ilvl w:val="1"/>
          <w:numId w:val="41"/>
        </w:numPr>
        <w:contextualSpacing/>
        <w:rPr>
          <w:sz w:val="24"/>
          <w:szCs w:val="24"/>
        </w:rPr>
      </w:pPr>
      <w:r>
        <w:rPr>
          <w:sz w:val="24"/>
          <w:szCs w:val="24"/>
        </w:rPr>
        <w:t>18% of owner-occupied units have one of the four conditions</w:t>
      </w:r>
    </w:p>
    <w:p w14:paraId="0E519290" w14:textId="77777777" w:rsidR="00DC3841" w:rsidRDefault="00DC3841" w:rsidP="00A121EE">
      <w:pPr>
        <w:pStyle w:val="Body"/>
        <w:numPr>
          <w:ilvl w:val="0"/>
          <w:numId w:val="41"/>
        </w:numPr>
        <w:contextualSpacing/>
        <w:rPr>
          <w:sz w:val="24"/>
          <w:szCs w:val="24"/>
        </w:rPr>
      </w:pPr>
      <w:r>
        <w:rPr>
          <w:sz w:val="24"/>
          <w:szCs w:val="24"/>
        </w:rPr>
        <w:t>60% of the housing stock in Kansas was built before 1980</w:t>
      </w:r>
    </w:p>
    <w:p w14:paraId="6A704BDE" w14:textId="77777777" w:rsidR="00DC3841" w:rsidRDefault="00DC3841" w:rsidP="00A121EE">
      <w:pPr>
        <w:pStyle w:val="Body"/>
        <w:numPr>
          <w:ilvl w:val="1"/>
          <w:numId w:val="41"/>
        </w:numPr>
        <w:contextualSpacing/>
        <w:rPr>
          <w:sz w:val="24"/>
          <w:szCs w:val="24"/>
        </w:rPr>
      </w:pPr>
      <w:r>
        <w:rPr>
          <w:sz w:val="24"/>
          <w:szCs w:val="24"/>
        </w:rPr>
        <w:t>The median age of a housing unit in Kansas is 1972</w:t>
      </w:r>
    </w:p>
    <w:p w14:paraId="711B6E45" w14:textId="77777777" w:rsidR="00DC3841" w:rsidRDefault="00DC3841" w:rsidP="00A121EE">
      <w:pPr>
        <w:pStyle w:val="Body"/>
        <w:numPr>
          <w:ilvl w:val="1"/>
          <w:numId w:val="41"/>
        </w:numPr>
        <w:contextualSpacing/>
        <w:rPr>
          <w:sz w:val="24"/>
          <w:szCs w:val="24"/>
        </w:rPr>
      </w:pPr>
      <w:r>
        <w:rPr>
          <w:sz w:val="24"/>
          <w:szCs w:val="24"/>
        </w:rPr>
        <w:t>There are an estimated 131,955 housing units in Kansas built before 1980 with children present</w:t>
      </w:r>
    </w:p>
    <w:p w14:paraId="4462391D" w14:textId="77777777" w:rsidR="00DC3841" w:rsidRPr="007605E0" w:rsidRDefault="00DC3841" w:rsidP="00DC3841">
      <w:pPr>
        <w:pStyle w:val="Body"/>
        <w:contextualSpacing/>
        <w:rPr>
          <w:b/>
          <w:sz w:val="24"/>
          <w:szCs w:val="24"/>
        </w:rPr>
      </w:pPr>
      <w:r>
        <w:rPr>
          <w:b/>
          <w:sz w:val="24"/>
          <w:szCs w:val="24"/>
        </w:rPr>
        <w:t>MA-</w:t>
      </w:r>
      <w:r w:rsidRPr="007605E0">
        <w:rPr>
          <w:b/>
          <w:sz w:val="24"/>
          <w:szCs w:val="24"/>
        </w:rPr>
        <w:t>30: Homeless Facilities</w:t>
      </w:r>
    </w:p>
    <w:p w14:paraId="0735E4AE" w14:textId="5EB411B1" w:rsidR="00DC3841" w:rsidRPr="007605E0" w:rsidRDefault="007605E0" w:rsidP="00A121EE">
      <w:pPr>
        <w:pStyle w:val="Body"/>
        <w:numPr>
          <w:ilvl w:val="0"/>
          <w:numId w:val="42"/>
        </w:numPr>
        <w:contextualSpacing/>
        <w:rPr>
          <w:b/>
          <w:sz w:val="24"/>
          <w:szCs w:val="24"/>
        </w:rPr>
      </w:pPr>
      <w:r w:rsidRPr="007605E0">
        <w:rPr>
          <w:sz w:val="24"/>
          <w:szCs w:val="24"/>
        </w:rPr>
        <w:t xml:space="preserve">To be updated after public comment. </w:t>
      </w:r>
    </w:p>
    <w:p w14:paraId="3992A434" w14:textId="77777777" w:rsidR="00DC3841" w:rsidRPr="007605E0" w:rsidRDefault="00DC3841" w:rsidP="00DC3841">
      <w:pPr>
        <w:pStyle w:val="Body"/>
        <w:contextualSpacing/>
        <w:rPr>
          <w:sz w:val="24"/>
          <w:szCs w:val="24"/>
        </w:rPr>
      </w:pPr>
    </w:p>
    <w:p w14:paraId="49B2332F" w14:textId="77777777" w:rsidR="00DC3841" w:rsidRPr="007605E0" w:rsidRDefault="00DC3841" w:rsidP="00DC3841">
      <w:pPr>
        <w:pStyle w:val="Body"/>
        <w:contextualSpacing/>
        <w:rPr>
          <w:b/>
          <w:sz w:val="24"/>
          <w:szCs w:val="24"/>
        </w:rPr>
      </w:pPr>
      <w:r w:rsidRPr="007605E0">
        <w:rPr>
          <w:b/>
          <w:sz w:val="24"/>
          <w:szCs w:val="24"/>
        </w:rPr>
        <w:t>MA-35: Special Needs Facilities and Services</w:t>
      </w:r>
    </w:p>
    <w:p w14:paraId="5462792D" w14:textId="50483C02" w:rsidR="00DC3841" w:rsidRPr="007605E0" w:rsidRDefault="007605E0" w:rsidP="00A121EE">
      <w:pPr>
        <w:pStyle w:val="Body"/>
        <w:numPr>
          <w:ilvl w:val="0"/>
          <w:numId w:val="42"/>
        </w:numPr>
        <w:contextualSpacing/>
        <w:rPr>
          <w:b/>
          <w:sz w:val="24"/>
          <w:szCs w:val="24"/>
        </w:rPr>
      </w:pPr>
      <w:r w:rsidRPr="007605E0">
        <w:rPr>
          <w:sz w:val="24"/>
          <w:szCs w:val="24"/>
        </w:rPr>
        <w:t xml:space="preserve">To be updated after public comment. </w:t>
      </w:r>
    </w:p>
    <w:p w14:paraId="60CF8ACA" w14:textId="77777777" w:rsidR="00DC3841" w:rsidRPr="007605E0" w:rsidRDefault="00DC3841" w:rsidP="00DC3841">
      <w:pPr>
        <w:pStyle w:val="Body"/>
        <w:contextualSpacing/>
        <w:rPr>
          <w:b/>
          <w:sz w:val="24"/>
          <w:szCs w:val="24"/>
        </w:rPr>
      </w:pPr>
    </w:p>
    <w:p w14:paraId="150C4040" w14:textId="77777777" w:rsidR="00DC3841" w:rsidRPr="007605E0" w:rsidRDefault="00DC3841" w:rsidP="00DC3841">
      <w:pPr>
        <w:pStyle w:val="Body"/>
        <w:contextualSpacing/>
        <w:rPr>
          <w:b/>
          <w:sz w:val="24"/>
          <w:szCs w:val="24"/>
        </w:rPr>
      </w:pPr>
      <w:r w:rsidRPr="007605E0">
        <w:rPr>
          <w:b/>
          <w:sz w:val="24"/>
          <w:szCs w:val="24"/>
        </w:rPr>
        <w:t>MA-40: Barriers to Affordable Housing</w:t>
      </w:r>
    </w:p>
    <w:p w14:paraId="12099B10" w14:textId="6F076A5D" w:rsidR="00DC3841" w:rsidRPr="007605E0" w:rsidRDefault="007605E0" w:rsidP="00A121EE">
      <w:pPr>
        <w:pStyle w:val="Body"/>
        <w:numPr>
          <w:ilvl w:val="0"/>
          <w:numId w:val="42"/>
        </w:numPr>
        <w:contextualSpacing/>
        <w:rPr>
          <w:b/>
          <w:sz w:val="24"/>
          <w:szCs w:val="24"/>
        </w:rPr>
      </w:pPr>
      <w:r w:rsidRPr="007605E0">
        <w:rPr>
          <w:sz w:val="24"/>
          <w:szCs w:val="24"/>
        </w:rPr>
        <w:t xml:space="preserve">To be updated after public comment. </w:t>
      </w:r>
    </w:p>
    <w:p w14:paraId="158E770D" w14:textId="77777777" w:rsidR="00DC3841" w:rsidRDefault="00DC3841" w:rsidP="00DC3841">
      <w:pPr>
        <w:pStyle w:val="Body"/>
        <w:contextualSpacing/>
        <w:rPr>
          <w:sz w:val="24"/>
          <w:szCs w:val="24"/>
        </w:rPr>
      </w:pPr>
    </w:p>
    <w:p w14:paraId="1579F715" w14:textId="77777777" w:rsidR="00DC3841" w:rsidRDefault="00DC3841" w:rsidP="00DC3841">
      <w:pPr>
        <w:pStyle w:val="Body"/>
        <w:contextualSpacing/>
        <w:rPr>
          <w:b/>
          <w:sz w:val="24"/>
          <w:szCs w:val="24"/>
        </w:rPr>
      </w:pPr>
      <w:r>
        <w:rPr>
          <w:b/>
          <w:sz w:val="24"/>
          <w:szCs w:val="24"/>
        </w:rPr>
        <w:t>MA-45: Non-Housing Community Development Assets</w:t>
      </w:r>
    </w:p>
    <w:p w14:paraId="03088D71" w14:textId="77777777" w:rsidR="00DC3841" w:rsidRDefault="00DC3841" w:rsidP="00A121EE">
      <w:pPr>
        <w:pStyle w:val="Body"/>
        <w:numPr>
          <w:ilvl w:val="0"/>
          <w:numId w:val="42"/>
        </w:numPr>
        <w:contextualSpacing/>
        <w:rPr>
          <w:sz w:val="24"/>
          <w:szCs w:val="24"/>
        </w:rPr>
      </w:pPr>
      <w:r>
        <w:rPr>
          <w:sz w:val="24"/>
          <w:szCs w:val="24"/>
        </w:rPr>
        <w:t>The three largest employment sectors are:</w:t>
      </w:r>
    </w:p>
    <w:p w14:paraId="7A26CCFD" w14:textId="19AB260D" w:rsidR="00DC3841" w:rsidRDefault="00DC3841" w:rsidP="00A121EE">
      <w:pPr>
        <w:pStyle w:val="Body"/>
        <w:numPr>
          <w:ilvl w:val="1"/>
          <w:numId w:val="42"/>
        </w:numPr>
        <w:contextualSpacing/>
        <w:rPr>
          <w:sz w:val="24"/>
          <w:szCs w:val="24"/>
        </w:rPr>
      </w:pPr>
      <w:r>
        <w:rPr>
          <w:sz w:val="24"/>
          <w:szCs w:val="24"/>
        </w:rPr>
        <w:t xml:space="preserve">Manufacturing – 23% of all jobs in the </w:t>
      </w:r>
      <w:r w:rsidR="00556755">
        <w:rPr>
          <w:sz w:val="24"/>
          <w:szCs w:val="24"/>
        </w:rPr>
        <w:t>state</w:t>
      </w:r>
    </w:p>
    <w:p w14:paraId="3D92F4CF" w14:textId="55DF7FBD" w:rsidR="00DC3841" w:rsidRDefault="00DC3841" w:rsidP="00A121EE">
      <w:pPr>
        <w:pStyle w:val="Body"/>
        <w:numPr>
          <w:ilvl w:val="1"/>
          <w:numId w:val="42"/>
        </w:numPr>
        <w:contextualSpacing/>
        <w:rPr>
          <w:sz w:val="24"/>
          <w:szCs w:val="24"/>
        </w:rPr>
      </w:pPr>
      <w:r w:rsidRPr="009261AD">
        <w:rPr>
          <w:sz w:val="24"/>
          <w:szCs w:val="24"/>
        </w:rPr>
        <w:t>Education</w:t>
      </w:r>
      <w:r>
        <w:rPr>
          <w:sz w:val="24"/>
          <w:szCs w:val="24"/>
        </w:rPr>
        <w:t xml:space="preserve"> &amp; </w:t>
      </w:r>
      <w:r w:rsidRPr="009261AD">
        <w:rPr>
          <w:sz w:val="24"/>
          <w:szCs w:val="24"/>
        </w:rPr>
        <w:t>Healthcare Services</w:t>
      </w:r>
      <w:r>
        <w:rPr>
          <w:sz w:val="24"/>
          <w:szCs w:val="24"/>
        </w:rPr>
        <w:t xml:space="preserve"> – 16% of all jobs in the </w:t>
      </w:r>
      <w:r w:rsidR="00556755">
        <w:rPr>
          <w:sz w:val="24"/>
          <w:szCs w:val="24"/>
        </w:rPr>
        <w:t>state</w:t>
      </w:r>
    </w:p>
    <w:p w14:paraId="49C66D29" w14:textId="7A344648" w:rsidR="00DC3841" w:rsidRDefault="00DC3841" w:rsidP="00A121EE">
      <w:pPr>
        <w:pStyle w:val="Body"/>
        <w:numPr>
          <w:ilvl w:val="1"/>
          <w:numId w:val="42"/>
        </w:numPr>
        <w:contextualSpacing/>
        <w:rPr>
          <w:sz w:val="24"/>
          <w:szCs w:val="24"/>
        </w:rPr>
      </w:pPr>
      <w:r>
        <w:rPr>
          <w:sz w:val="24"/>
          <w:szCs w:val="24"/>
        </w:rPr>
        <w:t xml:space="preserve">Retail Trade – 12% of all jobs in the </w:t>
      </w:r>
      <w:r w:rsidR="00556755">
        <w:rPr>
          <w:sz w:val="24"/>
          <w:szCs w:val="24"/>
        </w:rPr>
        <w:t>state</w:t>
      </w:r>
    </w:p>
    <w:p w14:paraId="5C568E11" w14:textId="77777777" w:rsidR="00DC3841" w:rsidRPr="00A401F8" w:rsidRDefault="00DC3841" w:rsidP="00A121EE">
      <w:pPr>
        <w:pStyle w:val="Body"/>
        <w:numPr>
          <w:ilvl w:val="0"/>
          <w:numId w:val="42"/>
        </w:numPr>
        <w:contextualSpacing/>
        <w:rPr>
          <w:rFonts w:asciiTheme="minorHAnsi" w:hAnsiTheme="minorHAnsi"/>
          <w:sz w:val="24"/>
        </w:rPr>
      </w:pPr>
      <w:r w:rsidRPr="00A401F8">
        <w:rPr>
          <w:sz w:val="24"/>
          <w:szCs w:val="24"/>
        </w:rPr>
        <w:t>Top industries identified for growth between 2012-2020 are:</w:t>
      </w:r>
    </w:p>
    <w:p w14:paraId="7F9509A6" w14:textId="77777777" w:rsidR="00DC3841" w:rsidRDefault="00DC3841" w:rsidP="00A121EE">
      <w:pPr>
        <w:pStyle w:val="Body"/>
        <w:numPr>
          <w:ilvl w:val="1"/>
          <w:numId w:val="42"/>
        </w:numPr>
        <w:contextualSpacing/>
        <w:rPr>
          <w:rFonts w:asciiTheme="minorHAnsi" w:hAnsiTheme="minorHAnsi"/>
          <w:sz w:val="24"/>
        </w:rPr>
      </w:pPr>
      <w:r w:rsidRPr="00A401F8">
        <w:rPr>
          <w:rFonts w:asciiTheme="minorHAnsi" w:hAnsiTheme="minorHAnsi"/>
          <w:sz w:val="24"/>
        </w:rPr>
        <w:t>Administrative and support services</w:t>
      </w:r>
    </w:p>
    <w:p w14:paraId="13A01F97" w14:textId="77777777" w:rsidR="00DC3841" w:rsidRDefault="00DC3841" w:rsidP="00A121EE">
      <w:pPr>
        <w:pStyle w:val="Body"/>
        <w:numPr>
          <w:ilvl w:val="1"/>
          <w:numId w:val="42"/>
        </w:numPr>
        <w:contextualSpacing/>
        <w:rPr>
          <w:rFonts w:asciiTheme="minorHAnsi" w:hAnsiTheme="minorHAnsi"/>
          <w:sz w:val="24"/>
        </w:rPr>
      </w:pPr>
      <w:r w:rsidRPr="00A401F8">
        <w:rPr>
          <w:rFonts w:asciiTheme="minorHAnsi" w:hAnsiTheme="minorHAnsi"/>
          <w:sz w:val="24"/>
        </w:rPr>
        <w:t>Educational services</w:t>
      </w:r>
    </w:p>
    <w:p w14:paraId="00E8A81F" w14:textId="77777777" w:rsidR="00DC3841" w:rsidRDefault="00DC3841" w:rsidP="00A121EE">
      <w:pPr>
        <w:pStyle w:val="Body"/>
        <w:numPr>
          <w:ilvl w:val="1"/>
          <w:numId w:val="42"/>
        </w:numPr>
        <w:contextualSpacing/>
        <w:rPr>
          <w:rFonts w:asciiTheme="minorHAnsi" w:hAnsiTheme="minorHAnsi"/>
          <w:sz w:val="24"/>
        </w:rPr>
      </w:pPr>
      <w:r w:rsidRPr="00A401F8">
        <w:rPr>
          <w:rFonts w:asciiTheme="minorHAnsi" w:hAnsiTheme="minorHAnsi"/>
          <w:sz w:val="24"/>
        </w:rPr>
        <w:t>Professional, scientific, and technical services</w:t>
      </w:r>
    </w:p>
    <w:p w14:paraId="78864C94" w14:textId="77777777" w:rsidR="00DC3841" w:rsidRDefault="00DC3841" w:rsidP="00A121EE">
      <w:pPr>
        <w:pStyle w:val="Body"/>
        <w:numPr>
          <w:ilvl w:val="1"/>
          <w:numId w:val="42"/>
        </w:numPr>
        <w:contextualSpacing/>
        <w:rPr>
          <w:rFonts w:asciiTheme="minorHAnsi" w:hAnsiTheme="minorHAnsi"/>
          <w:sz w:val="24"/>
        </w:rPr>
      </w:pPr>
      <w:r w:rsidRPr="00A401F8">
        <w:rPr>
          <w:rFonts w:asciiTheme="minorHAnsi" w:hAnsiTheme="minorHAnsi"/>
          <w:sz w:val="24"/>
        </w:rPr>
        <w:t>Ambulatory health care services</w:t>
      </w:r>
    </w:p>
    <w:p w14:paraId="5334C71F" w14:textId="77777777" w:rsidR="00DC3841" w:rsidRPr="00A401F8" w:rsidRDefault="00DC3841" w:rsidP="00A121EE">
      <w:pPr>
        <w:pStyle w:val="Body"/>
        <w:numPr>
          <w:ilvl w:val="1"/>
          <w:numId w:val="42"/>
        </w:numPr>
        <w:contextualSpacing/>
        <w:rPr>
          <w:rFonts w:asciiTheme="minorHAnsi" w:hAnsiTheme="minorHAnsi"/>
          <w:sz w:val="24"/>
        </w:rPr>
      </w:pPr>
      <w:r w:rsidRPr="00A401F8">
        <w:rPr>
          <w:rFonts w:asciiTheme="minorHAnsi" w:hAnsiTheme="minorHAnsi"/>
          <w:sz w:val="24"/>
        </w:rPr>
        <w:t>Nursing and residential care facilities</w:t>
      </w:r>
    </w:p>
    <w:p w14:paraId="2AC7D14C" w14:textId="77777777" w:rsidR="00DC3841" w:rsidRDefault="00DC3841" w:rsidP="00DC3841">
      <w:pPr>
        <w:rPr>
          <w:rFonts w:asciiTheme="minorHAnsi" w:hAnsiTheme="minorHAnsi"/>
        </w:rPr>
      </w:pPr>
    </w:p>
    <w:p w14:paraId="4EB50CB4" w14:textId="77777777" w:rsidR="00DC3841" w:rsidRDefault="00DC3841" w:rsidP="00DC3841">
      <w:pPr>
        <w:rPr>
          <w:rFonts w:asciiTheme="minorHAnsi" w:hAnsiTheme="minorHAnsi"/>
        </w:rPr>
      </w:pPr>
    </w:p>
    <w:p w14:paraId="12B522CB" w14:textId="77777777" w:rsidR="00DC3841" w:rsidRDefault="00DC3841" w:rsidP="00DC3841">
      <w:pPr>
        <w:rPr>
          <w:rFonts w:asciiTheme="minorHAnsi" w:hAnsiTheme="minorHAnsi"/>
        </w:rPr>
      </w:pPr>
    </w:p>
    <w:p w14:paraId="4A049193" w14:textId="77777777" w:rsidR="00DC3841" w:rsidRDefault="00DC3841" w:rsidP="00DC3841">
      <w:pPr>
        <w:rPr>
          <w:rFonts w:asciiTheme="minorHAnsi" w:hAnsiTheme="minorHAnsi"/>
        </w:rPr>
      </w:pPr>
    </w:p>
    <w:p w14:paraId="2C518759" w14:textId="77777777" w:rsidR="00DC3841" w:rsidRDefault="00DC3841" w:rsidP="00DC3841">
      <w:pPr>
        <w:rPr>
          <w:rFonts w:asciiTheme="minorHAnsi" w:hAnsiTheme="minorHAnsi"/>
        </w:rPr>
      </w:pPr>
    </w:p>
    <w:p w14:paraId="4EC23E18" w14:textId="77777777" w:rsidR="00DC3841" w:rsidRDefault="00DC3841" w:rsidP="00DC3841">
      <w:pPr>
        <w:rPr>
          <w:rFonts w:asciiTheme="minorHAnsi" w:hAnsiTheme="minorHAnsi"/>
        </w:rPr>
      </w:pPr>
    </w:p>
    <w:p w14:paraId="0CD4F39E" w14:textId="77777777" w:rsidR="00DC3841" w:rsidRDefault="00DC3841" w:rsidP="00DC3841">
      <w:pPr>
        <w:rPr>
          <w:rFonts w:asciiTheme="minorHAnsi" w:hAnsiTheme="minorHAnsi"/>
        </w:rPr>
      </w:pPr>
    </w:p>
    <w:p w14:paraId="6092A028" w14:textId="77777777" w:rsidR="00DC3841" w:rsidRDefault="00DC3841" w:rsidP="00DC3841">
      <w:pPr>
        <w:rPr>
          <w:rFonts w:asciiTheme="minorHAnsi" w:hAnsiTheme="minorHAnsi"/>
        </w:rPr>
      </w:pPr>
    </w:p>
    <w:p w14:paraId="7416FB5D" w14:textId="77777777" w:rsidR="00DC3841" w:rsidRDefault="00DC3841" w:rsidP="00DC3841">
      <w:pPr>
        <w:rPr>
          <w:rFonts w:asciiTheme="minorHAnsi" w:hAnsiTheme="minorHAnsi"/>
        </w:rPr>
      </w:pPr>
    </w:p>
    <w:p w14:paraId="30B62103" w14:textId="77777777" w:rsidR="00DC3841" w:rsidRDefault="00DC3841" w:rsidP="00DC3841">
      <w:pPr>
        <w:rPr>
          <w:rFonts w:asciiTheme="minorHAnsi" w:hAnsiTheme="minorHAnsi"/>
        </w:rPr>
      </w:pPr>
    </w:p>
    <w:p w14:paraId="561D3E3D" w14:textId="77777777" w:rsidR="00DC3841" w:rsidRDefault="00DC3841" w:rsidP="00DC3841">
      <w:pPr>
        <w:rPr>
          <w:rFonts w:asciiTheme="minorHAnsi" w:hAnsiTheme="minorHAnsi"/>
        </w:rPr>
      </w:pPr>
    </w:p>
    <w:p w14:paraId="3AE9954F" w14:textId="77777777" w:rsidR="00DC3841" w:rsidRDefault="00DC3841" w:rsidP="00DC3841">
      <w:pPr>
        <w:rPr>
          <w:rFonts w:asciiTheme="minorHAnsi" w:hAnsiTheme="minorHAnsi"/>
        </w:rPr>
      </w:pPr>
    </w:p>
    <w:p w14:paraId="2E11C7CD" w14:textId="77777777" w:rsidR="00DC3841" w:rsidRDefault="00DC3841" w:rsidP="00DC3841">
      <w:pPr>
        <w:pStyle w:val="Heading2"/>
        <w:shd w:val="clear" w:color="auto" w:fill="95B3D7" w:themeFill="accent1" w:themeFillTint="99"/>
        <w:rPr>
          <w:rFonts w:ascii="Calibri" w:hAnsi="Calibri"/>
          <w:i w:val="0"/>
        </w:rPr>
      </w:pPr>
      <w:bookmarkStart w:id="35" w:name="_Toc524603020"/>
      <w:r>
        <w:rPr>
          <w:rFonts w:ascii="Calibri" w:hAnsi="Calibri"/>
          <w:i w:val="0"/>
        </w:rPr>
        <w:t xml:space="preserve">MA-10 </w:t>
      </w:r>
      <w:r w:rsidRPr="007A7A0A">
        <w:rPr>
          <w:rFonts w:asciiTheme="minorHAnsi" w:hAnsiTheme="minorHAnsi"/>
          <w:i w:val="0"/>
        </w:rPr>
        <w:t>Number of Housing Units – 91.310(a)</w:t>
      </w:r>
      <w:bookmarkEnd w:id="35"/>
    </w:p>
    <w:p w14:paraId="7B2ABD9D" w14:textId="77777777" w:rsidR="00DC3841" w:rsidRDefault="00DC3841" w:rsidP="00DC3841">
      <w:pPr>
        <w:keepNext/>
        <w:widowControl w:val="0"/>
        <w:rPr>
          <w:rFonts w:asciiTheme="minorHAnsi" w:hAnsiTheme="minorHAnsi"/>
          <w:b/>
          <w:sz w:val="24"/>
        </w:rPr>
      </w:pPr>
      <w:r>
        <w:rPr>
          <w:rFonts w:asciiTheme="minorHAnsi" w:hAnsiTheme="minorHAnsi"/>
          <w:b/>
          <w:sz w:val="24"/>
        </w:rPr>
        <w:t>All residential properties by number of units</w:t>
      </w:r>
    </w:p>
    <w:p w14:paraId="31B92E71" w14:textId="42792314" w:rsidR="00DC3841" w:rsidRDefault="00DC3841" w:rsidP="00DC3841">
      <w:pPr>
        <w:pStyle w:val="Body"/>
        <w:rPr>
          <w:sz w:val="24"/>
          <w:szCs w:val="24"/>
        </w:rPr>
      </w:pPr>
      <w:r>
        <w:rPr>
          <w:sz w:val="24"/>
          <w:szCs w:val="24"/>
        </w:rPr>
        <w:t xml:space="preserve">The State of Kansas has a varied housing stock. Single family detached structures comprise the majority of the housing stock throughout the </w:t>
      </w:r>
      <w:r w:rsidR="00556755">
        <w:rPr>
          <w:sz w:val="24"/>
          <w:szCs w:val="24"/>
        </w:rPr>
        <w:t>state</w:t>
      </w:r>
      <w:r>
        <w:rPr>
          <w:sz w:val="24"/>
          <w:szCs w:val="24"/>
        </w:rPr>
        <w:t xml:space="preserve">. Urban areas contain more of the 20+ unit multi-family structures, while rural areas are more likely to have more single family detached structures and smaller multi-family properties. </w:t>
      </w:r>
    </w:p>
    <w:p w14:paraId="28376903" w14:textId="77777777" w:rsidR="00DC3841" w:rsidRDefault="00DC3841" w:rsidP="00DC3841">
      <w:pPr>
        <w:pStyle w:val="Body"/>
        <w:rPr>
          <w:sz w:val="24"/>
          <w:szCs w:val="24"/>
        </w:rPr>
      </w:pPr>
      <w:r>
        <w:rPr>
          <w:sz w:val="24"/>
          <w:szCs w:val="24"/>
        </w:rPr>
        <w:t xml:space="preserve">Most housing units (78%) in Kansas are single-family homes, either detached or attached units. As a share of all housing units, single family homes have increased by two percentage points between 2000 and 2013. </w:t>
      </w:r>
    </w:p>
    <w:p w14:paraId="70C46843" w14:textId="77777777" w:rsidR="00DC3841" w:rsidRDefault="00DC3841" w:rsidP="00DC3841">
      <w:pPr>
        <w:pStyle w:val="Body"/>
        <w:rPr>
          <w:sz w:val="24"/>
          <w:szCs w:val="24"/>
        </w:rPr>
      </w:pPr>
      <w:r>
        <w:rPr>
          <w:sz w:val="24"/>
          <w:szCs w:val="24"/>
        </w:rPr>
        <w:t xml:space="preserve">In 2016, the Northeast region of Kansas (the most urbanized region) contained the lowest percentage of detached single-family units and the highest percentage of multi-family units. The Northwest, Southwest, and Southeast regions of Kansas also had very high percentages of single family homes and low percentages of multi-family units. The Southeast and Southwestern regions of Kansas have the highest percentages of mobile homes, 8.7% and 11.3% respectively. </w:t>
      </w:r>
    </w:p>
    <w:p w14:paraId="39E0B9D1" w14:textId="77777777" w:rsidR="00DC3841" w:rsidRDefault="00DC3841" w:rsidP="00DC3841">
      <w:pPr>
        <w:keepNext/>
        <w:widowControl w:val="0"/>
        <w:rPr>
          <w:sz w:val="24"/>
          <w:szCs w:val="24"/>
        </w:rPr>
      </w:pPr>
      <w:r>
        <w:rPr>
          <w:sz w:val="24"/>
          <w:szCs w:val="24"/>
        </w:rPr>
        <w:t>The following tables provide a breakout of unit types and number of units statewide.</w:t>
      </w:r>
    </w:p>
    <w:p w14:paraId="7D455AEB" w14:textId="7DD7670D" w:rsidR="00DC3841" w:rsidRPr="009635D2" w:rsidRDefault="00DC3841" w:rsidP="00DC3841">
      <w:pPr>
        <w:pStyle w:val="Caption"/>
        <w:contextualSpacing/>
      </w:pPr>
      <w:r w:rsidRPr="00A03A8E">
        <w:rPr>
          <w:rFonts w:asciiTheme="minorHAnsi" w:hAnsiTheme="minorHAnsi"/>
          <w:sz w:val="24"/>
        </w:rPr>
        <w:t xml:space="preserve">Table </w:t>
      </w:r>
      <w:r w:rsidRPr="00A03A8E">
        <w:rPr>
          <w:rFonts w:asciiTheme="minorHAnsi" w:hAnsiTheme="minorHAnsi"/>
          <w:sz w:val="24"/>
        </w:rPr>
        <w:fldChar w:fldCharType="begin"/>
      </w:r>
      <w:r w:rsidRPr="00A03A8E">
        <w:rPr>
          <w:rFonts w:asciiTheme="minorHAnsi" w:hAnsiTheme="minorHAnsi"/>
          <w:sz w:val="24"/>
        </w:rPr>
        <w:instrText xml:space="preserve"> SEQ Table \* ARABIC </w:instrText>
      </w:r>
      <w:r w:rsidRPr="00A03A8E">
        <w:rPr>
          <w:rFonts w:asciiTheme="minorHAnsi" w:hAnsiTheme="minorHAnsi"/>
          <w:sz w:val="24"/>
        </w:rPr>
        <w:fldChar w:fldCharType="separate"/>
      </w:r>
      <w:r w:rsidR="008D29C7">
        <w:rPr>
          <w:rFonts w:asciiTheme="minorHAnsi" w:hAnsiTheme="minorHAnsi"/>
          <w:noProof/>
          <w:sz w:val="24"/>
        </w:rPr>
        <w:t>2</w:t>
      </w:r>
      <w:r w:rsidRPr="00A03A8E">
        <w:rPr>
          <w:rFonts w:asciiTheme="minorHAnsi" w:hAnsiTheme="minorHAnsi"/>
          <w:sz w:val="24"/>
        </w:rPr>
        <w:fldChar w:fldCharType="end"/>
      </w:r>
      <w:r w:rsidRPr="00A03A8E">
        <w:rPr>
          <w:rFonts w:asciiTheme="minorHAnsi" w:hAnsiTheme="minorHAnsi"/>
          <w:sz w:val="24"/>
        </w:rPr>
        <w:t xml:space="preserve"> </w:t>
      </w:r>
      <w:r>
        <w:rPr>
          <w:rFonts w:asciiTheme="minorHAnsi" w:hAnsiTheme="minorHAnsi"/>
          <w:sz w:val="24"/>
        </w:rPr>
        <w:t xml:space="preserve">– </w:t>
      </w:r>
      <w:r w:rsidRPr="00A03A8E">
        <w:rPr>
          <w:rFonts w:asciiTheme="minorHAnsi" w:hAnsiTheme="minorHAnsi"/>
          <w:sz w:val="24"/>
        </w:rPr>
        <w:t>Residential Properties by Unit Number</w:t>
      </w:r>
    </w:p>
    <w:tbl>
      <w:tblPr>
        <w:tblStyle w:val="GridTable4-Accent1"/>
        <w:tblW w:w="5000" w:type="pct"/>
        <w:tblLook w:val="04E0" w:firstRow="1" w:lastRow="1" w:firstColumn="1" w:lastColumn="0" w:noHBand="0" w:noVBand="1"/>
      </w:tblPr>
      <w:tblGrid>
        <w:gridCol w:w="3343"/>
        <w:gridCol w:w="3363"/>
        <w:gridCol w:w="2644"/>
      </w:tblGrid>
      <w:tr w:rsidR="00DC3841" w14:paraId="25658BEF"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dxa"/>
          </w:tcPr>
          <w:p w14:paraId="68BDDAF6" w14:textId="77777777" w:rsidR="00DC3841" w:rsidRDefault="00DC3841" w:rsidP="007C520D">
            <w:pPr>
              <w:keepNext/>
              <w:widowControl w:val="0"/>
              <w:spacing w:after="0" w:line="240" w:lineRule="auto"/>
              <w:contextualSpacing/>
              <w:rPr>
                <w:rFonts w:asciiTheme="minorHAnsi" w:hAnsiTheme="minorHAnsi"/>
                <w:b w:val="0"/>
              </w:rPr>
            </w:pPr>
            <w:r>
              <w:rPr>
                <w:rFonts w:asciiTheme="minorHAnsi" w:hAnsiTheme="minorHAnsi"/>
              </w:rPr>
              <w:t>Property Type</w:t>
            </w:r>
          </w:p>
        </w:tc>
        <w:tc>
          <w:tcPr>
            <w:tcW w:w="3363" w:type="dxa"/>
          </w:tcPr>
          <w:p w14:paraId="5685F74B"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Number</w:t>
            </w:r>
          </w:p>
        </w:tc>
        <w:tc>
          <w:tcPr>
            <w:tcW w:w="2644" w:type="dxa"/>
          </w:tcPr>
          <w:p w14:paraId="6C6CCF9C"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w:t>
            </w:r>
          </w:p>
        </w:tc>
      </w:tr>
      <w:tr w:rsidR="00DC3841" w14:paraId="37744BAA"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dxa"/>
          </w:tcPr>
          <w:p w14:paraId="43B617D5"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1-unit, detached</w:t>
            </w:r>
          </w:p>
        </w:tc>
        <w:tc>
          <w:tcPr>
            <w:tcW w:w="3363" w:type="dxa"/>
          </w:tcPr>
          <w:p w14:paraId="3BBD0F36" w14:textId="77777777" w:rsidR="00DC3841" w:rsidRPr="00123299"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3299">
              <w:rPr>
                <w:rFonts w:asciiTheme="minorHAnsi" w:hAnsiTheme="minorHAnsi"/>
              </w:rPr>
              <w:t>897,753</w:t>
            </w:r>
          </w:p>
        </w:tc>
        <w:tc>
          <w:tcPr>
            <w:tcW w:w="2644" w:type="dxa"/>
          </w:tcPr>
          <w:p w14:paraId="5EFD535F" w14:textId="77777777" w:rsidR="00DC3841" w:rsidRPr="00123299"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3299">
              <w:rPr>
                <w:rFonts w:asciiTheme="minorHAnsi" w:hAnsiTheme="minorHAnsi"/>
              </w:rPr>
              <w:t>73%</w:t>
            </w:r>
          </w:p>
        </w:tc>
      </w:tr>
      <w:tr w:rsidR="00DC3841" w14:paraId="652A4AA7" w14:textId="77777777" w:rsidTr="007C520D">
        <w:tc>
          <w:tcPr>
            <w:cnfStyle w:val="001000000000" w:firstRow="0" w:lastRow="0" w:firstColumn="1" w:lastColumn="0" w:oddVBand="0" w:evenVBand="0" w:oddHBand="0" w:evenHBand="0" w:firstRowFirstColumn="0" w:firstRowLastColumn="0" w:lastRowFirstColumn="0" w:lastRowLastColumn="0"/>
            <w:tcW w:w="3343" w:type="dxa"/>
          </w:tcPr>
          <w:p w14:paraId="03877EAC"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1-unit, attached</w:t>
            </w:r>
          </w:p>
        </w:tc>
        <w:tc>
          <w:tcPr>
            <w:tcW w:w="3363" w:type="dxa"/>
          </w:tcPr>
          <w:p w14:paraId="00132BA9" w14:textId="77777777" w:rsidR="00DC3841" w:rsidRPr="00123299"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56,853</w:t>
            </w:r>
          </w:p>
        </w:tc>
        <w:tc>
          <w:tcPr>
            <w:tcW w:w="2644" w:type="dxa"/>
          </w:tcPr>
          <w:p w14:paraId="7A7E9515" w14:textId="77777777" w:rsidR="00DC3841" w:rsidRPr="00123299"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5%</w:t>
            </w:r>
          </w:p>
        </w:tc>
      </w:tr>
      <w:tr w:rsidR="00DC3841" w14:paraId="285C62C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dxa"/>
          </w:tcPr>
          <w:p w14:paraId="227ED23E"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2-4 units</w:t>
            </w:r>
          </w:p>
        </w:tc>
        <w:tc>
          <w:tcPr>
            <w:tcW w:w="3363" w:type="dxa"/>
          </w:tcPr>
          <w:p w14:paraId="76546BBD" w14:textId="77777777" w:rsidR="00DC3841" w:rsidRPr="00123299"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3299">
              <w:rPr>
                <w:rFonts w:asciiTheme="minorHAnsi" w:hAnsiTheme="minorHAnsi"/>
              </w:rPr>
              <w:t>71,522</w:t>
            </w:r>
          </w:p>
        </w:tc>
        <w:tc>
          <w:tcPr>
            <w:tcW w:w="2644" w:type="dxa"/>
          </w:tcPr>
          <w:p w14:paraId="1FB61BFC" w14:textId="77777777" w:rsidR="00DC3841" w:rsidRPr="00123299"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3299">
              <w:rPr>
                <w:rFonts w:asciiTheme="minorHAnsi" w:hAnsiTheme="minorHAnsi"/>
              </w:rPr>
              <w:t>6%</w:t>
            </w:r>
          </w:p>
        </w:tc>
      </w:tr>
      <w:tr w:rsidR="00DC3841" w14:paraId="78DBD13C" w14:textId="77777777" w:rsidTr="007C520D">
        <w:tc>
          <w:tcPr>
            <w:cnfStyle w:val="001000000000" w:firstRow="0" w:lastRow="0" w:firstColumn="1" w:lastColumn="0" w:oddVBand="0" w:evenVBand="0" w:oddHBand="0" w:evenHBand="0" w:firstRowFirstColumn="0" w:firstRowLastColumn="0" w:lastRowFirstColumn="0" w:lastRowLastColumn="0"/>
            <w:tcW w:w="3343" w:type="dxa"/>
          </w:tcPr>
          <w:p w14:paraId="7B46F430"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5-19 units</w:t>
            </w:r>
          </w:p>
        </w:tc>
        <w:tc>
          <w:tcPr>
            <w:tcW w:w="3363" w:type="dxa"/>
          </w:tcPr>
          <w:p w14:paraId="6C12CB99" w14:textId="77777777" w:rsidR="00DC3841" w:rsidRPr="00123299"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91,491</w:t>
            </w:r>
          </w:p>
        </w:tc>
        <w:tc>
          <w:tcPr>
            <w:tcW w:w="2644" w:type="dxa"/>
          </w:tcPr>
          <w:p w14:paraId="281997A8" w14:textId="77777777" w:rsidR="00DC3841" w:rsidRPr="00123299"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7%</w:t>
            </w:r>
          </w:p>
        </w:tc>
      </w:tr>
      <w:tr w:rsidR="00DC3841" w14:paraId="179DAAD8"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dxa"/>
          </w:tcPr>
          <w:p w14:paraId="23F6D665"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20 or more units</w:t>
            </w:r>
          </w:p>
        </w:tc>
        <w:tc>
          <w:tcPr>
            <w:tcW w:w="3363" w:type="dxa"/>
          </w:tcPr>
          <w:p w14:paraId="4F8BB43C" w14:textId="77777777" w:rsidR="00DC3841" w:rsidRPr="00123299"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3299">
              <w:rPr>
                <w:rFonts w:asciiTheme="minorHAnsi" w:hAnsiTheme="minorHAnsi"/>
              </w:rPr>
              <w:t>55,897</w:t>
            </w:r>
          </w:p>
        </w:tc>
        <w:tc>
          <w:tcPr>
            <w:tcW w:w="2644" w:type="dxa"/>
          </w:tcPr>
          <w:p w14:paraId="3D8E4FF1" w14:textId="77777777" w:rsidR="00DC3841" w:rsidRPr="00123299"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123299">
              <w:rPr>
                <w:rFonts w:asciiTheme="minorHAnsi" w:hAnsiTheme="minorHAnsi"/>
              </w:rPr>
              <w:t>5%</w:t>
            </w:r>
          </w:p>
        </w:tc>
      </w:tr>
      <w:tr w:rsidR="00DC3841" w14:paraId="5DDFB2B3" w14:textId="77777777" w:rsidTr="007C520D">
        <w:tc>
          <w:tcPr>
            <w:cnfStyle w:val="001000000000" w:firstRow="0" w:lastRow="0" w:firstColumn="1" w:lastColumn="0" w:oddVBand="0" w:evenVBand="0" w:oddHBand="0" w:evenHBand="0" w:firstRowFirstColumn="0" w:firstRowLastColumn="0" w:lastRowFirstColumn="0" w:lastRowLastColumn="0"/>
            <w:tcW w:w="3343" w:type="dxa"/>
          </w:tcPr>
          <w:p w14:paraId="16AFCF3A"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Mobile Home, boat, RV, van, etc</w:t>
            </w:r>
          </w:p>
        </w:tc>
        <w:tc>
          <w:tcPr>
            <w:tcW w:w="3363" w:type="dxa"/>
          </w:tcPr>
          <w:p w14:paraId="71ADA4BB" w14:textId="77777777" w:rsidR="00DC3841" w:rsidRPr="00123299"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61,969</w:t>
            </w:r>
          </w:p>
        </w:tc>
        <w:tc>
          <w:tcPr>
            <w:tcW w:w="2644" w:type="dxa"/>
          </w:tcPr>
          <w:p w14:paraId="2D9590C5" w14:textId="77777777" w:rsidR="00DC3841" w:rsidRPr="00123299"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5%</w:t>
            </w:r>
          </w:p>
        </w:tc>
      </w:tr>
      <w:tr w:rsidR="00DC3841" w14:paraId="482A5ED7"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dxa"/>
          </w:tcPr>
          <w:p w14:paraId="69D774C3"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Total</w:t>
            </w:r>
          </w:p>
        </w:tc>
        <w:tc>
          <w:tcPr>
            <w:tcW w:w="3363" w:type="dxa"/>
          </w:tcPr>
          <w:p w14:paraId="09A740B9" w14:textId="77777777" w:rsidR="00DC3841" w:rsidRPr="00123299" w:rsidRDefault="00DC3841" w:rsidP="007C520D">
            <w:pPr>
              <w:keepNext/>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1,235,485</w:t>
            </w:r>
          </w:p>
        </w:tc>
        <w:tc>
          <w:tcPr>
            <w:tcW w:w="2644" w:type="dxa"/>
          </w:tcPr>
          <w:p w14:paraId="706AB18D" w14:textId="77777777" w:rsidR="00DC3841" w:rsidRPr="00123299" w:rsidRDefault="00DC3841" w:rsidP="007C520D">
            <w:pPr>
              <w:keepNext/>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123299">
              <w:rPr>
                <w:rFonts w:asciiTheme="minorHAnsi" w:hAnsiTheme="minorHAnsi"/>
              </w:rPr>
              <w:t>100%</w:t>
            </w:r>
          </w:p>
        </w:tc>
      </w:tr>
    </w:tbl>
    <w:p w14:paraId="1C85383F" w14:textId="77777777" w:rsidR="00DC3841" w:rsidRPr="00A03A8E" w:rsidRDefault="00DC3841" w:rsidP="00DC3841">
      <w:pPr>
        <w:spacing w:after="0" w:line="240" w:lineRule="auto"/>
        <w:rPr>
          <w:rFonts w:asciiTheme="minorHAnsi" w:hAnsiTheme="minorHAnsi"/>
          <w:i/>
          <w:vanish/>
          <w:sz w:val="18"/>
        </w:rPr>
      </w:pPr>
      <w:r>
        <w:rPr>
          <w:rFonts w:asciiTheme="minorHAnsi" w:hAnsiTheme="minorHAnsi"/>
          <w:i/>
          <w:sz w:val="18"/>
        </w:rPr>
        <w:t>Source: 2009-2013 ACS (DP04)</w:t>
      </w:r>
    </w:p>
    <w:p w14:paraId="3DCB9012" w14:textId="77777777" w:rsidR="00DC3841" w:rsidRDefault="00DC3841" w:rsidP="00DC3841">
      <w:pPr>
        <w:rPr>
          <w:rFonts w:asciiTheme="minorHAnsi" w:hAnsiTheme="minorHAnsi"/>
          <w:b/>
          <w:vanish/>
          <w:sz w:val="16"/>
        </w:rPr>
      </w:pPr>
    </w:p>
    <w:p w14:paraId="4562CB72" w14:textId="77777777" w:rsidR="00DC3841" w:rsidRDefault="00DC3841" w:rsidP="00DC3841">
      <w:pPr>
        <w:rPr>
          <w:rFonts w:asciiTheme="minorHAnsi" w:hAnsiTheme="minorHAnsi"/>
        </w:rPr>
      </w:pPr>
    </w:p>
    <w:p w14:paraId="4A0E3D61" w14:textId="77777777" w:rsidR="004F54BE" w:rsidRDefault="004F54BE" w:rsidP="00DC3841">
      <w:pPr>
        <w:keepNext/>
        <w:widowControl w:val="0"/>
        <w:spacing w:line="240" w:lineRule="auto"/>
        <w:contextualSpacing/>
        <w:rPr>
          <w:rFonts w:asciiTheme="minorHAnsi" w:hAnsiTheme="minorHAnsi"/>
          <w:b/>
          <w:sz w:val="24"/>
        </w:rPr>
      </w:pPr>
    </w:p>
    <w:p w14:paraId="7A23A422" w14:textId="3F0F53CA"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2 – Unit Size by Tenure</w:t>
      </w:r>
    </w:p>
    <w:tbl>
      <w:tblPr>
        <w:tblStyle w:val="GridTable4-Accent1"/>
        <w:tblW w:w="5000" w:type="pct"/>
        <w:tblLook w:val="04E0" w:firstRow="1" w:lastRow="1" w:firstColumn="1" w:lastColumn="0" w:noHBand="0" w:noVBand="1"/>
      </w:tblPr>
      <w:tblGrid>
        <w:gridCol w:w="2666"/>
        <w:gridCol w:w="1761"/>
        <w:gridCol w:w="1525"/>
        <w:gridCol w:w="1723"/>
        <w:gridCol w:w="1675"/>
      </w:tblGrid>
      <w:tr w:rsidR="00DC3841" w14:paraId="22A68FD8"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vMerge w:val="restart"/>
          </w:tcPr>
          <w:p w14:paraId="445CB6BF" w14:textId="77777777" w:rsidR="00DC3841" w:rsidRDefault="00DC3841" w:rsidP="007C520D">
            <w:pPr>
              <w:keepNext/>
              <w:widowControl w:val="0"/>
              <w:spacing w:after="0" w:line="240" w:lineRule="auto"/>
              <w:contextualSpacing/>
              <w:rPr>
                <w:rFonts w:asciiTheme="minorHAnsi" w:hAnsiTheme="minorHAnsi"/>
                <w:b w:val="0"/>
              </w:rPr>
            </w:pPr>
          </w:p>
        </w:tc>
        <w:tc>
          <w:tcPr>
            <w:tcW w:w="3361" w:type="dxa"/>
            <w:gridSpan w:val="2"/>
          </w:tcPr>
          <w:p w14:paraId="33DB83BF" w14:textId="77777777" w:rsidR="00DC3841" w:rsidRPr="00556E6A"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Owners</w:t>
            </w:r>
          </w:p>
        </w:tc>
        <w:tc>
          <w:tcPr>
            <w:tcW w:w="3479" w:type="dxa"/>
            <w:gridSpan w:val="2"/>
          </w:tcPr>
          <w:p w14:paraId="0759FF5F" w14:textId="77777777" w:rsidR="00DC3841" w:rsidRPr="00556E6A"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Renters</w:t>
            </w:r>
          </w:p>
        </w:tc>
      </w:tr>
      <w:tr w:rsidR="00DC3841" w14:paraId="30DABCB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vMerge/>
          </w:tcPr>
          <w:p w14:paraId="6AE90B03" w14:textId="77777777" w:rsidR="00DC3841" w:rsidRDefault="00DC3841" w:rsidP="007C520D">
            <w:pPr>
              <w:keepNext/>
              <w:widowControl w:val="0"/>
              <w:spacing w:after="0" w:line="240" w:lineRule="auto"/>
              <w:rPr>
                <w:rFonts w:asciiTheme="minorHAnsi" w:hAnsiTheme="minorHAnsi"/>
                <w:b w:val="0"/>
              </w:rPr>
            </w:pPr>
          </w:p>
        </w:tc>
        <w:tc>
          <w:tcPr>
            <w:tcW w:w="1798" w:type="dxa"/>
          </w:tcPr>
          <w:p w14:paraId="09585F1D"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Number</w:t>
            </w:r>
          </w:p>
        </w:tc>
        <w:tc>
          <w:tcPr>
            <w:tcW w:w="1563" w:type="dxa"/>
          </w:tcPr>
          <w:p w14:paraId="1E459A1A"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w:t>
            </w:r>
          </w:p>
        </w:tc>
        <w:tc>
          <w:tcPr>
            <w:tcW w:w="1759" w:type="dxa"/>
          </w:tcPr>
          <w:p w14:paraId="6F35A49E"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Number</w:t>
            </w:r>
          </w:p>
        </w:tc>
        <w:tc>
          <w:tcPr>
            <w:tcW w:w="1720" w:type="dxa"/>
          </w:tcPr>
          <w:p w14:paraId="77F9450B"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w:t>
            </w:r>
          </w:p>
        </w:tc>
      </w:tr>
      <w:tr w:rsidR="00DC3841" w14:paraId="53F2EA4E" w14:textId="77777777" w:rsidTr="007C520D">
        <w:tc>
          <w:tcPr>
            <w:cnfStyle w:val="001000000000" w:firstRow="0" w:lastRow="0" w:firstColumn="1" w:lastColumn="0" w:oddVBand="0" w:evenVBand="0" w:oddHBand="0" w:evenHBand="0" w:firstRowFirstColumn="0" w:firstRowLastColumn="0" w:lastRowFirstColumn="0" w:lastRowLastColumn="0"/>
            <w:tcW w:w="2736" w:type="dxa"/>
          </w:tcPr>
          <w:p w14:paraId="5287A7B4"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No bedroom</w:t>
            </w:r>
          </w:p>
        </w:tc>
        <w:tc>
          <w:tcPr>
            <w:tcW w:w="1798" w:type="dxa"/>
          </w:tcPr>
          <w:p w14:paraId="393986B3"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1,102</w:t>
            </w:r>
          </w:p>
        </w:tc>
        <w:tc>
          <w:tcPr>
            <w:tcW w:w="1563" w:type="dxa"/>
          </w:tcPr>
          <w:p w14:paraId="6EF1407D"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0%</w:t>
            </w:r>
          </w:p>
        </w:tc>
        <w:tc>
          <w:tcPr>
            <w:tcW w:w="1759" w:type="dxa"/>
          </w:tcPr>
          <w:p w14:paraId="3843F5D8"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16,653</w:t>
            </w:r>
          </w:p>
        </w:tc>
        <w:tc>
          <w:tcPr>
            <w:tcW w:w="1720" w:type="dxa"/>
          </w:tcPr>
          <w:p w14:paraId="223B31D1"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5%</w:t>
            </w:r>
          </w:p>
        </w:tc>
      </w:tr>
      <w:tr w:rsidR="00DC3841" w14:paraId="5A221F7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91381D6"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1 bedroom</w:t>
            </w:r>
          </w:p>
        </w:tc>
        <w:tc>
          <w:tcPr>
            <w:tcW w:w="1798" w:type="dxa"/>
          </w:tcPr>
          <w:p w14:paraId="6C68BDDD"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13</w:t>
            </w:r>
            <w:r>
              <w:rPr>
                <w:rFonts w:asciiTheme="minorHAnsi" w:hAnsiTheme="minorHAnsi"/>
              </w:rPr>
              <w:t>,</w:t>
            </w:r>
            <w:r w:rsidRPr="00556E6A">
              <w:rPr>
                <w:rFonts w:asciiTheme="minorHAnsi" w:hAnsiTheme="minorHAnsi"/>
              </w:rPr>
              <w:t>495</w:t>
            </w:r>
          </w:p>
        </w:tc>
        <w:tc>
          <w:tcPr>
            <w:tcW w:w="1563" w:type="dxa"/>
          </w:tcPr>
          <w:p w14:paraId="0948C04C"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2%</w:t>
            </w:r>
          </w:p>
        </w:tc>
        <w:tc>
          <w:tcPr>
            <w:tcW w:w="1759" w:type="dxa"/>
          </w:tcPr>
          <w:p w14:paraId="4705E492"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86,539</w:t>
            </w:r>
          </w:p>
        </w:tc>
        <w:tc>
          <w:tcPr>
            <w:tcW w:w="1720" w:type="dxa"/>
          </w:tcPr>
          <w:p w14:paraId="481EA163"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24%</w:t>
            </w:r>
          </w:p>
        </w:tc>
      </w:tr>
      <w:tr w:rsidR="00DC3841" w14:paraId="18292CDF" w14:textId="77777777" w:rsidTr="007C520D">
        <w:tc>
          <w:tcPr>
            <w:cnfStyle w:val="001000000000" w:firstRow="0" w:lastRow="0" w:firstColumn="1" w:lastColumn="0" w:oddVBand="0" w:evenVBand="0" w:oddHBand="0" w:evenHBand="0" w:firstRowFirstColumn="0" w:firstRowLastColumn="0" w:lastRowFirstColumn="0" w:lastRowLastColumn="0"/>
            <w:tcW w:w="2736" w:type="dxa"/>
          </w:tcPr>
          <w:p w14:paraId="6A1E0387"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2 bedrooms</w:t>
            </w:r>
          </w:p>
        </w:tc>
        <w:tc>
          <w:tcPr>
            <w:tcW w:w="1798" w:type="dxa"/>
          </w:tcPr>
          <w:p w14:paraId="1C7A3015"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143</w:t>
            </w:r>
            <w:r>
              <w:rPr>
                <w:rFonts w:asciiTheme="minorHAnsi" w:hAnsiTheme="minorHAnsi"/>
              </w:rPr>
              <w:t>,</w:t>
            </w:r>
            <w:r w:rsidRPr="00556E6A">
              <w:rPr>
                <w:rFonts w:asciiTheme="minorHAnsi" w:hAnsiTheme="minorHAnsi"/>
              </w:rPr>
              <w:t>585</w:t>
            </w:r>
          </w:p>
        </w:tc>
        <w:tc>
          <w:tcPr>
            <w:tcW w:w="1563" w:type="dxa"/>
          </w:tcPr>
          <w:p w14:paraId="16934789"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19%</w:t>
            </w:r>
          </w:p>
        </w:tc>
        <w:tc>
          <w:tcPr>
            <w:tcW w:w="1759" w:type="dxa"/>
          </w:tcPr>
          <w:p w14:paraId="2B2C0533"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140,546</w:t>
            </w:r>
          </w:p>
        </w:tc>
        <w:tc>
          <w:tcPr>
            <w:tcW w:w="1720" w:type="dxa"/>
          </w:tcPr>
          <w:p w14:paraId="52D0325E"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39%</w:t>
            </w:r>
          </w:p>
        </w:tc>
      </w:tr>
      <w:tr w:rsidR="00DC3841" w14:paraId="351E9914"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7EAB2FFD"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3 or more bedrooms</w:t>
            </w:r>
          </w:p>
        </w:tc>
        <w:tc>
          <w:tcPr>
            <w:tcW w:w="1798" w:type="dxa"/>
          </w:tcPr>
          <w:p w14:paraId="085CF9F8"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591</w:t>
            </w:r>
            <w:r>
              <w:rPr>
                <w:rFonts w:asciiTheme="minorHAnsi" w:hAnsiTheme="minorHAnsi"/>
              </w:rPr>
              <w:t>,</w:t>
            </w:r>
            <w:r w:rsidRPr="00556E6A">
              <w:rPr>
                <w:rFonts w:asciiTheme="minorHAnsi" w:hAnsiTheme="minorHAnsi"/>
              </w:rPr>
              <w:t>555</w:t>
            </w:r>
          </w:p>
        </w:tc>
        <w:tc>
          <w:tcPr>
            <w:tcW w:w="1563" w:type="dxa"/>
          </w:tcPr>
          <w:p w14:paraId="71EE58B6"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79%</w:t>
            </w:r>
          </w:p>
        </w:tc>
        <w:tc>
          <w:tcPr>
            <w:tcW w:w="1759" w:type="dxa"/>
          </w:tcPr>
          <w:p w14:paraId="5FCE321B"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116,965</w:t>
            </w:r>
          </w:p>
        </w:tc>
        <w:tc>
          <w:tcPr>
            <w:tcW w:w="1720" w:type="dxa"/>
          </w:tcPr>
          <w:p w14:paraId="0465168C"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32%</w:t>
            </w:r>
          </w:p>
        </w:tc>
      </w:tr>
      <w:tr w:rsidR="00DC3841" w14:paraId="48B0D506"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71E37226"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Total</w:t>
            </w:r>
          </w:p>
        </w:tc>
        <w:tc>
          <w:tcPr>
            <w:tcW w:w="1798" w:type="dxa"/>
          </w:tcPr>
          <w:p w14:paraId="3D9F0C7F"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749</w:t>
            </w:r>
            <w:r>
              <w:rPr>
                <w:rFonts w:asciiTheme="minorHAnsi" w:hAnsiTheme="minorHAnsi"/>
              </w:rPr>
              <w:t>,</w:t>
            </w:r>
            <w:r w:rsidRPr="00556E6A">
              <w:rPr>
                <w:rFonts w:asciiTheme="minorHAnsi" w:hAnsiTheme="minorHAnsi"/>
              </w:rPr>
              <w:t>737</w:t>
            </w:r>
          </w:p>
        </w:tc>
        <w:tc>
          <w:tcPr>
            <w:tcW w:w="1563" w:type="dxa"/>
          </w:tcPr>
          <w:p w14:paraId="19AF452C"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100%</w:t>
            </w:r>
          </w:p>
        </w:tc>
        <w:tc>
          <w:tcPr>
            <w:tcW w:w="1759" w:type="dxa"/>
          </w:tcPr>
          <w:p w14:paraId="73FD6513"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360,703</w:t>
            </w:r>
          </w:p>
        </w:tc>
        <w:tc>
          <w:tcPr>
            <w:tcW w:w="1720" w:type="dxa"/>
          </w:tcPr>
          <w:p w14:paraId="5B1B7DAA"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100%</w:t>
            </w:r>
          </w:p>
        </w:tc>
      </w:tr>
    </w:tbl>
    <w:p w14:paraId="42E92118" w14:textId="77777777" w:rsidR="00DC3841" w:rsidRDefault="00DC3841" w:rsidP="00DC3841">
      <w:pPr>
        <w:rPr>
          <w:rFonts w:asciiTheme="minorHAnsi" w:hAnsiTheme="minorHAnsi"/>
          <w:i/>
          <w:sz w:val="18"/>
        </w:rPr>
      </w:pPr>
      <w:r>
        <w:rPr>
          <w:rFonts w:asciiTheme="minorHAnsi" w:hAnsiTheme="minorHAnsi"/>
          <w:i/>
          <w:sz w:val="18"/>
        </w:rPr>
        <w:t>Source: 2009-2013 ACS (DP04)</w:t>
      </w:r>
    </w:p>
    <w:p w14:paraId="04A76E5D" w14:textId="77777777" w:rsidR="00DC3841" w:rsidRPr="00CF655B" w:rsidRDefault="00DC3841" w:rsidP="00DC3841">
      <w:pPr>
        <w:rPr>
          <w:rFonts w:asciiTheme="minorHAnsi" w:hAnsiTheme="minorHAnsi"/>
          <w:sz w:val="18"/>
        </w:rPr>
      </w:pPr>
    </w:p>
    <w:p w14:paraId="264194B1" w14:textId="77777777" w:rsidR="00DC3841" w:rsidRDefault="00DC3841" w:rsidP="00DC3841">
      <w:pPr>
        <w:spacing w:line="240" w:lineRule="auto"/>
        <w:contextualSpacing/>
        <w:rPr>
          <w:rFonts w:asciiTheme="minorHAnsi" w:hAnsiTheme="minorHAnsi"/>
        </w:rPr>
      </w:pPr>
      <w:r>
        <w:rPr>
          <w:rFonts w:asciiTheme="minorHAnsi" w:hAnsiTheme="minorHAnsi"/>
          <w:b/>
          <w:sz w:val="24"/>
        </w:rPr>
        <w:t>Table 3 – Occupied Properties by Number of Units</w:t>
      </w:r>
    </w:p>
    <w:tbl>
      <w:tblPr>
        <w:tblStyle w:val="GridTable4-Accent1"/>
        <w:tblW w:w="5000" w:type="pct"/>
        <w:tblLook w:val="04E0" w:firstRow="1" w:lastRow="1" w:firstColumn="1" w:lastColumn="0" w:noHBand="0" w:noVBand="1"/>
      </w:tblPr>
      <w:tblGrid>
        <w:gridCol w:w="3757"/>
        <w:gridCol w:w="1440"/>
        <w:gridCol w:w="1350"/>
        <w:gridCol w:w="1530"/>
        <w:gridCol w:w="1273"/>
      </w:tblGrid>
      <w:tr w:rsidR="00DC3841" w14:paraId="3E1911E4"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vMerge w:val="restart"/>
          </w:tcPr>
          <w:p w14:paraId="3CF218E7" w14:textId="77777777" w:rsidR="00DC3841" w:rsidRDefault="00DC3841" w:rsidP="007C520D">
            <w:pPr>
              <w:keepNext/>
              <w:widowControl w:val="0"/>
              <w:spacing w:after="0" w:line="240" w:lineRule="auto"/>
              <w:contextualSpacing/>
              <w:rPr>
                <w:rFonts w:asciiTheme="minorHAnsi" w:hAnsiTheme="minorHAnsi"/>
                <w:b w:val="0"/>
              </w:rPr>
            </w:pPr>
          </w:p>
        </w:tc>
        <w:tc>
          <w:tcPr>
            <w:tcW w:w="2790" w:type="dxa"/>
            <w:gridSpan w:val="2"/>
          </w:tcPr>
          <w:p w14:paraId="2EB21E26" w14:textId="77777777" w:rsidR="00DC3841" w:rsidRPr="00556E6A"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Owners</w:t>
            </w:r>
          </w:p>
        </w:tc>
        <w:tc>
          <w:tcPr>
            <w:tcW w:w="2803" w:type="dxa"/>
            <w:gridSpan w:val="2"/>
          </w:tcPr>
          <w:p w14:paraId="023B758B" w14:textId="77777777" w:rsidR="00DC3841" w:rsidRPr="00556E6A"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Renters</w:t>
            </w:r>
          </w:p>
        </w:tc>
      </w:tr>
      <w:tr w:rsidR="00DC3841" w14:paraId="5273D139"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vMerge/>
          </w:tcPr>
          <w:p w14:paraId="62D01ABD" w14:textId="77777777" w:rsidR="00DC3841" w:rsidRDefault="00DC3841" w:rsidP="007C520D">
            <w:pPr>
              <w:keepNext/>
              <w:widowControl w:val="0"/>
              <w:spacing w:after="0" w:line="240" w:lineRule="auto"/>
              <w:rPr>
                <w:rFonts w:asciiTheme="minorHAnsi" w:hAnsiTheme="minorHAnsi"/>
                <w:b w:val="0"/>
              </w:rPr>
            </w:pPr>
          </w:p>
        </w:tc>
        <w:tc>
          <w:tcPr>
            <w:tcW w:w="1440" w:type="dxa"/>
          </w:tcPr>
          <w:p w14:paraId="649EBD5E"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Number</w:t>
            </w:r>
          </w:p>
        </w:tc>
        <w:tc>
          <w:tcPr>
            <w:tcW w:w="1350" w:type="dxa"/>
          </w:tcPr>
          <w:p w14:paraId="38D3B0E4"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w:t>
            </w:r>
          </w:p>
        </w:tc>
        <w:tc>
          <w:tcPr>
            <w:tcW w:w="1530" w:type="dxa"/>
          </w:tcPr>
          <w:p w14:paraId="2C35EA54"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Number</w:t>
            </w:r>
          </w:p>
        </w:tc>
        <w:tc>
          <w:tcPr>
            <w:tcW w:w="1273" w:type="dxa"/>
          </w:tcPr>
          <w:p w14:paraId="2B6B67A4" w14:textId="77777777" w:rsidR="00DC3841" w:rsidRPr="00556E6A"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56E6A">
              <w:rPr>
                <w:rFonts w:asciiTheme="minorHAnsi" w:hAnsiTheme="minorHAnsi"/>
              </w:rPr>
              <w:t>%</w:t>
            </w:r>
          </w:p>
        </w:tc>
      </w:tr>
      <w:tr w:rsidR="00DC3841" w14:paraId="64C90BDD" w14:textId="77777777" w:rsidTr="007C520D">
        <w:tc>
          <w:tcPr>
            <w:cnfStyle w:val="001000000000" w:firstRow="0" w:lastRow="0" w:firstColumn="1" w:lastColumn="0" w:oddVBand="0" w:evenVBand="0" w:oddHBand="0" w:evenHBand="0" w:firstRowFirstColumn="0" w:firstRowLastColumn="0" w:lastRowFirstColumn="0" w:lastRowLastColumn="0"/>
            <w:tcW w:w="3757" w:type="dxa"/>
          </w:tcPr>
          <w:p w14:paraId="402E5EF5"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1-unit, detached</w:t>
            </w:r>
          </w:p>
        </w:tc>
        <w:tc>
          <w:tcPr>
            <w:tcW w:w="1440" w:type="dxa"/>
          </w:tcPr>
          <w:p w14:paraId="4DFDC262"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684,548</w:t>
            </w:r>
          </w:p>
        </w:tc>
        <w:tc>
          <w:tcPr>
            <w:tcW w:w="1350" w:type="dxa"/>
          </w:tcPr>
          <w:p w14:paraId="1B16FA3A"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96</w:t>
            </w:r>
            <w:r w:rsidRPr="00556E6A">
              <w:rPr>
                <w:rFonts w:asciiTheme="minorHAnsi" w:hAnsiTheme="minorHAnsi"/>
              </w:rPr>
              <w:t>%</w:t>
            </w:r>
          </w:p>
        </w:tc>
        <w:tc>
          <w:tcPr>
            <w:tcW w:w="1530" w:type="dxa"/>
          </w:tcPr>
          <w:p w14:paraId="5B8A47A1"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136,149</w:t>
            </w:r>
          </w:p>
        </w:tc>
        <w:tc>
          <w:tcPr>
            <w:tcW w:w="1273" w:type="dxa"/>
          </w:tcPr>
          <w:p w14:paraId="62EACD0B"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39</w:t>
            </w:r>
            <w:r w:rsidRPr="00556E6A">
              <w:rPr>
                <w:rFonts w:asciiTheme="minorHAnsi" w:hAnsiTheme="minorHAnsi"/>
              </w:rPr>
              <w:t>%</w:t>
            </w:r>
          </w:p>
        </w:tc>
      </w:tr>
      <w:tr w:rsidR="00DC3841" w14:paraId="3B65DC6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tcPr>
          <w:p w14:paraId="0FD91A92"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1-unit, attached</w:t>
            </w:r>
          </w:p>
        </w:tc>
        <w:tc>
          <w:tcPr>
            <w:tcW w:w="1440" w:type="dxa"/>
          </w:tcPr>
          <w:p w14:paraId="16DCFB21"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21,518</w:t>
            </w:r>
          </w:p>
        </w:tc>
        <w:tc>
          <w:tcPr>
            <w:tcW w:w="1350" w:type="dxa"/>
          </w:tcPr>
          <w:p w14:paraId="369ADB49"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r w:rsidRPr="00556E6A">
              <w:rPr>
                <w:rFonts w:asciiTheme="minorHAnsi" w:hAnsiTheme="minorHAnsi"/>
              </w:rPr>
              <w:t>%</w:t>
            </w:r>
          </w:p>
        </w:tc>
        <w:tc>
          <w:tcPr>
            <w:tcW w:w="1530" w:type="dxa"/>
          </w:tcPr>
          <w:p w14:paraId="6DDB3F22"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29,985</w:t>
            </w:r>
          </w:p>
        </w:tc>
        <w:tc>
          <w:tcPr>
            <w:tcW w:w="1273" w:type="dxa"/>
          </w:tcPr>
          <w:p w14:paraId="0F11DD5C"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w:t>
            </w:r>
            <w:r w:rsidRPr="00556E6A">
              <w:rPr>
                <w:rFonts w:asciiTheme="minorHAnsi" w:hAnsiTheme="minorHAnsi"/>
              </w:rPr>
              <w:t>%</w:t>
            </w:r>
          </w:p>
        </w:tc>
      </w:tr>
      <w:tr w:rsidR="00DC3841" w14:paraId="7E5D6A0A" w14:textId="77777777" w:rsidTr="007C520D">
        <w:tc>
          <w:tcPr>
            <w:cnfStyle w:val="001000000000" w:firstRow="0" w:lastRow="0" w:firstColumn="1" w:lastColumn="0" w:oddVBand="0" w:evenVBand="0" w:oddHBand="0" w:evenHBand="0" w:firstRowFirstColumn="0" w:firstRowLastColumn="0" w:lastRowFirstColumn="0" w:lastRowLastColumn="0"/>
            <w:tcW w:w="3757" w:type="dxa"/>
          </w:tcPr>
          <w:p w14:paraId="4DC4336E"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2-4 units</w:t>
            </w:r>
          </w:p>
        </w:tc>
        <w:tc>
          <w:tcPr>
            <w:tcW w:w="1440" w:type="dxa"/>
          </w:tcPr>
          <w:p w14:paraId="7AF5D3A8"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3,976</w:t>
            </w:r>
          </w:p>
        </w:tc>
        <w:tc>
          <w:tcPr>
            <w:tcW w:w="1350" w:type="dxa"/>
          </w:tcPr>
          <w:p w14:paraId="43C5C5EC"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1%</w:t>
            </w:r>
          </w:p>
        </w:tc>
        <w:tc>
          <w:tcPr>
            <w:tcW w:w="1530" w:type="dxa"/>
          </w:tcPr>
          <w:p w14:paraId="1546CC2C"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56,836</w:t>
            </w:r>
          </w:p>
        </w:tc>
        <w:tc>
          <w:tcPr>
            <w:tcW w:w="1273" w:type="dxa"/>
          </w:tcPr>
          <w:p w14:paraId="58137ADE"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16</w:t>
            </w:r>
            <w:r w:rsidRPr="00556E6A">
              <w:rPr>
                <w:rFonts w:asciiTheme="minorHAnsi" w:hAnsiTheme="minorHAnsi"/>
              </w:rPr>
              <w:t>%</w:t>
            </w:r>
          </w:p>
        </w:tc>
      </w:tr>
      <w:tr w:rsidR="00DC3841" w14:paraId="2251072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tcPr>
          <w:p w14:paraId="60BA0834"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5-20 units</w:t>
            </w:r>
          </w:p>
        </w:tc>
        <w:tc>
          <w:tcPr>
            <w:tcW w:w="1440" w:type="dxa"/>
          </w:tcPr>
          <w:p w14:paraId="5BD9956C"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1,814</w:t>
            </w:r>
          </w:p>
        </w:tc>
        <w:tc>
          <w:tcPr>
            <w:tcW w:w="1350" w:type="dxa"/>
          </w:tcPr>
          <w:p w14:paraId="4546249B"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r w:rsidRPr="00556E6A">
              <w:rPr>
                <w:rFonts w:asciiTheme="minorHAnsi" w:hAnsiTheme="minorHAnsi"/>
              </w:rPr>
              <w:t>%</w:t>
            </w:r>
          </w:p>
        </w:tc>
        <w:tc>
          <w:tcPr>
            <w:tcW w:w="1530" w:type="dxa"/>
          </w:tcPr>
          <w:p w14:paraId="2EF71604"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77,417</w:t>
            </w:r>
          </w:p>
        </w:tc>
        <w:tc>
          <w:tcPr>
            <w:tcW w:w="1273" w:type="dxa"/>
          </w:tcPr>
          <w:p w14:paraId="58146AC6"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r w:rsidRPr="00556E6A">
              <w:rPr>
                <w:rFonts w:asciiTheme="minorHAnsi" w:hAnsiTheme="minorHAnsi"/>
              </w:rPr>
              <w:t>2%</w:t>
            </w:r>
          </w:p>
        </w:tc>
      </w:tr>
      <w:tr w:rsidR="00DC3841" w14:paraId="08BFD940" w14:textId="77777777" w:rsidTr="007C520D">
        <w:tc>
          <w:tcPr>
            <w:cnfStyle w:val="001000000000" w:firstRow="0" w:lastRow="0" w:firstColumn="1" w:lastColumn="0" w:oddVBand="0" w:evenVBand="0" w:oddHBand="0" w:evenHBand="0" w:firstRowFirstColumn="0" w:firstRowLastColumn="0" w:lastRowFirstColumn="0" w:lastRowLastColumn="0"/>
            <w:tcW w:w="3757" w:type="dxa"/>
          </w:tcPr>
          <w:p w14:paraId="198CE347"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More than 20 units</w:t>
            </w:r>
          </w:p>
        </w:tc>
        <w:tc>
          <w:tcPr>
            <w:tcW w:w="1440" w:type="dxa"/>
          </w:tcPr>
          <w:p w14:paraId="4CF7C86D"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1,041</w:t>
            </w:r>
          </w:p>
        </w:tc>
        <w:tc>
          <w:tcPr>
            <w:tcW w:w="1350" w:type="dxa"/>
          </w:tcPr>
          <w:p w14:paraId="58D0C8D3"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56E6A">
              <w:rPr>
                <w:rFonts w:asciiTheme="minorHAnsi" w:hAnsiTheme="minorHAnsi"/>
              </w:rPr>
              <w:t>0%</w:t>
            </w:r>
          </w:p>
        </w:tc>
        <w:tc>
          <w:tcPr>
            <w:tcW w:w="1530" w:type="dxa"/>
          </w:tcPr>
          <w:p w14:paraId="5CB52E94"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47,048</w:t>
            </w:r>
          </w:p>
        </w:tc>
        <w:tc>
          <w:tcPr>
            <w:tcW w:w="1273" w:type="dxa"/>
          </w:tcPr>
          <w:p w14:paraId="2DC8BB22" w14:textId="77777777" w:rsidR="00DC3841" w:rsidRPr="00556E6A"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14</w:t>
            </w:r>
            <w:r w:rsidRPr="00556E6A">
              <w:rPr>
                <w:rFonts w:asciiTheme="minorHAnsi" w:hAnsiTheme="minorHAnsi"/>
              </w:rPr>
              <w:t>%</w:t>
            </w:r>
          </w:p>
        </w:tc>
      </w:tr>
      <w:tr w:rsidR="00DC3841" w14:paraId="01682588"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tcPr>
          <w:p w14:paraId="42FE342E" w14:textId="77777777" w:rsidR="00DC3841" w:rsidRPr="005C0600" w:rsidRDefault="00DC3841" w:rsidP="007C520D">
            <w:pPr>
              <w:keepNext/>
              <w:widowControl w:val="0"/>
              <w:spacing w:after="0" w:line="240" w:lineRule="auto"/>
              <w:rPr>
                <w:rFonts w:asciiTheme="minorHAnsi" w:hAnsiTheme="minorHAnsi"/>
                <w:b w:val="0"/>
              </w:rPr>
            </w:pPr>
            <w:r w:rsidRPr="005C0600">
              <w:rPr>
                <w:rFonts w:asciiTheme="minorHAnsi" w:hAnsiTheme="minorHAnsi"/>
                <w:b w:val="0"/>
              </w:rPr>
              <w:t>Mobile Home, Boat, RV, Van, etc</w:t>
            </w:r>
          </w:p>
        </w:tc>
        <w:tc>
          <w:tcPr>
            <w:tcW w:w="1440" w:type="dxa"/>
          </w:tcPr>
          <w:p w14:paraId="2D24B0F0"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351</w:t>
            </w:r>
          </w:p>
        </w:tc>
        <w:tc>
          <w:tcPr>
            <w:tcW w:w="1350" w:type="dxa"/>
          </w:tcPr>
          <w:p w14:paraId="73A4B410"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530" w:type="dxa"/>
          </w:tcPr>
          <w:p w14:paraId="109CB197"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122</w:t>
            </w:r>
          </w:p>
        </w:tc>
        <w:tc>
          <w:tcPr>
            <w:tcW w:w="1273" w:type="dxa"/>
          </w:tcPr>
          <w:p w14:paraId="6655B75C" w14:textId="77777777" w:rsidR="00DC3841" w:rsidRPr="00556E6A"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r>
      <w:tr w:rsidR="00DC3841" w14:paraId="06EBF1BC"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7" w:type="dxa"/>
          </w:tcPr>
          <w:p w14:paraId="13749578"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Total</w:t>
            </w:r>
          </w:p>
        </w:tc>
        <w:tc>
          <w:tcPr>
            <w:tcW w:w="1440" w:type="dxa"/>
          </w:tcPr>
          <w:p w14:paraId="7A96E5DF"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713,248</w:t>
            </w:r>
          </w:p>
        </w:tc>
        <w:tc>
          <w:tcPr>
            <w:tcW w:w="1350" w:type="dxa"/>
          </w:tcPr>
          <w:p w14:paraId="09FD9A15"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100%</w:t>
            </w:r>
          </w:p>
        </w:tc>
        <w:tc>
          <w:tcPr>
            <w:tcW w:w="1530" w:type="dxa"/>
          </w:tcPr>
          <w:p w14:paraId="610CCF73"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347,557</w:t>
            </w:r>
          </w:p>
        </w:tc>
        <w:tc>
          <w:tcPr>
            <w:tcW w:w="1273" w:type="dxa"/>
          </w:tcPr>
          <w:p w14:paraId="437F54FB" w14:textId="77777777" w:rsidR="00DC3841" w:rsidRPr="00556E6A" w:rsidRDefault="00DC3841" w:rsidP="007C520D">
            <w:pPr>
              <w:keepNext/>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100%</w:t>
            </w:r>
          </w:p>
        </w:tc>
      </w:tr>
    </w:tbl>
    <w:p w14:paraId="24A576E4" w14:textId="77777777" w:rsidR="00DC3841" w:rsidRPr="00704AE0" w:rsidRDefault="00DC3841" w:rsidP="00DC3841">
      <w:pPr>
        <w:rPr>
          <w:i/>
          <w:sz w:val="18"/>
          <w:szCs w:val="24"/>
        </w:rPr>
      </w:pPr>
      <w:r>
        <w:rPr>
          <w:i/>
          <w:sz w:val="18"/>
          <w:szCs w:val="24"/>
        </w:rPr>
        <w:t>Source: 2009-2013 ACS (B25032)</w:t>
      </w:r>
    </w:p>
    <w:p w14:paraId="7ACEC824" w14:textId="77777777" w:rsidR="00DC3841" w:rsidRDefault="00DC3841" w:rsidP="00DC3841">
      <w:pPr>
        <w:rPr>
          <w:b/>
          <w:sz w:val="24"/>
          <w:szCs w:val="24"/>
        </w:rPr>
      </w:pPr>
      <w:r>
        <w:rPr>
          <w:b/>
          <w:sz w:val="24"/>
          <w:szCs w:val="24"/>
        </w:rPr>
        <w:t>Describe the number and targeting (income level/type of family served) of units assisted with federal, state, and local programs.</w:t>
      </w:r>
    </w:p>
    <w:p w14:paraId="69E0F992" w14:textId="6EBD0A36" w:rsidR="00DC3841" w:rsidRPr="00704AE0" w:rsidRDefault="00DC3841" w:rsidP="00DC3841">
      <w:pPr>
        <w:rPr>
          <w:sz w:val="24"/>
          <w:szCs w:val="24"/>
        </w:rPr>
      </w:pPr>
      <w:r>
        <w:rPr>
          <w:sz w:val="24"/>
          <w:szCs w:val="24"/>
        </w:rPr>
        <w:t xml:space="preserve">The State of Kansas awards non-entitlement communities with grants on a competitive basis. Kansas offers a number of housing programs, with the majority of the funding coming from its HOME allocations. Kansas non-entitlement allocations for 2018 were increased by 47% compared to 2017 allocations. A full list of programs operated by the Kansas Housing Resources Corporation (KHRC), is available on their website: </w:t>
      </w:r>
      <w:hyperlink r:id="rId22" w:history="1">
        <w:r w:rsidRPr="009034E9">
          <w:rPr>
            <w:rStyle w:val="Hyperlink"/>
            <w:sz w:val="24"/>
            <w:szCs w:val="24"/>
          </w:rPr>
          <w:t>www.kshousingcorp.org</w:t>
        </w:r>
      </w:hyperlink>
      <w:r>
        <w:rPr>
          <w:sz w:val="24"/>
          <w:szCs w:val="24"/>
        </w:rPr>
        <w:t xml:space="preserve">. </w:t>
      </w:r>
    </w:p>
    <w:p w14:paraId="76D356D6" w14:textId="4C103EB6" w:rsidR="00DC3841" w:rsidRDefault="00DC3841" w:rsidP="00DC3841">
      <w:pPr>
        <w:rPr>
          <w:sz w:val="24"/>
          <w:szCs w:val="24"/>
        </w:rPr>
      </w:pPr>
      <w:r>
        <w:rPr>
          <w:sz w:val="24"/>
          <w:szCs w:val="24"/>
        </w:rPr>
        <w:t xml:space="preserve">Within the HOME program, the </w:t>
      </w:r>
      <w:r>
        <w:rPr>
          <w:i/>
          <w:sz w:val="24"/>
          <w:szCs w:val="24"/>
        </w:rPr>
        <w:t>First Time Homebuyer</w:t>
      </w:r>
      <w:r>
        <w:rPr>
          <w:sz w:val="24"/>
          <w:szCs w:val="24"/>
        </w:rPr>
        <w:t xml:space="preserve"> </w:t>
      </w:r>
      <w:r w:rsidRPr="007130F6">
        <w:rPr>
          <w:i/>
          <w:sz w:val="24"/>
          <w:szCs w:val="24"/>
        </w:rPr>
        <w:t>Program</w:t>
      </w:r>
      <w:r>
        <w:rPr>
          <w:sz w:val="24"/>
          <w:szCs w:val="24"/>
        </w:rPr>
        <w:t xml:space="preserve"> provides income-eligible households that have not owned a home in the past three years with a forgivable loan put towards a down payment or closing costs. The program is targeted towards families at or below 80% of median household income. The program is anticipated to assist </w:t>
      </w:r>
      <w:r w:rsidRPr="00CB12C9">
        <w:rPr>
          <w:sz w:val="24"/>
          <w:szCs w:val="24"/>
        </w:rPr>
        <w:t>75 units in FY 2019</w:t>
      </w:r>
      <w:r>
        <w:rPr>
          <w:sz w:val="24"/>
          <w:szCs w:val="24"/>
        </w:rPr>
        <w:t xml:space="preserve">. </w:t>
      </w:r>
      <w:r>
        <w:rPr>
          <w:i/>
          <w:sz w:val="24"/>
          <w:szCs w:val="24"/>
        </w:rPr>
        <w:t xml:space="preserve">The HOME Rental Development Program </w:t>
      </w:r>
      <w:r>
        <w:rPr>
          <w:sz w:val="24"/>
          <w:szCs w:val="24"/>
        </w:rPr>
        <w:t>focuses on the acquisition and rehabilitation of existing rental housing, and the construction of new rental units. At least 90% of rental units must be occupied by households at 60% of Area Median Income (AMI). The program anticipates 4</w:t>
      </w:r>
      <w:r>
        <w:rPr>
          <w:sz w:val="24"/>
          <w:szCs w:val="24"/>
          <w:highlight w:val="yellow"/>
        </w:rPr>
        <w:t xml:space="preserve"> </w:t>
      </w:r>
      <w:r w:rsidRPr="00CB12C9">
        <w:rPr>
          <w:sz w:val="24"/>
          <w:szCs w:val="24"/>
        </w:rPr>
        <w:t>rehabbed units and 31 newly constructed rental units in FY2019</w:t>
      </w:r>
      <w:r>
        <w:rPr>
          <w:sz w:val="24"/>
          <w:szCs w:val="24"/>
        </w:rPr>
        <w:t xml:space="preserve">. The </w:t>
      </w:r>
      <w:r>
        <w:rPr>
          <w:i/>
          <w:sz w:val="24"/>
          <w:szCs w:val="24"/>
        </w:rPr>
        <w:t>Tenant Based Rental Assistance (TBRA) Program</w:t>
      </w:r>
      <w:r>
        <w:rPr>
          <w:sz w:val="24"/>
          <w:szCs w:val="24"/>
        </w:rPr>
        <w:t xml:space="preserve"> funded by HOME dollars assists families at 60% or below AMI. Additionally, it focuses on income eligible families, elderly, and persons with disabilities. The program is anticipated to </w:t>
      </w:r>
      <w:r w:rsidRPr="00CB12C9">
        <w:rPr>
          <w:sz w:val="24"/>
          <w:szCs w:val="24"/>
        </w:rPr>
        <w:t xml:space="preserve">assist </w:t>
      </w:r>
      <w:r w:rsidR="00772361">
        <w:rPr>
          <w:sz w:val="24"/>
          <w:szCs w:val="24"/>
        </w:rPr>
        <w:t>750</w:t>
      </w:r>
      <w:r w:rsidRPr="00CB12C9">
        <w:rPr>
          <w:sz w:val="24"/>
          <w:szCs w:val="24"/>
        </w:rPr>
        <w:t xml:space="preserve"> units. No HOME homeowner rehabilitation program will be undertaken in 2019-2023, unless funding is restored to a level feasible to fund the activity.</w:t>
      </w:r>
    </w:p>
    <w:p w14:paraId="24B7592A" w14:textId="77777777" w:rsidR="00DC3841" w:rsidRDefault="00DC3841" w:rsidP="00DC3841">
      <w:pPr>
        <w:rPr>
          <w:sz w:val="24"/>
          <w:szCs w:val="24"/>
        </w:rPr>
      </w:pPr>
      <w:r>
        <w:rPr>
          <w:sz w:val="24"/>
          <w:szCs w:val="24"/>
        </w:rPr>
        <w:t xml:space="preserve">CDBG funds two housing programs. The first, the </w:t>
      </w:r>
      <w:r>
        <w:rPr>
          <w:i/>
          <w:sz w:val="24"/>
          <w:szCs w:val="24"/>
        </w:rPr>
        <w:t>Housing Rehab Grant Program,</w:t>
      </w:r>
      <w:r>
        <w:rPr>
          <w:sz w:val="24"/>
          <w:szCs w:val="24"/>
        </w:rPr>
        <w:t xml:space="preserve"> includes both owner-occupied and rental units. Each project must construct a minimum of four units and meet either Low-Moderate or Slum and Blight National Objectives. CDBG housing programs anticipate rehabbing </w:t>
      </w:r>
      <w:r w:rsidRPr="00CB12C9">
        <w:rPr>
          <w:sz w:val="24"/>
          <w:szCs w:val="24"/>
        </w:rPr>
        <w:t>8</w:t>
      </w:r>
      <w:r>
        <w:rPr>
          <w:sz w:val="24"/>
          <w:szCs w:val="24"/>
        </w:rPr>
        <w:t xml:space="preserve"> rental properties, assisting 17 owner-occupied units, and demolishing 14 substandard units. </w:t>
      </w:r>
    </w:p>
    <w:p w14:paraId="28E458D5" w14:textId="77777777" w:rsidR="00DC3841" w:rsidRPr="001F18C7" w:rsidRDefault="00DC3841" w:rsidP="00DC3841">
      <w:pPr>
        <w:rPr>
          <w:sz w:val="24"/>
          <w:szCs w:val="24"/>
        </w:rPr>
      </w:pPr>
      <w:r>
        <w:rPr>
          <w:sz w:val="24"/>
          <w:szCs w:val="24"/>
        </w:rPr>
        <w:t xml:space="preserve">The Emergency Solutions Grant has a </w:t>
      </w:r>
      <w:r>
        <w:rPr>
          <w:i/>
          <w:sz w:val="24"/>
          <w:szCs w:val="24"/>
        </w:rPr>
        <w:t>Rapid Rehousing Program</w:t>
      </w:r>
      <w:r>
        <w:rPr>
          <w:sz w:val="24"/>
          <w:szCs w:val="24"/>
        </w:rPr>
        <w:t xml:space="preserve"> which targets families at or below 30% of AMI. The program focuses on individuals and families in the following homeless categories: chronically homeless, youth, veterans, domestic violence victims, substance abuse, and mental health. The program anticipates assisting </w:t>
      </w:r>
      <w:r w:rsidRPr="00A50FA9">
        <w:rPr>
          <w:sz w:val="24"/>
          <w:szCs w:val="24"/>
        </w:rPr>
        <w:t>3,375 individuals through rental assistance and 1,000 individuals with homeless prevention.</w:t>
      </w:r>
      <w:r>
        <w:rPr>
          <w:sz w:val="24"/>
          <w:szCs w:val="24"/>
        </w:rPr>
        <w:t xml:space="preserve"> The State also allocates HOPWA funds through a Tenant Based Rental Assistance (TBRA) program and the Short-Term Rental, Mortgage, and Utility (STRMU) Assistance program. The TBRA anticipates assisting </w:t>
      </w:r>
      <w:r w:rsidRPr="00A50FA9">
        <w:rPr>
          <w:sz w:val="24"/>
          <w:szCs w:val="24"/>
        </w:rPr>
        <w:t>250 individuals and the STRMU program anticipates preventing 150</w:t>
      </w:r>
      <w:r>
        <w:rPr>
          <w:sz w:val="24"/>
          <w:szCs w:val="24"/>
        </w:rPr>
        <w:t xml:space="preserve"> individuals from entering homelessness.</w:t>
      </w:r>
    </w:p>
    <w:p w14:paraId="5B309C2C" w14:textId="77777777" w:rsidR="00DC3841" w:rsidRDefault="00DC3841" w:rsidP="00DC3841">
      <w:pPr>
        <w:rPr>
          <w:rFonts w:asciiTheme="minorHAnsi" w:hAnsiTheme="minorHAnsi"/>
          <w:b/>
          <w:sz w:val="24"/>
        </w:rPr>
      </w:pPr>
      <w:r>
        <w:rPr>
          <w:rFonts w:asciiTheme="minorHAnsi" w:hAnsiTheme="minorHAnsi"/>
          <w:b/>
          <w:sz w:val="24"/>
        </w:rPr>
        <w:t>Provide an assessment of units expected to be lost from the affordable housing inventory for any reason, such as expiration of Section 8 contracts.</w:t>
      </w:r>
    </w:p>
    <w:p w14:paraId="72E4380C" w14:textId="77777777" w:rsidR="00DC3841" w:rsidRDefault="00DC3841" w:rsidP="00DC3841">
      <w:pPr>
        <w:rPr>
          <w:rFonts w:asciiTheme="minorHAnsi" w:hAnsiTheme="minorHAnsi"/>
          <w:b/>
          <w:sz w:val="24"/>
        </w:rPr>
      </w:pPr>
      <w:r w:rsidRPr="00417A90">
        <w:rPr>
          <w:sz w:val="24"/>
          <w:szCs w:val="24"/>
        </w:rPr>
        <w:t xml:space="preserve">It is difficult to </w:t>
      </w:r>
      <w:r>
        <w:rPr>
          <w:sz w:val="24"/>
          <w:szCs w:val="24"/>
        </w:rPr>
        <w:t>estimate</w:t>
      </w:r>
      <w:r w:rsidRPr="00417A90">
        <w:rPr>
          <w:sz w:val="24"/>
          <w:szCs w:val="24"/>
        </w:rPr>
        <w:t xml:space="preserve"> the number of affordable units expected to be lost in the next five years </w:t>
      </w:r>
      <w:r>
        <w:rPr>
          <w:sz w:val="24"/>
          <w:szCs w:val="24"/>
        </w:rPr>
        <w:t>because</w:t>
      </w:r>
      <w:r w:rsidRPr="00417A90">
        <w:rPr>
          <w:sz w:val="24"/>
          <w:szCs w:val="24"/>
        </w:rPr>
        <w:t xml:space="preserve"> there is no state-wide Public Housing Authority that administers Section 8 Contracts. The State will continue to monitor affordable housing over the next five years to assess if any units will be lost.</w:t>
      </w:r>
      <w:r w:rsidRPr="00963657">
        <w:rPr>
          <w:rFonts w:ascii="Arial" w:hAnsi="Arial" w:cs="Arial"/>
          <w:color w:val="222222"/>
          <w:sz w:val="20"/>
          <w:szCs w:val="20"/>
          <w:shd w:val="clear" w:color="auto" w:fill="FFFFFF"/>
        </w:rPr>
        <w:t xml:space="preserve"> </w:t>
      </w:r>
      <w:r w:rsidRPr="00963657">
        <w:rPr>
          <w:rFonts w:asciiTheme="minorHAnsi" w:hAnsiTheme="minorHAnsi" w:cs="Arial"/>
          <w:color w:val="222222"/>
          <w:sz w:val="24"/>
          <w:szCs w:val="24"/>
          <w:shd w:val="clear" w:color="auto" w:fill="FFFFFF"/>
        </w:rPr>
        <w:t xml:space="preserve">According to the National Housing </w:t>
      </w:r>
      <w:r>
        <w:rPr>
          <w:rFonts w:asciiTheme="minorHAnsi" w:hAnsiTheme="minorHAnsi" w:cs="Arial"/>
          <w:color w:val="222222"/>
          <w:sz w:val="24"/>
          <w:szCs w:val="24"/>
          <w:shd w:val="clear" w:color="auto" w:fill="FFFFFF"/>
        </w:rPr>
        <w:t>Preservation Database (NHPD)</w:t>
      </w:r>
      <w:r w:rsidRPr="00963657">
        <w:rPr>
          <w:rFonts w:asciiTheme="minorHAnsi" w:hAnsiTheme="minorHAnsi" w:cs="Arial"/>
          <w:color w:val="222222"/>
          <w:sz w:val="24"/>
          <w:szCs w:val="24"/>
          <w:shd w:val="clear" w:color="auto" w:fill="FFFFFF"/>
        </w:rPr>
        <w:t xml:space="preserve">, there are </w:t>
      </w:r>
      <w:r>
        <w:rPr>
          <w:rFonts w:asciiTheme="minorHAnsi" w:hAnsiTheme="minorHAnsi" w:cs="Arial"/>
          <w:color w:val="222222"/>
          <w:sz w:val="24"/>
          <w:szCs w:val="24"/>
          <w:shd w:val="clear" w:color="auto" w:fill="FFFFFF"/>
        </w:rPr>
        <w:t xml:space="preserve">5,368 publicly supported rental homes at risk of loss throughout Kansas over the next five years. Of those 5,368 units, 45% (2,431) are Section 8 contracts, 44% (2,377) are Low-Income Housing Tax Credits (LIHTC), and the remaining are multiple sources, Other HUD, or United States Department of Agriculture (USDA). </w:t>
      </w:r>
    </w:p>
    <w:p w14:paraId="38470C10" w14:textId="77777777" w:rsidR="00DC3841" w:rsidRDefault="00DC3841" w:rsidP="00DC3841">
      <w:pPr>
        <w:rPr>
          <w:rFonts w:asciiTheme="minorHAnsi" w:hAnsiTheme="minorHAnsi"/>
          <w:b/>
          <w:sz w:val="24"/>
        </w:rPr>
      </w:pPr>
      <w:r>
        <w:rPr>
          <w:rFonts w:asciiTheme="minorHAnsi" w:hAnsiTheme="minorHAnsi"/>
          <w:b/>
          <w:sz w:val="24"/>
        </w:rPr>
        <w:t>Does the availability of housing units meet the needs of the population?</w:t>
      </w:r>
    </w:p>
    <w:p w14:paraId="18A68447" w14:textId="77777777" w:rsidR="00DC3841" w:rsidRPr="007F58E8" w:rsidRDefault="00DC3841" w:rsidP="00DC3841">
      <w:pPr>
        <w:pStyle w:val="Body"/>
        <w:rPr>
          <w:sz w:val="24"/>
          <w:szCs w:val="24"/>
        </w:rPr>
      </w:pPr>
      <w:r w:rsidRPr="003314A2">
        <w:rPr>
          <w:sz w:val="24"/>
          <w:szCs w:val="24"/>
        </w:rPr>
        <w:t>Kansas is currently experiencing a significant shortage of affordable and available rental units</w:t>
      </w:r>
      <w:r>
        <w:rPr>
          <w:sz w:val="24"/>
          <w:szCs w:val="24"/>
        </w:rPr>
        <w:t xml:space="preserve"> for many types of households, especially those households earning less than 50% of the Area Median Income (AMI).  According to the National Low </w:t>
      </w:r>
      <w:r w:rsidRPr="003314A2">
        <w:rPr>
          <w:sz w:val="24"/>
          <w:szCs w:val="24"/>
        </w:rPr>
        <w:t xml:space="preserve">Income Housing Coalition, </w:t>
      </w:r>
      <w:r>
        <w:rPr>
          <w:sz w:val="24"/>
          <w:szCs w:val="24"/>
        </w:rPr>
        <w:t xml:space="preserve">in 2016 </w:t>
      </w:r>
      <w:r w:rsidRPr="003314A2">
        <w:rPr>
          <w:sz w:val="24"/>
          <w:szCs w:val="24"/>
        </w:rPr>
        <w:t xml:space="preserve">there </w:t>
      </w:r>
      <w:r>
        <w:rPr>
          <w:sz w:val="24"/>
          <w:szCs w:val="24"/>
        </w:rPr>
        <w:t>were 95,864 renter households earning 30% of the AMI or less, which comprise 8.5</w:t>
      </w:r>
      <w:r w:rsidRPr="003314A2">
        <w:rPr>
          <w:sz w:val="24"/>
          <w:szCs w:val="24"/>
        </w:rPr>
        <w:t xml:space="preserve">% of all households. </w:t>
      </w:r>
    </w:p>
    <w:p w14:paraId="472D4FB0" w14:textId="77777777" w:rsidR="00DC3841" w:rsidRDefault="00DC3841" w:rsidP="00DC3841">
      <w:pPr>
        <w:rPr>
          <w:sz w:val="24"/>
          <w:szCs w:val="24"/>
        </w:rPr>
      </w:pPr>
      <w:r w:rsidRPr="003314A2">
        <w:rPr>
          <w:sz w:val="24"/>
          <w:szCs w:val="24"/>
        </w:rPr>
        <w:t xml:space="preserve">Statewide, </w:t>
      </w:r>
      <w:r>
        <w:rPr>
          <w:sz w:val="24"/>
          <w:szCs w:val="24"/>
        </w:rPr>
        <w:t>there is a</w:t>
      </w:r>
      <w:r w:rsidRPr="003314A2">
        <w:rPr>
          <w:sz w:val="24"/>
          <w:szCs w:val="24"/>
        </w:rPr>
        <w:t xml:space="preserve"> </w:t>
      </w:r>
      <w:r>
        <w:rPr>
          <w:sz w:val="24"/>
          <w:szCs w:val="24"/>
        </w:rPr>
        <w:t>deficiency of approximately 52,878</w:t>
      </w:r>
      <w:r w:rsidRPr="003314A2">
        <w:rPr>
          <w:sz w:val="24"/>
          <w:szCs w:val="24"/>
        </w:rPr>
        <w:t xml:space="preserve"> affordable and available units for households </w:t>
      </w:r>
      <w:r>
        <w:rPr>
          <w:sz w:val="24"/>
          <w:szCs w:val="24"/>
        </w:rPr>
        <w:t xml:space="preserve">earning 30% or less of the AMI. Broadening the scope, the National Low Income Housing Coalition estimates there is a deficit of 29,484 available rental units that are affordable for households earning 50% of the AMI or less. </w:t>
      </w:r>
    </w:p>
    <w:p w14:paraId="3057001C" w14:textId="77777777" w:rsidR="00DC3841" w:rsidRDefault="00DC3841" w:rsidP="00DC3841">
      <w:pPr>
        <w:rPr>
          <w:rFonts w:asciiTheme="minorHAnsi" w:hAnsiTheme="minorHAnsi"/>
          <w:b/>
          <w:sz w:val="24"/>
        </w:rPr>
      </w:pPr>
      <w:r>
        <w:rPr>
          <w:rFonts w:asciiTheme="minorHAnsi" w:hAnsiTheme="minorHAnsi"/>
          <w:b/>
          <w:sz w:val="24"/>
        </w:rPr>
        <w:t>Describe the need for specific types of housing:</w:t>
      </w:r>
    </w:p>
    <w:p w14:paraId="14ABFE9A" w14:textId="3C5B4C75" w:rsidR="00DC3841" w:rsidRDefault="00DC3841" w:rsidP="00DC3841">
      <w:pPr>
        <w:rPr>
          <w:rFonts w:asciiTheme="minorHAnsi" w:hAnsiTheme="minorHAnsi"/>
          <w:sz w:val="24"/>
        </w:rPr>
      </w:pPr>
      <w:r>
        <w:rPr>
          <w:rFonts w:asciiTheme="minorHAnsi" w:hAnsiTheme="minorHAnsi"/>
          <w:sz w:val="24"/>
        </w:rPr>
        <w:t xml:space="preserve">According to a </w:t>
      </w:r>
      <w:hyperlink r:id="rId23" w:history="1">
        <w:r w:rsidRPr="00BC0933">
          <w:rPr>
            <w:rStyle w:val="Hyperlink"/>
            <w:rFonts w:asciiTheme="minorHAnsi" w:hAnsiTheme="minorHAnsi"/>
            <w:sz w:val="24"/>
          </w:rPr>
          <w:t>Wichita State University study</w:t>
        </w:r>
      </w:hyperlink>
      <w:r>
        <w:rPr>
          <w:rFonts w:asciiTheme="minorHAnsi" w:hAnsiTheme="minorHAnsi"/>
          <w:sz w:val="24"/>
        </w:rPr>
        <w:t xml:space="preserve">, despite much of the land in Kansas being classified as rural, nearly 70% of Kansans live in metropolitan areas. The need for specific types of housing varies by region in Kansas, much of this variation is attributed to the differing needs between rural and urban areas. Rural households are more likely to own their home and rural counties are more comprised of single unit structures. Urban households are more likely to rent compared to rural households in Kansas. Urban counties also account for most multi-unit structures. </w:t>
      </w:r>
    </w:p>
    <w:p w14:paraId="255317EA" w14:textId="77777777" w:rsidR="00DC3841" w:rsidRDefault="00DC3841" w:rsidP="00DC3841">
      <w:pPr>
        <w:rPr>
          <w:rFonts w:asciiTheme="minorHAnsi" w:hAnsiTheme="minorHAnsi"/>
          <w:sz w:val="24"/>
        </w:rPr>
      </w:pPr>
      <w:r>
        <w:rPr>
          <w:rFonts w:asciiTheme="minorHAnsi" w:hAnsiTheme="minorHAnsi"/>
          <w:sz w:val="24"/>
        </w:rPr>
        <w:t>The differences between urban and rural areas dictate a need for two different kinds of housing. Metropolitan counties expecting further growth due to labor demand will need greater investment in multi-family housing units, while rural counties will need a greater focus on investing in single-family units.</w:t>
      </w:r>
    </w:p>
    <w:p w14:paraId="7FC927CC" w14:textId="77777777" w:rsidR="00DC3841" w:rsidRDefault="00DC3841" w:rsidP="00DC3841">
      <w:pPr>
        <w:rPr>
          <w:rFonts w:asciiTheme="minorHAnsi" w:hAnsiTheme="minorHAnsi"/>
          <w:sz w:val="24"/>
        </w:rPr>
      </w:pPr>
      <w:r>
        <w:rPr>
          <w:rFonts w:asciiTheme="minorHAnsi" w:hAnsiTheme="minorHAnsi"/>
          <w:sz w:val="24"/>
        </w:rPr>
        <w:t xml:space="preserve">HUD building permit data indicates a steady upward trend in the total number of building permits utilized within the state, however still not having reached pre-recession levels. Issuing 6,256 in 2012, with 66% of those permits being used for units in single family structures. In 2016, there were 9,802 building permits issued, 53% for single family structures, and 41% for 5+ unit multi-family structures. </w:t>
      </w:r>
    </w:p>
    <w:p w14:paraId="6308BB5D" w14:textId="77777777" w:rsidR="00DC3841" w:rsidRDefault="00DC3841" w:rsidP="00DC3841">
      <w:pPr>
        <w:rPr>
          <w:rFonts w:asciiTheme="minorHAnsi" w:hAnsiTheme="minorHAnsi"/>
          <w:b/>
          <w:sz w:val="24"/>
        </w:rPr>
      </w:pPr>
    </w:p>
    <w:p w14:paraId="6108BB2C" w14:textId="77777777" w:rsidR="00DC3841" w:rsidRPr="009C13DC" w:rsidRDefault="00DC3841" w:rsidP="00DC3841">
      <w:pPr>
        <w:pStyle w:val="Heading2"/>
        <w:shd w:val="clear" w:color="auto" w:fill="95B3D7" w:themeFill="accent1" w:themeFillTint="99"/>
        <w:rPr>
          <w:rFonts w:ascii="Calibri" w:hAnsi="Calibri"/>
          <w:i w:val="0"/>
        </w:rPr>
      </w:pPr>
      <w:bookmarkStart w:id="36" w:name="_Toc524603021"/>
      <w:r>
        <w:rPr>
          <w:rFonts w:ascii="Calibri" w:hAnsi="Calibri"/>
          <w:i w:val="0"/>
        </w:rPr>
        <w:t xml:space="preserve">MA-15 </w:t>
      </w:r>
      <w:r>
        <w:rPr>
          <w:rFonts w:asciiTheme="minorHAnsi" w:hAnsiTheme="minorHAnsi"/>
          <w:i w:val="0"/>
        </w:rPr>
        <w:t>Cost of Housing – 91.310(a)</w:t>
      </w:r>
      <w:bookmarkEnd w:id="36"/>
    </w:p>
    <w:p w14:paraId="27015F67" w14:textId="77777777" w:rsidR="00DC3841" w:rsidRDefault="00DC3841" w:rsidP="00DC3841">
      <w:pPr>
        <w:pStyle w:val="Caption"/>
        <w:rPr>
          <w:rFonts w:asciiTheme="minorHAnsi" w:hAnsiTheme="minorHAnsi"/>
          <w:sz w:val="24"/>
        </w:rPr>
      </w:pPr>
    </w:p>
    <w:p w14:paraId="7AB5B2C7" w14:textId="77777777" w:rsidR="00DC3841" w:rsidRPr="00CD0576" w:rsidRDefault="00DC3841" w:rsidP="00DC3841">
      <w:pPr>
        <w:rPr>
          <w:rFonts w:asciiTheme="minorHAnsi" w:hAnsiTheme="minorHAnsi" w:cstheme="minorHAnsi"/>
          <w:sz w:val="24"/>
        </w:rPr>
      </w:pPr>
      <w:r w:rsidRPr="00CD0576">
        <w:rPr>
          <w:rFonts w:asciiTheme="minorHAnsi" w:hAnsiTheme="minorHAnsi" w:cstheme="minorHAnsi"/>
          <w:sz w:val="24"/>
        </w:rPr>
        <w:t xml:space="preserve">The table below outlines the change in the median home value and the median contract rental rate throughout Kansas. Differences exist between regions; however, the tables below reflect the data aggregated for the state. From the table below, </w:t>
      </w:r>
      <w:r w:rsidRPr="00CD0576">
        <w:rPr>
          <w:rFonts w:asciiTheme="minorHAnsi" w:hAnsiTheme="minorHAnsi" w:cstheme="minorHAnsi"/>
          <w:i/>
          <w:sz w:val="24"/>
        </w:rPr>
        <w:t xml:space="preserve">Cost of Housing, </w:t>
      </w:r>
      <w:r w:rsidRPr="00CD0576">
        <w:rPr>
          <w:rFonts w:asciiTheme="minorHAnsi" w:hAnsiTheme="minorHAnsi" w:cstheme="minorHAnsi"/>
          <w:sz w:val="24"/>
        </w:rPr>
        <w:t xml:space="preserve">it is important to note that the overall rise in both home value and contract rent is met with a 6% decrease in median household income over the same period. </w:t>
      </w:r>
    </w:p>
    <w:p w14:paraId="27987D9F" w14:textId="77777777" w:rsidR="00DC3841" w:rsidRPr="00BE5F61" w:rsidRDefault="00DC3841" w:rsidP="00DC3841">
      <w:pPr>
        <w:pStyle w:val="Caption"/>
        <w:rPr>
          <w:rFonts w:asciiTheme="minorHAnsi" w:hAnsiTheme="minorHAnsi"/>
          <w:sz w:val="24"/>
        </w:rPr>
      </w:pPr>
      <w:r w:rsidRPr="00BE5F61">
        <w:rPr>
          <w:rFonts w:asciiTheme="minorHAnsi" w:hAnsiTheme="minorHAnsi"/>
          <w:sz w:val="24"/>
        </w:rPr>
        <w:t>Table 4 – Cost of Housing</w:t>
      </w:r>
    </w:p>
    <w:tbl>
      <w:tblPr>
        <w:tblStyle w:val="GridTable4-Accent1"/>
        <w:tblW w:w="5000" w:type="pct"/>
        <w:tblLayout w:type="fixed"/>
        <w:tblLook w:val="04A0" w:firstRow="1" w:lastRow="0" w:firstColumn="1" w:lastColumn="0" w:noHBand="0" w:noVBand="1"/>
      </w:tblPr>
      <w:tblGrid>
        <w:gridCol w:w="2822"/>
        <w:gridCol w:w="2176"/>
        <w:gridCol w:w="2558"/>
        <w:gridCol w:w="1794"/>
      </w:tblGrid>
      <w:tr w:rsidR="00DC3841" w14:paraId="298614EA"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20180405" w14:textId="77777777" w:rsidR="00DC3841" w:rsidRDefault="00DC3841" w:rsidP="007C520D">
            <w:pPr>
              <w:keepNext/>
              <w:widowControl w:val="0"/>
              <w:spacing w:after="0" w:line="240" w:lineRule="auto"/>
              <w:jc w:val="center"/>
              <w:rPr>
                <w:rFonts w:asciiTheme="minorHAnsi" w:hAnsiTheme="minorHAnsi" w:cs="Arial"/>
                <w:b w:val="0"/>
              </w:rPr>
            </w:pPr>
          </w:p>
        </w:tc>
        <w:tc>
          <w:tcPr>
            <w:tcW w:w="2228" w:type="dxa"/>
          </w:tcPr>
          <w:p w14:paraId="545F03B0" w14:textId="77777777" w:rsidR="00DC3841" w:rsidRDefault="00DC3841" w:rsidP="007C520D">
            <w:pPr>
              <w:spacing w:beforeAutospacing="1" w:afterAutospacing="1"/>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Pr>
                <w:rFonts w:asciiTheme="minorHAnsi" w:hAnsiTheme="minorHAnsi" w:cs="Arial"/>
                <w:b w:val="0"/>
              </w:rPr>
              <w:t>Base Year:  2000 (in 2016 dollars)</w:t>
            </w:r>
          </w:p>
        </w:tc>
        <w:tc>
          <w:tcPr>
            <w:tcW w:w="2620" w:type="dxa"/>
          </w:tcPr>
          <w:p w14:paraId="5C1D68E7" w14:textId="77777777" w:rsidR="00DC3841" w:rsidRDefault="00DC3841" w:rsidP="007C520D">
            <w:pPr>
              <w:keepNext/>
              <w:widowControl w:val="0"/>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Pr>
                <w:rFonts w:asciiTheme="minorHAnsi" w:hAnsiTheme="minorHAnsi" w:cs="Arial"/>
                <w:b w:val="0"/>
              </w:rPr>
              <w:t>Most Recent Year:  2016</w:t>
            </w:r>
          </w:p>
        </w:tc>
        <w:tc>
          <w:tcPr>
            <w:tcW w:w="1836" w:type="dxa"/>
          </w:tcPr>
          <w:p w14:paraId="6F4E4A52"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Pr>
                <w:rFonts w:asciiTheme="minorHAnsi" w:hAnsiTheme="minorHAnsi"/>
                <w:b w:val="0"/>
                <w:bCs w:val="0"/>
              </w:rPr>
              <w:t>% Change</w:t>
            </w:r>
          </w:p>
        </w:tc>
      </w:tr>
      <w:tr w:rsidR="00DC3841" w14:paraId="271D8F5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17DD28DB" w14:textId="77777777" w:rsidR="00DC3841" w:rsidRDefault="00DC3841" w:rsidP="007C520D">
            <w:pPr>
              <w:spacing w:beforeAutospacing="1" w:afterAutospacing="1"/>
            </w:pPr>
            <w:r>
              <w:rPr>
                <w:color w:val="000000"/>
              </w:rPr>
              <w:t>Median Home Value</w:t>
            </w:r>
          </w:p>
        </w:tc>
        <w:tc>
          <w:tcPr>
            <w:tcW w:w="2228" w:type="dxa"/>
          </w:tcPr>
          <w:p w14:paraId="1A7516DA"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$113,686</w:t>
            </w:r>
          </w:p>
        </w:tc>
        <w:tc>
          <w:tcPr>
            <w:tcW w:w="2620" w:type="dxa"/>
          </w:tcPr>
          <w:p w14:paraId="18FA730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$135,300</w:t>
            </w:r>
          </w:p>
        </w:tc>
        <w:tc>
          <w:tcPr>
            <w:tcW w:w="1836" w:type="dxa"/>
          </w:tcPr>
          <w:p w14:paraId="5B1A9D9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19%</w:t>
            </w:r>
          </w:p>
        </w:tc>
      </w:tr>
      <w:tr w:rsidR="00DC3841" w14:paraId="6B523D9A" w14:textId="77777777" w:rsidTr="007C520D">
        <w:tc>
          <w:tcPr>
            <w:cnfStyle w:val="001000000000" w:firstRow="0" w:lastRow="0" w:firstColumn="1" w:lastColumn="0" w:oddVBand="0" w:evenVBand="0" w:oddHBand="0" w:evenHBand="0" w:firstRowFirstColumn="0" w:firstRowLastColumn="0" w:lastRowFirstColumn="0" w:lastRowLastColumn="0"/>
            <w:tcW w:w="2892" w:type="dxa"/>
          </w:tcPr>
          <w:p w14:paraId="3410C763" w14:textId="77777777" w:rsidR="00DC3841" w:rsidRDefault="00DC3841" w:rsidP="007C520D">
            <w:pPr>
              <w:spacing w:beforeAutospacing="1" w:afterAutospacing="1"/>
            </w:pPr>
            <w:r>
              <w:rPr>
                <w:color w:val="000000"/>
              </w:rPr>
              <w:t>Median Contract Rent</w:t>
            </w:r>
          </w:p>
        </w:tc>
        <w:tc>
          <w:tcPr>
            <w:tcW w:w="2228" w:type="dxa"/>
          </w:tcPr>
          <w:p w14:paraId="02BDDF1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t>$549</w:t>
            </w:r>
          </w:p>
        </w:tc>
        <w:tc>
          <w:tcPr>
            <w:tcW w:w="2620" w:type="dxa"/>
          </w:tcPr>
          <w:p w14:paraId="4923F25C"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$594</w:t>
            </w:r>
          </w:p>
        </w:tc>
        <w:tc>
          <w:tcPr>
            <w:tcW w:w="1836" w:type="dxa"/>
          </w:tcPr>
          <w:p w14:paraId="0315831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8%</w:t>
            </w:r>
          </w:p>
        </w:tc>
      </w:tr>
    </w:tbl>
    <w:p w14:paraId="4D1224A6" w14:textId="77777777" w:rsidR="00DC3841" w:rsidRDefault="00DC3841" w:rsidP="00DC3841">
      <w:pPr>
        <w:rPr>
          <w:rFonts w:asciiTheme="minorHAnsi" w:hAnsiTheme="minorHAnsi" w:cs="Arial"/>
          <w:i/>
          <w:sz w:val="18"/>
          <w:szCs w:val="16"/>
        </w:rPr>
      </w:pPr>
      <w:r w:rsidRPr="0075523F">
        <w:rPr>
          <w:rFonts w:asciiTheme="minorHAnsi" w:hAnsiTheme="minorHAnsi"/>
          <w:i/>
          <w:sz w:val="18"/>
          <w:szCs w:val="16"/>
        </w:rPr>
        <w:t xml:space="preserve">Source: </w:t>
      </w:r>
      <w:r w:rsidRPr="0075523F">
        <w:rPr>
          <w:rFonts w:asciiTheme="minorHAnsi" w:hAnsiTheme="minorHAnsi" w:cs="Arial"/>
          <w:i/>
          <w:sz w:val="18"/>
          <w:szCs w:val="16"/>
        </w:rPr>
        <w:t>2000 Census (Base Year), 2016 ACS 5-year estimate (B25077 &amp; B25058), Bureau of Labor Statistics Inflation Calculator</w:t>
      </w:r>
    </w:p>
    <w:p w14:paraId="4C14CDD8" w14:textId="77777777" w:rsidR="00DC3841" w:rsidRPr="0075523F" w:rsidRDefault="00DC3841" w:rsidP="00DC3841">
      <w:pPr>
        <w:rPr>
          <w:rFonts w:asciiTheme="minorHAnsi" w:hAnsiTheme="minorHAnsi"/>
          <w:vanish/>
        </w:rPr>
      </w:pPr>
    </w:p>
    <w:p w14:paraId="5529B3A1" w14:textId="77777777" w:rsidR="00DC3841" w:rsidRPr="00CD0576" w:rsidRDefault="00DC3841" w:rsidP="00DC3841">
      <w:pPr>
        <w:rPr>
          <w:rFonts w:asciiTheme="minorHAnsi" w:hAnsiTheme="minorHAnsi" w:cstheme="minorHAnsi"/>
          <w:sz w:val="24"/>
        </w:rPr>
      </w:pPr>
      <w:r w:rsidRPr="00973228">
        <w:rPr>
          <w:rFonts w:asciiTheme="minorHAnsi" w:hAnsiTheme="minorHAnsi" w:cstheme="minorHAnsi"/>
          <w:sz w:val="24"/>
        </w:rPr>
        <w:t xml:space="preserve">The following is a comparison of renter household rent costs between 2000, 2013, and 2016. The data reflects </w:t>
      </w:r>
      <w:r w:rsidRPr="00156EBE">
        <w:rPr>
          <w:rFonts w:asciiTheme="minorHAnsi" w:hAnsiTheme="minorHAnsi" w:cstheme="minorHAnsi"/>
          <w:sz w:val="24"/>
        </w:rPr>
        <w:t xml:space="preserve">overall </w:t>
      </w:r>
      <w:r w:rsidRPr="003509DA">
        <w:rPr>
          <w:rFonts w:asciiTheme="minorHAnsi" w:hAnsiTheme="minorHAnsi" w:cstheme="minorHAnsi"/>
          <w:sz w:val="24"/>
        </w:rPr>
        <w:t>movement towards increased rent prices, with the most rapid growth coming for those households paying $1,000-$1,499 in rent. The lowest rental rates are most often found in rural areas of Kansas, however this upward trend in rental costs is being experienced throughout the state. This information was captured in meetings where Kansas housing stakeholders discussed housing afforda</w:t>
      </w:r>
      <w:r w:rsidRPr="0056036C">
        <w:rPr>
          <w:rFonts w:asciiTheme="minorHAnsi" w:hAnsiTheme="minorHAnsi" w:cstheme="minorHAnsi"/>
          <w:sz w:val="24"/>
        </w:rPr>
        <w:t xml:space="preserve">bility issues, identifying that the cost of housing is rising for all different housing types in mostly all regions of Kansas. </w:t>
      </w:r>
    </w:p>
    <w:p w14:paraId="3BDD115D" w14:textId="1EA23108" w:rsidR="00DC3841" w:rsidRDefault="00DC3841" w:rsidP="00DC3841">
      <w:pPr>
        <w:spacing w:after="0" w:line="240" w:lineRule="auto"/>
        <w:rPr>
          <w:rFonts w:asciiTheme="minorHAnsi" w:hAnsiTheme="minorHAnsi" w:cstheme="minorHAnsi"/>
          <w:sz w:val="26"/>
        </w:rPr>
      </w:pPr>
    </w:p>
    <w:p w14:paraId="4F3FB089" w14:textId="77777777" w:rsidR="00FB4C02" w:rsidRPr="00CD0576" w:rsidRDefault="00FB4C02" w:rsidP="00DC3841">
      <w:pPr>
        <w:spacing w:after="0" w:line="240" w:lineRule="auto"/>
        <w:rPr>
          <w:rFonts w:asciiTheme="minorHAnsi" w:hAnsiTheme="minorHAnsi" w:cstheme="minorHAnsi"/>
          <w:sz w:val="26"/>
        </w:rPr>
      </w:pPr>
    </w:p>
    <w:p w14:paraId="2AEFE983" w14:textId="77777777" w:rsidR="00DC3841" w:rsidRPr="00DF48D5" w:rsidRDefault="00DC3841" w:rsidP="00DC3841">
      <w:pPr>
        <w:spacing w:after="0" w:line="240" w:lineRule="auto"/>
        <w:rPr>
          <w:rFonts w:asciiTheme="minorHAnsi" w:hAnsiTheme="minorHAnsi"/>
          <w:b/>
          <w:sz w:val="28"/>
        </w:rPr>
      </w:pPr>
      <w:r w:rsidRPr="00DF48D5">
        <w:rPr>
          <w:rFonts w:asciiTheme="minorHAnsi" w:hAnsiTheme="minorHAnsi"/>
          <w:b/>
          <w:sz w:val="24"/>
        </w:rPr>
        <w:t xml:space="preserve">Table </w:t>
      </w:r>
      <w:r>
        <w:rPr>
          <w:rFonts w:asciiTheme="minorHAnsi" w:hAnsiTheme="minorHAnsi"/>
          <w:b/>
          <w:sz w:val="24"/>
        </w:rPr>
        <w:t>5</w:t>
      </w:r>
      <w:r w:rsidRPr="00DF48D5">
        <w:rPr>
          <w:rFonts w:asciiTheme="minorHAnsi" w:hAnsiTheme="minorHAnsi"/>
          <w:b/>
          <w:sz w:val="24"/>
        </w:rPr>
        <w:t xml:space="preserve"> - Rent Paid</w:t>
      </w:r>
      <w:r>
        <w:rPr>
          <w:rFonts w:asciiTheme="minorHAnsi" w:hAnsiTheme="minorHAnsi"/>
          <w:b/>
          <w:sz w:val="24"/>
        </w:rPr>
        <w:t xml:space="preserve"> (of those households that pay cash)</w:t>
      </w:r>
    </w:p>
    <w:tbl>
      <w:tblPr>
        <w:tblStyle w:val="GridTable4-Accent1"/>
        <w:tblW w:w="4464" w:type="pct"/>
        <w:tblLook w:val="04E0" w:firstRow="1" w:lastRow="1" w:firstColumn="1" w:lastColumn="0" w:noHBand="0" w:noVBand="1"/>
      </w:tblPr>
      <w:tblGrid>
        <w:gridCol w:w="1659"/>
        <w:gridCol w:w="1238"/>
        <w:gridCol w:w="963"/>
        <w:gridCol w:w="1323"/>
        <w:gridCol w:w="963"/>
        <w:gridCol w:w="1239"/>
        <w:gridCol w:w="963"/>
      </w:tblGrid>
      <w:tr w:rsidR="00DC3841" w14:paraId="63CB9FCC"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50DE206E" w14:textId="77777777" w:rsidR="00DC3841" w:rsidRDefault="00DC3841" w:rsidP="007C520D">
            <w:pPr>
              <w:keepNext/>
              <w:widowControl w:val="0"/>
              <w:spacing w:after="0" w:line="240" w:lineRule="auto"/>
              <w:jc w:val="center"/>
              <w:rPr>
                <w:rFonts w:asciiTheme="minorHAnsi" w:hAnsiTheme="minorHAnsi"/>
                <w:b w:val="0"/>
              </w:rPr>
            </w:pPr>
            <w:r>
              <w:rPr>
                <w:rFonts w:asciiTheme="minorHAnsi" w:hAnsiTheme="minorHAnsi"/>
                <w:b w:val="0"/>
              </w:rPr>
              <w:t>Rent Paid</w:t>
            </w:r>
          </w:p>
        </w:tc>
        <w:tc>
          <w:tcPr>
            <w:tcW w:w="1259" w:type="dxa"/>
          </w:tcPr>
          <w:p w14:paraId="748EEDA1"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2000</w:t>
            </w:r>
          </w:p>
        </w:tc>
        <w:tc>
          <w:tcPr>
            <w:tcW w:w="989" w:type="dxa"/>
          </w:tcPr>
          <w:p w14:paraId="2A3F393E"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w:t>
            </w:r>
          </w:p>
        </w:tc>
        <w:tc>
          <w:tcPr>
            <w:tcW w:w="1349" w:type="dxa"/>
          </w:tcPr>
          <w:p w14:paraId="5683CDD3"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2013</w:t>
            </w:r>
          </w:p>
        </w:tc>
        <w:tc>
          <w:tcPr>
            <w:tcW w:w="989" w:type="dxa"/>
          </w:tcPr>
          <w:p w14:paraId="197BEA60"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w:t>
            </w:r>
          </w:p>
        </w:tc>
        <w:tc>
          <w:tcPr>
            <w:tcW w:w="1259" w:type="dxa"/>
          </w:tcPr>
          <w:p w14:paraId="41DB2CBB"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2016</w:t>
            </w:r>
          </w:p>
        </w:tc>
        <w:tc>
          <w:tcPr>
            <w:tcW w:w="989" w:type="dxa"/>
          </w:tcPr>
          <w:p w14:paraId="104FE332"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w:t>
            </w:r>
          </w:p>
        </w:tc>
      </w:tr>
      <w:tr w:rsidR="00DC3841" w14:paraId="499C4792"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15BE3C83" w14:textId="77777777" w:rsidR="00DC3841" w:rsidRDefault="00DC3841" w:rsidP="007C520D">
            <w:pPr>
              <w:spacing w:beforeAutospacing="1" w:afterAutospacing="1"/>
            </w:pPr>
            <w:r>
              <w:rPr>
                <w:color w:val="000000"/>
              </w:rPr>
              <w:t>Less than $500</w:t>
            </w:r>
          </w:p>
        </w:tc>
        <w:tc>
          <w:tcPr>
            <w:tcW w:w="1259" w:type="dxa"/>
          </w:tcPr>
          <w:p w14:paraId="3E243A8B"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146,746</w:t>
            </w:r>
          </w:p>
        </w:tc>
        <w:tc>
          <w:tcPr>
            <w:tcW w:w="989" w:type="dxa"/>
          </w:tcPr>
          <w:p w14:paraId="0EE6AEE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50%</w:t>
            </w:r>
          </w:p>
        </w:tc>
        <w:tc>
          <w:tcPr>
            <w:tcW w:w="1349" w:type="dxa"/>
          </w:tcPr>
          <w:p w14:paraId="42CFB30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63,613</w:t>
            </w:r>
          </w:p>
        </w:tc>
        <w:tc>
          <w:tcPr>
            <w:tcW w:w="989" w:type="dxa"/>
          </w:tcPr>
          <w:p w14:paraId="3514ADE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19%</w:t>
            </w:r>
          </w:p>
        </w:tc>
        <w:tc>
          <w:tcPr>
            <w:tcW w:w="1259" w:type="dxa"/>
          </w:tcPr>
          <w:p w14:paraId="755F2E08"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56,635</w:t>
            </w:r>
          </w:p>
        </w:tc>
        <w:tc>
          <w:tcPr>
            <w:tcW w:w="989" w:type="dxa"/>
          </w:tcPr>
          <w:p w14:paraId="5F75E9E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16%</w:t>
            </w:r>
          </w:p>
        </w:tc>
      </w:tr>
      <w:tr w:rsidR="00DC3841" w14:paraId="1D795C2D" w14:textId="77777777" w:rsidTr="007C520D">
        <w:tc>
          <w:tcPr>
            <w:cnfStyle w:val="001000000000" w:firstRow="0" w:lastRow="0" w:firstColumn="1" w:lastColumn="0" w:oddVBand="0" w:evenVBand="0" w:oddHBand="0" w:evenHBand="0" w:firstRowFirstColumn="0" w:firstRowLastColumn="0" w:lastRowFirstColumn="0" w:lastRowLastColumn="0"/>
            <w:tcW w:w="1715" w:type="dxa"/>
          </w:tcPr>
          <w:p w14:paraId="0B728C66" w14:textId="77777777" w:rsidR="00DC3841" w:rsidRDefault="00DC3841" w:rsidP="007C520D">
            <w:pPr>
              <w:spacing w:beforeAutospacing="1" w:afterAutospacing="1"/>
            </w:pPr>
            <w:r>
              <w:rPr>
                <w:color w:val="000000"/>
              </w:rPr>
              <w:t>$500-999</w:t>
            </w:r>
          </w:p>
        </w:tc>
        <w:tc>
          <w:tcPr>
            <w:tcW w:w="1259" w:type="dxa"/>
          </w:tcPr>
          <w:p w14:paraId="4480EF2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129,720</w:t>
            </w:r>
          </w:p>
        </w:tc>
        <w:tc>
          <w:tcPr>
            <w:tcW w:w="989" w:type="dxa"/>
          </w:tcPr>
          <w:p w14:paraId="2163C40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45%</w:t>
            </w:r>
          </w:p>
        </w:tc>
        <w:tc>
          <w:tcPr>
            <w:tcW w:w="1349" w:type="dxa"/>
          </w:tcPr>
          <w:p w14:paraId="0B63E2A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200,121</w:t>
            </w:r>
          </w:p>
        </w:tc>
        <w:tc>
          <w:tcPr>
            <w:tcW w:w="989" w:type="dxa"/>
          </w:tcPr>
          <w:p w14:paraId="11FA537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59%</w:t>
            </w:r>
          </w:p>
        </w:tc>
        <w:tc>
          <w:tcPr>
            <w:tcW w:w="1259" w:type="dxa"/>
          </w:tcPr>
          <w:p w14:paraId="4B61DF2A"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205,621</w:t>
            </w:r>
          </w:p>
        </w:tc>
        <w:tc>
          <w:tcPr>
            <w:tcW w:w="989" w:type="dxa"/>
          </w:tcPr>
          <w:p w14:paraId="04BB38A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58%</w:t>
            </w:r>
          </w:p>
        </w:tc>
      </w:tr>
      <w:tr w:rsidR="00DC3841" w14:paraId="6EE245F2"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53D1E757" w14:textId="77777777" w:rsidR="00DC3841" w:rsidRDefault="00DC3841" w:rsidP="007C520D">
            <w:pPr>
              <w:spacing w:beforeAutospacing="1" w:afterAutospacing="1"/>
            </w:pPr>
            <w:r>
              <w:rPr>
                <w:color w:val="000000"/>
              </w:rPr>
              <w:t>$1,000-1,499</w:t>
            </w:r>
          </w:p>
        </w:tc>
        <w:tc>
          <w:tcPr>
            <w:tcW w:w="1259" w:type="dxa"/>
          </w:tcPr>
          <w:p w14:paraId="36A4C8E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11,196</w:t>
            </w:r>
          </w:p>
        </w:tc>
        <w:tc>
          <w:tcPr>
            <w:tcW w:w="989" w:type="dxa"/>
          </w:tcPr>
          <w:p w14:paraId="6ABC06A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1349" w:type="dxa"/>
          </w:tcPr>
          <w:p w14:paraId="4A58327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55,517</w:t>
            </w:r>
          </w:p>
        </w:tc>
        <w:tc>
          <w:tcPr>
            <w:tcW w:w="989" w:type="dxa"/>
          </w:tcPr>
          <w:p w14:paraId="349524D3"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16%</w:t>
            </w:r>
          </w:p>
        </w:tc>
        <w:tc>
          <w:tcPr>
            <w:tcW w:w="1259" w:type="dxa"/>
          </w:tcPr>
          <w:p w14:paraId="58B2767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68,871</w:t>
            </w:r>
          </w:p>
        </w:tc>
        <w:tc>
          <w:tcPr>
            <w:tcW w:w="989" w:type="dxa"/>
          </w:tcPr>
          <w:p w14:paraId="5177757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20%</w:t>
            </w:r>
          </w:p>
        </w:tc>
      </w:tr>
      <w:tr w:rsidR="00DC3841" w14:paraId="763AB054" w14:textId="77777777" w:rsidTr="007C520D">
        <w:tc>
          <w:tcPr>
            <w:cnfStyle w:val="001000000000" w:firstRow="0" w:lastRow="0" w:firstColumn="1" w:lastColumn="0" w:oddVBand="0" w:evenVBand="0" w:oddHBand="0" w:evenHBand="0" w:firstRowFirstColumn="0" w:firstRowLastColumn="0" w:lastRowFirstColumn="0" w:lastRowLastColumn="0"/>
            <w:tcW w:w="1715" w:type="dxa"/>
          </w:tcPr>
          <w:p w14:paraId="79A24E72" w14:textId="77777777" w:rsidR="00DC3841" w:rsidRDefault="00DC3841" w:rsidP="007C520D">
            <w:pPr>
              <w:spacing w:beforeAutospacing="1" w:afterAutospacing="1"/>
            </w:pPr>
            <w:r>
              <w:rPr>
                <w:color w:val="000000"/>
              </w:rPr>
              <w:t>$1,500-1,999</w:t>
            </w:r>
          </w:p>
        </w:tc>
        <w:tc>
          <w:tcPr>
            <w:tcW w:w="1259" w:type="dxa"/>
          </w:tcPr>
          <w:p w14:paraId="62A85D3A"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2,345</w:t>
            </w:r>
          </w:p>
        </w:tc>
        <w:tc>
          <w:tcPr>
            <w:tcW w:w="989" w:type="dxa"/>
          </w:tcPr>
          <w:p w14:paraId="700D76F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349" w:type="dxa"/>
          </w:tcPr>
          <w:p w14:paraId="4F9A26C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11,902</w:t>
            </w:r>
          </w:p>
        </w:tc>
        <w:tc>
          <w:tcPr>
            <w:tcW w:w="989" w:type="dxa"/>
          </w:tcPr>
          <w:p w14:paraId="67CF08C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w:t>
            </w:r>
          </w:p>
        </w:tc>
        <w:tc>
          <w:tcPr>
            <w:tcW w:w="1259" w:type="dxa"/>
          </w:tcPr>
          <w:p w14:paraId="0C9145CA"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14,761</w:t>
            </w:r>
          </w:p>
        </w:tc>
        <w:tc>
          <w:tcPr>
            <w:tcW w:w="989" w:type="dxa"/>
          </w:tcPr>
          <w:p w14:paraId="3C2F1B6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r>
      <w:tr w:rsidR="00DC3841" w14:paraId="0E626C8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448B8106" w14:textId="77777777" w:rsidR="00DC3841" w:rsidRDefault="00DC3841" w:rsidP="007C520D">
            <w:pPr>
              <w:spacing w:beforeAutospacing="1" w:afterAutospacing="1"/>
            </w:pPr>
            <w:r>
              <w:rPr>
                <w:color w:val="000000"/>
              </w:rPr>
              <w:t>$2,000 or more</w:t>
            </w:r>
          </w:p>
        </w:tc>
        <w:tc>
          <w:tcPr>
            <w:tcW w:w="1259" w:type="dxa"/>
          </w:tcPr>
          <w:p w14:paraId="36E19C6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1,233</w:t>
            </w:r>
          </w:p>
        </w:tc>
        <w:tc>
          <w:tcPr>
            <w:tcW w:w="989" w:type="dxa"/>
          </w:tcPr>
          <w:p w14:paraId="083A9B8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c>
          <w:tcPr>
            <w:tcW w:w="1349" w:type="dxa"/>
          </w:tcPr>
          <w:p w14:paraId="4B6D37A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5,827</w:t>
            </w:r>
          </w:p>
        </w:tc>
        <w:tc>
          <w:tcPr>
            <w:tcW w:w="989" w:type="dxa"/>
          </w:tcPr>
          <w:p w14:paraId="37FDB31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w:t>
            </w:r>
          </w:p>
        </w:tc>
        <w:tc>
          <w:tcPr>
            <w:tcW w:w="1259" w:type="dxa"/>
          </w:tcPr>
          <w:p w14:paraId="1ACBC7D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6,923</w:t>
            </w:r>
          </w:p>
        </w:tc>
        <w:tc>
          <w:tcPr>
            <w:tcW w:w="989" w:type="dxa"/>
          </w:tcPr>
          <w:p w14:paraId="16BDE763"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r>
      <w:tr w:rsidR="00DC3841" w14:paraId="6F06143B" w14:textId="77777777" w:rsidTr="007C520D">
        <w:trPr>
          <w:cnfStyle w:val="010000000000" w:firstRow="0" w:lastRow="1"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715" w:type="dxa"/>
          </w:tcPr>
          <w:p w14:paraId="70E9326E" w14:textId="77777777" w:rsidR="00DC3841" w:rsidRDefault="00DC3841" w:rsidP="007C520D">
            <w:pPr>
              <w:spacing w:beforeAutospacing="1" w:afterAutospacing="1"/>
            </w:pPr>
            <w:r>
              <w:rPr>
                <w:rFonts w:ascii="Verdana" w:hAnsi="Verdana"/>
                <w:b w:val="0"/>
                <w:i/>
                <w:color w:val="000000"/>
                <w:sz w:val="16"/>
              </w:rPr>
              <w:t>Total</w:t>
            </w:r>
          </w:p>
        </w:tc>
        <w:tc>
          <w:tcPr>
            <w:tcW w:w="1259" w:type="dxa"/>
          </w:tcPr>
          <w:p w14:paraId="3D408E30"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rPr>
                <w:rFonts w:ascii="Verdana" w:hAnsi="Verdana"/>
                <w:b w:val="0"/>
                <w:i/>
                <w:color w:val="000000"/>
                <w:sz w:val="16"/>
              </w:rPr>
            </w:pPr>
            <w:r>
              <w:rPr>
                <w:rFonts w:ascii="Verdana" w:hAnsi="Verdana"/>
                <w:i/>
                <w:color w:val="000000"/>
                <w:sz w:val="16"/>
              </w:rPr>
              <w:t>291,240</w:t>
            </w:r>
          </w:p>
        </w:tc>
        <w:tc>
          <w:tcPr>
            <w:tcW w:w="989" w:type="dxa"/>
          </w:tcPr>
          <w:p w14:paraId="709B9463"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rPr>
                <w:rFonts w:ascii="Verdana" w:hAnsi="Verdana"/>
                <w:b w:val="0"/>
                <w:i/>
                <w:color w:val="000000"/>
                <w:sz w:val="16"/>
              </w:rPr>
            </w:pPr>
          </w:p>
        </w:tc>
        <w:tc>
          <w:tcPr>
            <w:tcW w:w="1349" w:type="dxa"/>
          </w:tcPr>
          <w:p w14:paraId="1B9888B6"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336,980</w:t>
            </w:r>
          </w:p>
        </w:tc>
        <w:tc>
          <w:tcPr>
            <w:tcW w:w="989" w:type="dxa"/>
          </w:tcPr>
          <w:p w14:paraId="45C17393" w14:textId="77777777" w:rsidR="00DC3841" w:rsidRPr="000044B9" w:rsidRDefault="00DC3841" w:rsidP="007C520D">
            <w:pPr>
              <w:spacing w:beforeAutospacing="1" w:afterAutospacing="1"/>
              <w:cnfStyle w:val="010000000000" w:firstRow="0" w:lastRow="1" w:firstColumn="0" w:lastColumn="0" w:oddVBand="0" w:evenVBand="0" w:oddHBand="0" w:evenHBand="0" w:firstRowFirstColumn="0" w:firstRowLastColumn="0" w:lastRowFirstColumn="0" w:lastRowLastColumn="0"/>
            </w:pPr>
          </w:p>
        </w:tc>
        <w:tc>
          <w:tcPr>
            <w:tcW w:w="1259" w:type="dxa"/>
          </w:tcPr>
          <w:p w14:paraId="297BB6DB"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rPr>
                <w:rFonts w:ascii="Verdana" w:hAnsi="Verdana"/>
                <w:b w:val="0"/>
                <w:i/>
                <w:color w:val="000000"/>
                <w:sz w:val="16"/>
              </w:rPr>
            </w:pPr>
            <w:r>
              <w:rPr>
                <w:rFonts w:ascii="Verdana" w:hAnsi="Verdana"/>
                <w:i/>
                <w:color w:val="000000"/>
                <w:sz w:val="16"/>
              </w:rPr>
              <w:t>352,811</w:t>
            </w:r>
          </w:p>
        </w:tc>
        <w:tc>
          <w:tcPr>
            <w:tcW w:w="989" w:type="dxa"/>
          </w:tcPr>
          <w:p w14:paraId="0A22AAFB"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rPr>
                <w:rFonts w:ascii="Verdana" w:hAnsi="Verdana"/>
                <w:b w:val="0"/>
                <w:i/>
                <w:color w:val="000000"/>
                <w:sz w:val="16"/>
              </w:rPr>
            </w:pPr>
          </w:p>
        </w:tc>
      </w:tr>
    </w:tbl>
    <w:p w14:paraId="57430C59" w14:textId="77777777" w:rsidR="00DC3841" w:rsidRDefault="00DC3841" w:rsidP="00DC3841">
      <w:pPr>
        <w:rPr>
          <w:rFonts w:asciiTheme="minorHAnsi" w:hAnsiTheme="minorHAnsi"/>
          <w:i/>
          <w:sz w:val="18"/>
        </w:rPr>
      </w:pPr>
      <w:r w:rsidRPr="0075523F">
        <w:rPr>
          <w:rFonts w:asciiTheme="minorHAnsi" w:hAnsiTheme="minorHAnsi"/>
          <w:i/>
          <w:sz w:val="18"/>
        </w:rPr>
        <w:t>Source: 2000 Census (H062), 2009-2013 ACS 5-year estimate (B25063), 2012-2016 ACS 5-year estimate (B25063)</w:t>
      </w:r>
    </w:p>
    <w:p w14:paraId="423DA858" w14:textId="77777777" w:rsidR="00DC3841" w:rsidRPr="0075523F" w:rsidRDefault="00DC3841" w:rsidP="00DC3841">
      <w:pPr>
        <w:rPr>
          <w:rFonts w:asciiTheme="minorHAnsi" w:hAnsiTheme="minorHAnsi"/>
          <w:vanish/>
        </w:rPr>
      </w:pPr>
    </w:p>
    <w:p w14:paraId="52701507" w14:textId="77777777" w:rsidR="00DC3841" w:rsidRPr="00BD36D8" w:rsidRDefault="00DC3841" w:rsidP="00DC3841">
      <w:pPr>
        <w:rPr>
          <w:rFonts w:asciiTheme="minorHAnsi" w:hAnsiTheme="minorHAnsi"/>
          <w:sz w:val="24"/>
        </w:rPr>
      </w:pPr>
      <w:r w:rsidRPr="00247D0B">
        <w:rPr>
          <w:rFonts w:asciiTheme="minorHAnsi" w:hAnsiTheme="minorHAnsi"/>
          <w:sz w:val="24"/>
        </w:rPr>
        <w:t>Acc</w:t>
      </w:r>
      <w:r>
        <w:rPr>
          <w:rFonts w:asciiTheme="minorHAnsi" w:hAnsiTheme="minorHAnsi"/>
          <w:sz w:val="24"/>
        </w:rPr>
        <w:t xml:space="preserve">ording to the Low Income Housing Coalition, </w:t>
      </w:r>
      <w:r>
        <w:rPr>
          <w:rFonts w:asciiTheme="minorHAnsi" w:hAnsiTheme="minorHAnsi"/>
          <w:i/>
          <w:sz w:val="24"/>
        </w:rPr>
        <w:t xml:space="preserve">Out of Reach </w:t>
      </w:r>
      <w:r>
        <w:rPr>
          <w:rFonts w:asciiTheme="minorHAnsi" w:hAnsiTheme="minorHAnsi"/>
          <w:sz w:val="24"/>
        </w:rPr>
        <w:t xml:space="preserve">study, the average renter wage is $13.21/hour – assuming a forty hour work week, this generates an annual salary of $27,477. This indicates that the average renter can afford $687 in housing costs each month, anything more would put the household in a cost burdened situation. </w:t>
      </w:r>
    </w:p>
    <w:p w14:paraId="30E39E50" w14:textId="77777777" w:rsidR="00DC3841" w:rsidRPr="00B93EC8" w:rsidRDefault="00DC3841" w:rsidP="00DC3841">
      <w:pPr>
        <w:rPr>
          <w:rFonts w:asciiTheme="minorHAnsi" w:hAnsiTheme="minorHAnsi"/>
          <w:sz w:val="24"/>
        </w:rPr>
      </w:pPr>
      <w:r w:rsidRPr="00B93EC8">
        <w:rPr>
          <w:rFonts w:asciiTheme="minorHAnsi" w:hAnsiTheme="minorHAnsi"/>
          <w:sz w:val="24"/>
        </w:rPr>
        <w:t xml:space="preserve">In Kansas, the </w:t>
      </w:r>
      <w:r>
        <w:rPr>
          <w:rFonts w:asciiTheme="minorHAnsi" w:hAnsiTheme="minorHAnsi"/>
          <w:sz w:val="24"/>
        </w:rPr>
        <w:t xml:space="preserve">average </w:t>
      </w:r>
      <w:r w:rsidRPr="00B93EC8">
        <w:rPr>
          <w:rFonts w:asciiTheme="minorHAnsi" w:hAnsiTheme="minorHAnsi"/>
          <w:sz w:val="24"/>
        </w:rPr>
        <w:t>Fair Market Rent (FMR) for a two-bedroom apartment is $811</w:t>
      </w:r>
      <w:r>
        <w:rPr>
          <w:rFonts w:asciiTheme="minorHAnsi" w:hAnsiTheme="minorHAnsi"/>
          <w:sz w:val="24"/>
        </w:rPr>
        <w:t xml:space="preserve"> and $1,104 for a three bedroom. Two and three-bedroom apartments combine to make up 71% of all units in Kansas. The wage required to afford a two-bedroom (assuming average FMR) unit without being cost burdened would be $15.59, and $21.23 for a three-bedroom – short of the $13.21 average renter wage across the state. </w:t>
      </w:r>
    </w:p>
    <w:p w14:paraId="273D24B4" w14:textId="77777777" w:rsidR="00DC3841" w:rsidRDefault="00DC3841" w:rsidP="00DC3841">
      <w:pPr>
        <w:spacing w:after="0" w:line="240" w:lineRule="auto"/>
        <w:rPr>
          <w:rFonts w:asciiTheme="minorHAnsi" w:hAnsiTheme="minorHAnsi"/>
        </w:rPr>
      </w:pPr>
    </w:p>
    <w:p w14:paraId="6FB5C55C" w14:textId="77777777" w:rsidR="00DC3841" w:rsidRPr="00C773A5" w:rsidRDefault="00DC3841" w:rsidP="00DC3841">
      <w:pPr>
        <w:spacing w:after="0" w:line="240" w:lineRule="auto"/>
        <w:rPr>
          <w:rFonts w:asciiTheme="minorHAnsi" w:hAnsiTheme="minorHAnsi"/>
          <w:b/>
          <w:sz w:val="24"/>
        </w:rPr>
      </w:pPr>
      <w:r w:rsidRPr="00C773A5">
        <w:rPr>
          <w:rFonts w:asciiTheme="minorHAnsi" w:hAnsiTheme="minorHAnsi"/>
          <w:b/>
          <w:sz w:val="24"/>
        </w:rPr>
        <w:t xml:space="preserve">Table </w:t>
      </w:r>
      <w:r>
        <w:rPr>
          <w:rFonts w:asciiTheme="minorHAnsi" w:hAnsiTheme="minorHAnsi"/>
          <w:b/>
          <w:sz w:val="24"/>
        </w:rPr>
        <w:t>6</w:t>
      </w:r>
      <w:r w:rsidRPr="00C773A5">
        <w:rPr>
          <w:rFonts w:asciiTheme="minorHAnsi" w:hAnsiTheme="minorHAnsi"/>
          <w:b/>
          <w:sz w:val="24"/>
        </w:rPr>
        <w:t xml:space="preserve"> – Housing Affordability</w:t>
      </w:r>
    </w:p>
    <w:tbl>
      <w:tblPr>
        <w:tblStyle w:val="GridTable4-Accent1"/>
        <w:tblW w:w="5001" w:type="pct"/>
        <w:tblLook w:val="04E0" w:firstRow="1" w:lastRow="1" w:firstColumn="1" w:lastColumn="0" w:noHBand="0" w:noVBand="1"/>
      </w:tblPr>
      <w:tblGrid>
        <w:gridCol w:w="3270"/>
        <w:gridCol w:w="3326"/>
        <w:gridCol w:w="2756"/>
      </w:tblGrid>
      <w:tr w:rsidR="00DC3841" w14:paraId="394F63DD"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B614E90" w14:textId="77777777" w:rsidR="00DC3841" w:rsidRDefault="00DC3841" w:rsidP="007C520D">
            <w:pPr>
              <w:keepNext/>
              <w:widowControl w:val="0"/>
              <w:spacing w:after="0" w:line="240" w:lineRule="auto"/>
              <w:jc w:val="center"/>
              <w:rPr>
                <w:rFonts w:asciiTheme="minorHAnsi" w:hAnsiTheme="minorHAnsi"/>
                <w:b w:val="0"/>
              </w:rPr>
            </w:pPr>
            <w:r>
              <w:rPr>
                <w:rFonts w:asciiTheme="minorHAnsi" w:hAnsiTheme="minorHAnsi"/>
                <w:b w:val="0"/>
              </w:rPr>
              <w:t xml:space="preserve">% Units affordable to Households earning </w:t>
            </w:r>
          </w:p>
        </w:tc>
        <w:tc>
          <w:tcPr>
            <w:tcW w:w="3411" w:type="dxa"/>
          </w:tcPr>
          <w:p w14:paraId="4F0FB2C4"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Renter</w:t>
            </w:r>
          </w:p>
        </w:tc>
        <w:tc>
          <w:tcPr>
            <w:tcW w:w="2819" w:type="dxa"/>
          </w:tcPr>
          <w:p w14:paraId="2849FBD8"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Owner</w:t>
            </w:r>
          </w:p>
        </w:tc>
      </w:tr>
      <w:tr w:rsidR="00DC3841" w14:paraId="2531BC39"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B6D952" w14:textId="77777777" w:rsidR="00DC3841" w:rsidRDefault="00DC3841" w:rsidP="007C520D">
            <w:pPr>
              <w:spacing w:beforeAutospacing="1" w:afterAutospacing="1"/>
            </w:pPr>
            <w:r>
              <w:rPr>
                <w:color w:val="000000"/>
              </w:rPr>
              <w:t>30% HAMFI</w:t>
            </w:r>
          </w:p>
        </w:tc>
        <w:tc>
          <w:tcPr>
            <w:tcW w:w="0" w:type="auto"/>
          </w:tcPr>
          <w:p w14:paraId="42BBF5E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25,525</w:t>
            </w:r>
          </w:p>
        </w:tc>
        <w:tc>
          <w:tcPr>
            <w:tcW w:w="0" w:type="auto"/>
          </w:tcPr>
          <w:p w14:paraId="3FD68ED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No Data</w:t>
            </w:r>
          </w:p>
        </w:tc>
      </w:tr>
      <w:tr w:rsidR="00DC3841" w14:paraId="12EB280C"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000E9773" w14:textId="77777777" w:rsidR="00DC3841" w:rsidRDefault="00DC3841" w:rsidP="007C520D">
            <w:pPr>
              <w:spacing w:beforeAutospacing="1" w:afterAutospacing="1"/>
            </w:pPr>
            <w:r>
              <w:rPr>
                <w:color w:val="000000"/>
              </w:rPr>
              <w:t>50% HAMFI</w:t>
            </w:r>
          </w:p>
        </w:tc>
        <w:tc>
          <w:tcPr>
            <w:tcW w:w="0" w:type="auto"/>
          </w:tcPr>
          <w:p w14:paraId="4AD4C7D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105,100</w:t>
            </w:r>
          </w:p>
        </w:tc>
        <w:tc>
          <w:tcPr>
            <w:tcW w:w="0" w:type="auto"/>
          </w:tcPr>
          <w:p w14:paraId="6003F56C"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74,995</w:t>
            </w:r>
          </w:p>
        </w:tc>
      </w:tr>
      <w:tr w:rsidR="00DC3841" w14:paraId="1275B0D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6C18D8" w14:textId="77777777" w:rsidR="00DC3841" w:rsidRDefault="00DC3841" w:rsidP="007C520D">
            <w:pPr>
              <w:spacing w:beforeAutospacing="1" w:afterAutospacing="1"/>
            </w:pPr>
            <w:r>
              <w:rPr>
                <w:color w:val="000000"/>
              </w:rPr>
              <w:t>80% HAMFI</w:t>
            </w:r>
          </w:p>
        </w:tc>
        <w:tc>
          <w:tcPr>
            <w:tcW w:w="0" w:type="auto"/>
          </w:tcPr>
          <w:p w14:paraId="6801F10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232,915</w:t>
            </w:r>
          </w:p>
        </w:tc>
        <w:tc>
          <w:tcPr>
            <w:tcW w:w="0" w:type="auto"/>
          </w:tcPr>
          <w:p w14:paraId="2D89971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192,365</w:t>
            </w:r>
          </w:p>
        </w:tc>
      </w:tr>
      <w:tr w:rsidR="00DC3841" w14:paraId="031E3182"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480CC72C" w14:textId="77777777" w:rsidR="00DC3841" w:rsidRDefault="00DC3841" w:rsidP="007C520D">
            <w:pPr>
              <w:spacing w:beforeAutospacing="1" w:afterAutospacing="1"/>
            </w:pPr>
            <w:r>
              <w:rPr>
                <w:color w:val="000000"/>
              </w:rPr>
              <w:t>100% HAMFI</w:t>
            </w:r>
          </w:p>
        </w:tc>
        <w:tc>
          <w:tcPr>
            <w:tcW w:w="0" w:type="auto"/>
          </w:tcPr>
          <w:p w14:paraId="2D41B1E3"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No Data</w:t>
            </w:r>
          </w:p>
        </w:tc>
        <w:tc>
          <w:tcPr>
            <w:tcW w:w="0" w:type="auto"/>
          </w:tcPr>
          <w:p w14:paraId="4C520F35"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276,925</w:t>
            </w:r>
          </w:p>
        </w:tc>
      </w:tr>
      <w:tr w:rsidR="00DC3841" w14:paraId="0FE5CA9A"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5E061E" w14:textId="77777777" w:rsidR="00DC3841" w:rsidRPr="00D3692A" w:rsidRDefault="00DC3841" w:rsidP="007C520D">
            <w:pPr>
              <w:spacing w:beforeAutospacing="1" w:afterAutospacing="1"/>
              <w:rPr>
                <w:sz w:val="20"/>
              </w:rPr>
            </w:pPr>
            <w:r w:rsidRPr="00D3692A">
              <w:rPr>
                <w:rFonts w:ascii="Verdana" w:hAnsi="Verdana"/>
                <w:b w:val="0"/>
                <w:color w:val="000000"/>
                <w:sz w:val="20"/>
              </w:rPr>
              <w:t>Total</w:t>
            </w:r>
          </w:p>
        </w:tc>
        <w:tc>
          <w:tcPr>
            <w:tcW w:w="0" w:type="auto"/>
          </w:tcPr>
          <w:p w14:paraId="0A1D8818" w14:textId="77777777" w:rsidR="00DC3841" w:rsidRPr="00D3692A"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rPr>
                <w:sz w:val="20"/>
              </w:rPr>
            </w:pPr>
            <w:r w:rsidRPr="00D3692A">
              <w:rPr>
                <w:rFonts w:ascii="Verdana" w:hAnsi="Verdana"/>
                <w:color w:val="000000"/>
                <w:sz w:val="20"/>
              </w:rPr>
              <w:t>363,540</w:t>
            </w:r>
          </w:p>
        </w:tc>
        <w:tc>
          <w:tcPr>
            <w:tcW w:w="0" w:type="auto"/>
          </w:tcPr>
          <w:p w14:paraId="29FAA702" w14:textId="77777777" w:rsidR="00DC3841" w:rsidRPr="00D3692A"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rPr>
                <w:sz w:val="20"/>
              </w:rPr>
            </w:pPr>
            <w:r w:rsidRPr="00D3692A">
              <w:rPr>
                <w:rFonts w:ascii="Verdana" w:hAnsi="Verdana"/>
                <w:color w:val="000000"/>
                <w:sz w:val="20"/>
              </w:rPr>
              <w:t>544,285</w:t>
            </w:r>
          </w:p>
        </w:tc>
      </w:tr>
    </w:tbl>
    <w:p w14:paraId="7D9A255F" w14:textId="77777777" w:rsidR="00DC3841" w:rsidRDefault="00DC3841" w:rsidP="00DC3841">
      <w:pPr>
        <w:rPr>
          <w:rFonts w:asciiTheme="minorHAnsi" w:hAnsiTheme="minorHAnsi"/>
          <w:i/>
          <w:sz w:val="18"/>
        </w:rPr>
      </w:pPr>
      <w:r w:rsidRPr="0075523F">
        <w:rPr>
          <w:rFonts w:asciiTheme="minorHAnsi" w:hAnsiTheme="minorHAnsi"/>
          <w:i/>
          <w:sz w:val="18"/>
        </w:rPr>
        <w:t>Source: 2009-2013 CHAS</w:t>
      </w:r>
    </w:p>
    <w:p w14:paraId="1D98ACE4" w14:textId="77777777" w:rsidR="00DC3841" w:rsidRPr="0075523F" w:rsidRDefault="00DC3841" w:rsidP="00DC3841">
      <w:pPr>
        <w:rPr>
          <w:rFonts w:asciiTheme="minorHAnsi" w:hAnsiTheme="minorHAnsi"/>
          <w:vanish/>
        </w:rPr>
      </w:pPr>
    </w:p>
    <w:p w14:paraId="052D7894" w14:textId="77777777" w:rsidR="00DC3841" w:rsidRDefault="00DC3841" w:rsidP="00DC3841">
      <w:pPr>
        <w:rPr>
          <w:rFonts w:asciiTheme="minorHAnsi" w:hAnsiTheme="minorHAnsi"/>
          <w:b/>
          <w:vanish/>
          <w:sz w:val="16"/>
        </w:rPr>
      </w:pPr>
    </w:p>
    <w:p w14:paraId="3C777FC3" w14:textId="77777777" w:rsidR="00DC3841" w:rsidRDefault="00DC3841" w:rsidP="00DC3841">
      <w:pPr>
        <w:widowControl w:val="0"/>
        <w:rPr>
          <w:rFonts w:asciiTheme="minorHAnsi" w:hAnsiTheme="minorHAnsi"/>
          <w:sz w:val="24"/>
        </w:rPr>
      </w:pPr>
      <w:r>
        <w:rPr>
          <w:rFonts w:asciiTheme="minorHAnsi" w:hAnsiTheme="minorHAnsi"/>
          <w:sz w:val="24"/>
        </w:rPr>
        <w:t xml:space="preserve">According to Table 4.1 in the Needs Assessment, there are 81,245 renter households earning 30% or less of the HUD Area Median Family Income (HAMFI). The table above indicates there are 25,525 rental units affordable for households in this income brackets – creating an affordable housing gap for this income bracket of 55,720 rental units. Widening the scope, including renter households earning 30-50% of the HAMFI, the number of affordable units surpasses the number of households. There are 118,400 renter households earning 0-50% HAMFI, while there are 130,625 affordable rental units. Looking at owners within the 0-50% of HAMFI, the data is similar as compared to renters. The 101,440 owner households earning 0-50% of HAMFI have 74,995 affordable units. </w:t>
      </w:r>
    </w:p>
    <w:p w14:paraId="4F6D25F1" w14:textId="77777777" w:rsidR="00DC3841" w:rsidRDefault="00DC3841" w:rsidP="00DC3841">
      <w:pPr>
        <w:widowControl w:val="0"/>
        <w:rPr>
          <w:rFonts w:asciiTheme="minorHAnsi" w:hAnsiTheme="minorHAnsi"/>
          <w:sz w:val="24"/>
        </w:rPr>
      </w:pPr>
      <w:r>
        <w:rPr>
          <w:rFonts w:asciiTheme="minorHAnsi" w:hAnsiTheme="minorHAnsi"/>
          <w:sz w:val="24"/>
        </w:rPr>
        <w:t xml:space="preserve">It is important to note these numbers are statewide, and some regions experience tighter housing markets than others. These data points outline that lower income households experience cost burden at a higher rate. </w:t>
      </w:r>
    </w:p>
    <w:p w14:paraId="2955810B" w14:textId="31B90FC3" w:rsidR="00DC3841" w:rsidRPr="00C45854" w:rsidRDefault="00DC3841" w:rsidP="00DC3841">
      <w:pPr>
        <w:widowControl w:val="0"/>
        <w:rPr>
          <w:rFonts w:asciiTheme="minorHAnsi" w:hAnsiTheme="minorHAnsi"/>
          <w:sz w:val="24"/>
        </w:rPr>
      </w:pPr>
      <w:r>
        <w:rPr>
          <w:rFonts w:asciiTheme="minorHAnsi" w:hAnsiTheme="minorHAnsi"/>
          <w:sz w:val="24"/>
        </w:rPr>
        <w:t xml:space="preserve">The following table is not applicable to State grantees. The table, however is in the HUD IDIS system. </w:t>
      </w:r>
    </w:p>
    <w:p w14:paraId="50444B73" w14:textId="77777777" w:rsidR="00DC3841" w:rsidRDefault="00DC3841" w:rsidP="00DC3841">
      <w:pPr>
        <w:widowControl w:val="0"/>
        <w:spacing w:after="0" w:line="240" w:lineRule="auto"/>
        <w:rPr>
          <w:rFonts w:asciiTheme="minorHAnsi" w:hAnsiTheme="minorHAnsi"/>
          <w:b/>
          <w:sz w:val="24"/>
        </w:rPr>
      </w:pPr>
    </w:p>
    <w:p w14:paraId="670F6D6A" w14:textId="77777777" w:rsidR="00DC3841" w:rsidRPr="00C773A5" w:rsidRDefault="00DC3841" w:rsidP="00DC3841">
      <w:pPr>
        <w:widowControl w:val="0"/>
        <w:spacing w:after="0" w:line="240" w:lineRule="auto"/>
        <w:rPr>
          <w:rFonts w:asciiTheme="minorHAnsi" w:hAnsiTheme="minorHAnsi"/>
          <w:b/>
          <w:sz w:val="28"/>
        </w:rPr>
      </w:pPr>
      <w:r w:rsidRPr="00C773A5">
        <w:rPr>
          <w:rFonts w:asciiTheme="minorHAnsi" w:hAnsiTheme="minorHAnsi"/>
          <w:b/>
          <w:sz w:val="24"/>
        </w:rPr>
        <w:t>Table 7 – Monthly Rent</w:t>
      </w:r>
    </w:p>
    <w:tbl>
      <w:tblPr>
        <w:tblStyle w:val="GridTable4-Accent1"/>
        <w:tblW w:w="5001" w:type="pct"/>
        <w:tblLook w:val="04A0" w:firstRow="1" w:lastRow="0" w:firstColumn="1" w:lastColumn="0" w:noHBand="0" w:noVBand="1"/>
      </w:tblPr>
      <w:tblGrid>
        <w:gridCol w:w="2445"/>
        <w:gridCol w:w="1603"/>
        <w:gridCol w:w="1326"/>
        <w:gridCol w:w="1326"/>
        <w:gridCol w:w="1326"/>
        <w:gridCol w:w="1326"/>
      </w:tblGrid>
      <w:tr w:rsidR="00DC3841" w14:paraId="339375EA"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5E57843" w14:textId="77777777" w:rsidR="00DC3841" w:rsidRDefault="00DC3841" w:rsidP="007C520D">
            <w:pPr>
              <w:keepNext/>
              <w:widowControl w:val="0"/>
              <w:spacing w:after="0" w:line="240" w:lineRule="auto"/>
              <w:jc w:val="center"/>
              <w:rPr>
                <w:rFonts w:asciiTheme="minorHAnsi" w:hAnsiTheme="minorHAnsi"/>
                <w:b w:val="0"/>
              </w:rPr>
            </w:pPr>
            <w:r>
              <w:rPr>
                <w:rFonts w:asciiTheme="minorHAnsi" w:hAnsiTheme="minorHAnsi"/>
                <w:b w:val="0"/>
              </w:rPr>
              <w:t>Monthly Rent ($)</w:t>
            </w:r>
          </w:p>
        </w:tc>
        <w:tc>
          <w:tcPr>
            <w:tcW w:w="1638" w:type="dxa"/>
          </w:tcPr>
          <w:p w14:paraId="5F438CBD"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Efficiency (no bedroom)</w:t>
            </w:r>
          </w:p>
        </w:tc>
        <w:tc>
          <w:tcPr>
            <w:tcW w:w="1347" w:type="dxa"/>
          </w:tcPr>
          <w:p w14:paraId="3D7B05CD"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1 Bedroom</w:t>
            </w:r>
          </w:p>
        </w:tc>
        <w:tc>
          <w:tcPr>
            <w:tcW w:w="1347" w:type="dxa"/>
          </w:tcPr>
          <w:p w14:paraId="339A6CD4"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2 Bedroom</w:t>
            </w:r>
          </w:p>
        </w:tc>
        <w:tc>
          <w:tcPr>
            <w:tcW w:w="1347" w:type="dxa"/>
          </w:tcPr>
          <w:p w14:paraId="464DD54F"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3 Bedroom</w:t>
            </w:r>
          </w:p>
        </w:tc>
        <w:tc>
          <w:tcPr>
            <w:tcW w:w="1347" w:type="dxa"/>
          </w:tcPr>
          <w:p w14:paraId="32FD1ECD"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4 Bedroom</w:t>
            </w:r>
          </w:p>
        </w:tc>
      </w:tr>
      <w:tr w:rsidR="00DC3841" w14:paraId="2D39DE3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B1F6AE0"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Fair Market Rent</w:t>
            </w:r>
          </w:p>
        </w:tc>
        <w:tc>
          <w:tcPr>
            <w:tcW w:w="1638" w:type="dxa"/>
          </w:tcPr>
          <w:p w14:paraId="3F53D72F"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539</w:t>
            </w:r>
          </w:p>
        </w:tc>
        <w:tc>
          <w:tcPr>
            <w:tcW w:w="1347" w:type="dxa"/>
          </w:tcPr>
          <w:p w14:paraId="0E730EAD"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632</w:t>
            </w:r>
          </w:p>
        </w:tc>
        <w:tc>
          <w:tcPr>
            <w:tcW w:w="1347" w:type="dxa"/>
          </w:tcPr>
          <w:p w14:paraId="6F06CC33"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811</w:t>
            </w:r>
          </w:p>
        </w:tc>
        <w:tc>
          <w:tcPr>
            <w:tcW w:w="1347" w:type="dxa"/>
          </w:tcPr>
          <w:p w14:paraId="72D4BA0F"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1,104</w:t>
            </w:r>
          </w:p>
        </w:tc>
        <w:tc>
          <w:tcPr>
            <w:tcW w:w="1347" w:type="dxa"/>
          </w:tcPr>
          <w:p w14:paraId="65F2C343"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1,275</w:t>
            </w:r>
          </w:p>
        </w:tc>
      </w:tr>
      <w:tr w:rsidR="00DC3841" w14:paraId="0E17DA32" w14:textId="77777777" w:rsidTr="007C520D">
        <w:tc>
          <w:tcPr>
            <w:cnfStyle w:val="001000000000" w:firstRow="0" w:lastRow="0" w:firstColumn="1" w:lastColumn="0" w:oddVBand="0" w:evenVBand="0" w:oddHBand="0" w:evenHBand="0" w:firstRowFirstColumn="0" w:firstRowLastColumn="0" w:lastRowFirstColumn="0" w:lastRowLastColumn="0"/>
            <w:tcW w:w="2552" w:type="dxa"/>
          </w:tcPr>
          <w:p w14:paraId="200FE8DC"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High HOME Rent</w:t>
            </w:r>
          </w:p>
        </w:tc>
        <w:tc>
          <w:tcPr>
            <w:tcW w:w="1638" w:type="dxa"/>
          </w:tcPr>
          <w:p w14:paraId="1D650ED3"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511</w:t>
            </w:r>
          </w:p>
        </w:tc>
        <w:tc>
          <w:tcPr>
            <w:tcW w:w="1347" w:type="dxa"/>
          </w:tcPr>
          <w:p w14:paraId="48F67265"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561</w:t>
            </w:r>
          </w:p>
        </w:tc>
        <w:tc>
          <w:tcPr>
            <w:tcW w:w="1347" w:type="dxa"/>
          </w:tcPr>
          <w:p w14:paraId="318F59F2"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721</w:t>
            </w:r>
          </w:p>
        </w:tc>
        <w:tc>
          <w:tcPr>
            <w:tcW w:w="1347" w:type="dxa"/>
          </w:tcPr>
          <w:p w14:paraId="637A56CE"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952</w:t>
            </w:r>
          </w:p>
        </w:tc>
        <w:tc>
          <w:tcPr>
            <w:tcW w:w="1347" w:type="dxa"/>
          </w:tcPr>
          <w:p w14:paraId="6760F806"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1,073</w:t>
            </w:r>
          </w:p>
        </w:tc>
      </w:tr>
      <w:tr w:rsidR="00DC3841" w14:paraId="2DD7E775"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41A65BD"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Low HOME Rent</w:t>
            </w:r>
          </w:p>
        </w:tc>
        <w:tc>
          <w:tcPr>
            <w:tcW w:w="1638" w:type="dxa"/>
          </w:tcPr>
          <w:p w14:paraId="43BDD8A1"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506</w:t>
            </w:r>
          </w:p>
        </w:tc>
        <w:tc>
          <w:tcPr>
            <w:tcW w:w="1347" w:type="dxa"/>
          </w:tcPr>
          <w:p w14:paraId="652C7193"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552</w:t>
            </w:r>
          </w:p>
        </w:tc>
        <w:tc>
          <w:tcPr>
            <w:tcW w:w="1347" w:type="dxa"/>
          </w:tcPr>
          <w:p w14:paraId="750E137A"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700</w:t>
            </w:r>
          </w:p>
        </w:tc>
        <w:tc>
          <w:tcPr>
            <w:tcW w:w="1347" w:type="dxa"/>
          </w:tcPr>
          <w:p w14:paraId="380E31EC"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824</w:t>
            </w:r>
          </w:p>
        </w:tc>
        <w:tc>
          <w:tcPr>
            <w:tcW w:w="1347" w:type="dxa"/>
          </w:tcPr>
          <w:p w14:paraId="139DF54B"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920</w:t>
            </w:r>
          </w:p>
        </w:tc>
      </w:tr>
    </w:tbl>
    <w:p w14:paraId="4ED74999" w14:textId="77777777" w:rsidR="00DC3841" w:rsidRPr="0075523F" w:rsidRDefault="00DC3841" w:rsidP="00DC3841">
      <w:pPr>
        <w:rPr>
          <w:rFonts w:asciiTheme="minorHAnsi" w:hAnsiTheme="minorHAnsi"/>
          <w:vanish/>
        </w:rPr>
      </w:pPr>
      <w:r w:rsidRPr="0075523F">
        <w:rPr>
          <w:rFonts w:asciiTheme="minorHAnsi" w:hAnsiTheme="minorHAnsi"/>
          <w:i/>
          <w:sz w:val="18"/>
        </w:rPr>
        <w:t>Source: HUD HOME Rents</w:t>
      </w:r>
      <w:r>
        <w:rPr>
          <w:rFonts w:asciiTheme="minorHAnsi" w:hAnsiTheme="minorHAnsi"/>
          <w:i/>
          <w:sz w:val="18"/>
        </w:rPr>
        <w:t xml:space="preserve"> (averaged at state level), National Low Income Housing Coalition</w:t>
      </w:r>
    </w:p>
    <w:p w14:paraId="4F6ED42E" w14:textId="77777777" w:rsidR="00DC3841" w:rsidRDefault="00DC3841" w:rsidP="00DC3841">
      <w:pPr>
        <w:spacing w:after="0" w:line="240" w:lineRule="auto"/>
        <w:rPr>
          <w:rFonts w:asciiTheme="minorHAnsi" w:hAnsiTheme="minorHAnsi"/>
        </w:rPr>
      </w:pPr>
    </w:p>
    <w:p w14:paraId="69CECB17" w14:textId="77777777" w:rsidR="00DC3841" w:rsidRPr="00D50971" w:rsidRDefault="00DC3841" w:rsidP="00DC3841">
      <w:pPr>
        <w:spacing w:after="0" w:line="240" w:lineRule="auto"/>
        <w:rPr>
          <w:rFonts w:asciiTheme="minorHAnsi" w:hAnsiTheme="minorHAnsi"/>
          <w:b/>
        </w:rPr>
      </w:pPr>
      <w:r w:rsidRPr="00392CFE">
        <w:rPr>
          <w:rFonts w:asciiTheme="minorHAnsi" w:hAnsiTheme="minorHAnsi"/>
          <w:b/>
          <w:sz w:val="24"/>
        </w:rPr>
        <w:t>Table 8 – Household Income by Tenure</w:t>
      </w:r>
    </w:p>
    <w:tbl>
      <w:tblPr>
        <w:tblStyle w:val="GridTable4-Accent1"/>
        <w:tblW w:w="9108" w:type="dxa"/>
        <w:tblLook w:val="04A0" w:firstRow="1" w:lastRow="0" w:firstColumn="1" w:lastColumn="0" w:noHBand="0" w:noVBand="1"/>
      </w:tblPr>
      <w:tblGrid>
        <w:gridCol w:w="2445"/>
        <w:gridCol w:w="1286"/>
        <w:gridCol w:w="787"/>
        <w:gridCol w:w="2430"/>
        <w:gridCol w:w="1350"/>
        <w:gridCol w:w="810"/>
      </w:tblGrid>
      <w:tr w:rsidR="00DC3841" w:rsidRPr="00D50971" w14:paraId="1E6AA749" w14:textId="77777777" w:rsidTr="007C520D">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445" w:type="dxa"/>
            <w:hideMark/>
          </w:tcPr>
          <w:p w14:paraId="3D521E27" w14:textId="77777777" w:rsidR="00DC3841" w:rsidRPr="00D50971" w:rsidRDefault="00DC3841" w:rsidP="007C520D">
            <w:pPr>
              <w:spacing w:after="0" w:line="240" w:lineRule="auto"/>
              <w:rPr>
                <w:rFonts w:asciiTheme="minorHAnsi" w:eastAsia="Times New Roman" w:hAnsiTheme="minorHAnsi" w:cstheme="minorHAnsi"/>
              </w:rPr>
            </w:pPr>
            <w:r w:rsidRPr="00D50971">
              <w:rPr>
                <w:rFonts w:asciiTheme="minorHAnsi" w:eastAsia="Times New Roman" w:hAnsiTheme="minorHAnsi" w:cstheme="minorHAnsi"/>
              </w:rPr>
              <w:t xml:space="preserve">  Renter occupied:</w:t>
            </w:r>
          </w:p>
        </w:tc>
        <w:tc>
          <w:tcPr>
            <w:tcW w:w="1286" w:type="dxa"/>
          </w:tcPr>
          <w:p w14:paraId="125B8E1F" w14:textId="77777777" w:rsidR="00DC3841" w:rsidRPr="00D50971" w:rsidRDefault="00DC3841" w:rsidP="007C520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Households</w:t>
            </w:r>
          </w:p>
        </w:tc>
        <w:tc>
          <w:tcPr>
            <w:tcW w:w="787" w:type="dxa"/>
            <w:tcBorders>
              <w:right w:val="double" w:sz="6" w:space="0" w:color="auto"/>
            </w:tcBorders>
            <w:hideMark/>
          </w:tcPr>
          <w:p w14:paraId="5D67E778" w14:textId="77777777" w:rsidR="00DC3841" w:rsidRPr="00D50971" w:rsidRDefault="00DC3841" w:rsidP="007C5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w:t>
            </w:r>
          </w:p>
        </w:tc>
        <w:tc>
          <w:tcPr>
            <w:tcW w:w="2430" w:type="dxa"/>
            <w:tcBorders>
              <w:left w:val="double" w:sz="6" w:space="0" w:color="auto"/>
            </w:tcBorders>
            <w:hideMark/>
          </w:tcPr>
          <w:p w14:paraId="7627C6E0" w14:textId="77777777" w:rsidR="00DC3841" w:rsidRPr="00D50971" w:rsidRDefault="00DC3841" w:rsidP="007C520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50971">
              <w:rPr>
                <w:rFonts w:asciiTheme="minorHAnsi" w:eastAsia="Times New Roman" w:hAnsiTheme="minorHAnsi" w:cstheme="minorHAnsi"/>
              </w:rPr>
              <w:t xml:space="preserve">  Owner occupied:</w:t>
            </w:r>
          </w:p>
        </w:tc>
        <w:tc>
          <w:tcPr>
            <w:tcW w:w="1350" w:type="dxa"/>
          </w:tcPr>
          <w:p w14:paraId="6F0568DF" w14:textId="77777777" w:rsidR="00DC3841" w:rsidRPr="00D50971" w:rsidRDefault="00DC3841" w:rsidP="007C520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Households</w:t>
            </w:r>
          </w:p>
        </w:tc>
        <w:tc>
          <w:tcPr>
            <w:tcW w:w="810" w:type="dxa"/>
            <w:hideMark/>
          </w:tcPr>
          <w:p w14:paraId="3D9529A0" w14:textId="77777777" w:rsidR="00DC3841" w:rsidRPr="00D50971" w:rsidRDefault="00DC3841" w:rsidP="007C52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D50971">
              <w:rPr>
                <w:rFonts w:asciiTheme="minorHAnsi" w:eastAsia="Times New Roman" w:hAnsiTheme="minorHAnsi" w:cstheme="minorHAnsi"/>
              </w:rPr>
              <w:t>%</w:t>
            </w:r>
          </w:p>
        </w:tc>
      </w:tr>
      <w:tr w:rsidR="00DC3841" w:rsidRPr="00D50971" w14:paraId="26730030" w14:textId="77777777" w:rsidTr="007C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7CA04BEB"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Less than $5,000</w:t>
            </w:r>
          </w:p>
        </w:tc>
        <w:tc>
          <w:tcPr>
            <w:tcW w:w="1286" w:type="dxa"/>
            <w:hideMark/>
          </w:tcPr>
          <w:p w14:paraId="2C8D839D"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22,584</w:t>
            </w:r>
          </w:p>
        </w:tc>
        <w:tc>
          <w:tcPr>
            <w:tcW w:w="787" w:type="dxa"/>
            <w:tcBorders>
              <w:right w:val="double" w:sz="6" w:space="0" w:color="auto"/>
            </w:tcBorders>
            <w:hideMark/>
          </w:tcPr>
          <w:p w14:paraId="4BFEE0A5"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6.0%</w:t>
            </w:r>
          </w:p>
        </w:tc>
        <w:tc>
          <w:tcPr>
            <w:tcW w:w="2430" w:type="dxa"/>
            <w:tcBorders>
              <w:left w:val="double" w:sz="6" w:space="0" w:color="auto"/>
            </w:tcBorders>
            <w:hideMark/>
          </w:tcPr>
          <w:p w14:paraId="0BFD0624" w14:textId="77777777" w:rsidR="00DC3841" w:rsidRPr="00D50971" w:rsidRDefault="00DC3841" w:rsidP="007C520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Less than $5,000</w:t>
            </w:r>
          </w:p>
        </w:tc>
        <w:tc>
          <w:tcPr>
            <w:tcW w:w="1350" w:type="dxa"/>
            <w:hideMark/>
          </w:tcPr>
          <w:p w14:paraId="04E151A6"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11,980</w:t>
            </w:r>
          </w:p>
        </w:tc>
        <w:tc>
          <w:tcPr>
            <w:tcW w:w="810" w:type="dxa"/>
            <w:hideMark/>
          </w:tcPr>
          <w:p w14:paraId="5305F41E"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1.6%</w:t>
            </w:r>
          </w:p>
        </w:tc>
      </w:tr>
      <w:tr w:rsidR="00DC3841" w:rsidRPr="00D50971" w14:paraId="2446EEC8" w14:textId="77777777" w:rsidTr="007C520D">
        <w:trPr>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24DAEA63"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$5,000 to $9,999</w:t>
            </w:r>
          </w:p>
        </w:tc>
        <w:tc>
          <w:tcPr>
            <w:tcW w:w="1286" w:type="dxa"/>
            <w:hideMark/>
          </w:tcPr>
          <w:p w14:paraId="7D5E8D3C"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25,183</w:t>
            </w:r>
          </w:p>
        </w:tc>
        <w:tc>
          <w:tcPr>
            <w:tcW w:w="787" w:type="dxa"/>
            <w:tcBorders>
              <w:right w:val="double" w:sz="6" w:space="0" w:color="auto"/>
            </w:tcBorders>
            <w:hideMark/>
          </w:tcPr>
          <w:p w14:paraId="2F5D3C9F"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6.7%</w:t>
            </w:r>
          </w:p>
        </w:tc>
        <w:tc>
          <w:tcPr>
            <w:tcW w:w="2430" w:type="dxa"/>
            <w:tcBorders>
              <w:left w:val="double" w:sz="6" w:space="0" w:color="auto"/>
            </w:tcBorders>
            <w:hideMark/>
          </w:tcPr>
          <w:p w14:paraId="26EB6320" w14:textId="77777777" w:rsidR="00DC3841" w:rsidRPr="00D50971" w:rsidRDefault="00DC3841" w:rsidP="007C520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$5,000 to $9,999</w:t>
            </w:r>
          </w:p>
        </w:tc>
        <w:tc>
          <w:tcPr>
            <w:tcW w:w="1350" w:type="dxa"/>
            <w:hideMark/>
          </w:tcPr>
          <w:p w14:paraId="2F46816B"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10,803</w:t>
            </w:r>
          </w:p>
        </w:tc>
        <w:tc>
          <w:tcPr>
            <w:tcW w:w="810" w:type="dxa"/>
            <w:hideMark/>
          </w:tcPr>
          <w:p w14:paraId="3EDFA197"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1.5%</w:t>
            </w:r>
          </w:p>
        </w:tc>
      </w:tr>
      <w:tr w:rsidR="00DC3841" w:rsidRPr="00D50971" w14:paraId="30E90B4F" w14:textId="77777777" w:rsidTr="007C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504328BA"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$10,000 to $14,999</w:t>
            </w:r>
          </w:p>
        </w:tc>
        <w:tc>
          <w:tcPr>
            <w:tcW w:w="1286" w:type="dxa"/>
            <w:hideMark/>
          </w:tcPr>
          <w:p w14:paraId="3B7E38A5"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33,882</w:t>
            </w:r>
          </w:p>
        </w:tc>
        <w:tc>
          <w:tcPr>
            <w:tcW w:w="787" w:type="dxa"/>
            <w:tcBorders>
              <w:right w:val="double" w:sz="6" w:space="0" w:color="auto"/>
            </w:tcBorders>
            <w:hideMark/>
          </w:tcPr>
          <w:p w14:paraId="744FD9F2"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9.0%</w:t>
            </w:r>
          </w:p>
        </w:tc>
        <w:tc>
          <w:tcPr>
            <w:tcW w:w="2430" w:type="dxa"/>
            <w:tcBorders>
              <w:left w:val="double" w:sz="6" w:space="0" w:color="auto"/>
            </w:tcBorders>
            <w:hideMark/>
          </w:tcPr>
          <w:p w14:paraId="3669081C" w14:textId="77777777" w:rsidR="00DC3841" w:rsidRPr="00D50971" w:rsidRDefault="00DC3841" w:rsidP="007C520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$10,000 to $14,999</w:t>
            </w:r>
          </w:p>
        </w:tc>
        <w:tc>
          <w:tcPr>
            <w:tcW w:w="1350" w:type="dxa"/>
            <w:hideMark/>
          </w:tcPr>
          <w:p w14:paraId="7668E2ED"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20,501</w:t>
            </w:r>
          </w:p>
        </w:tc>
        <w:tc>
          <w:tcPr>
            <w:tcW w:w="810" w:type="dxa"/>
            <w:hideMark/>
          </w:tcPr>
          <w:p w14:paraId="30D68640"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2.8%</w:t>
            </w:r>
          </w:p>
        </w:tc>
      </w:tr>
      <w:tr w:rsidR="00DC3841" w:rsidRPr="00D50971" w14:paraId="269E56F7" w14:textId="77777777" w:rsidTr="007C520D">
        <w:trPr>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7763A92B"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$15,000 to $19,999</w:t>
            </w:r>
          </w:p>
        </w:tc>
        <w:tc>
          <w:tcPr>
            <w:tcW w:w="1286" w:type="dxa"/>
            <w:hideMark/>
          </w:tcPr>
          <w:p w14:paraId="455DBDCC"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29,854</w:t>
            </w:r>
          </w:p>
        </w:tc>
        <w:tc>
          <w:tcPr>
            <w:tcW w:w="787" w:type="dxa"/>
            <w:tcBorders>
              <w:right w:val="double" w:sz="6" w:space="0" w:color="auto"/>
            </w:tcBorders>
            <w:hideMark/>
          </w:tcPr>
          <w:p w14:paraId="38471998"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8.0%</w:t>
            </w:r>
          </w:p>
        </w:tc>
        <w:tc>
          <w:tcPr>
            <w:tcW w:w="2430" w:type="dxa"/>
            <w:tcBorders>
              <w:left w:val="double" w:sz="6" w:space="0" w:color="auto"/>
            </w:tcBorders>
            <w:hideMark/>
          </w:tcPr>
          <w:p w14:paraId="1AADB7EF" w14:textId="77777777" w:rsidR="00DC3841" w:rsidRPr="00D50971" w:rsidRDefault="00DC3841" w:rsidP="007C520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$15,000 to $19,999</w:t>
            </w:r>
          </w:p>
        </w:tc>
        <w:tc>
          <w:tcPr>
            <w:tcW w:w="1350" w:type="dxa"/>
            <w:hideMark/>
          </w:tcPr>
          <w:p w14:paraId="15760BE4"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24,711</w:t>
            </w:r>
          </w:p>
        </w:tc>
        <w:tc>
          <w:tcPr>
            <w:tcW w:w="810" w:type="dxa"/>
            <w:hideMark/>
          </w:tcPr>
          <w:p w14:paraId="6CB2E8EA"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3.3%</w:t>
            </w:r>
          </w:p>
        </w:tc>
      </w:tr>
      <w:tr w:rsidR="00DC3841" w:rsidRPr="00D50971" w14:paraId="52B6852B" w14:textId="77777777" w:rsidTr="007C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237B023F"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$20,000 to $24,999</w:t>
            </w:r>
          </w:p>
        </w:tc>
        <w:tc>
          <w:tcPr>
            <w:tcW w:w="1286" w:type="dxa"/>
            <w:hideMark/>
          </w:tcPr>
          <w:p w14:paraId="4111ED6C"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30,596</w:t>
            </w:r>
          </w:p>
        </w:tc>
        <w:tc>
          <w:tcPr>
            <w:tcW w:w="787" w:type="dxa"/>
            <w:tcBorders>
              <w:right w:val="double" w:sz="6" w:space="0" w:color="auto"/>
            </w:tcBorders>
            <w:hideMark/>
          </w:tcPr>
          <w:p w14:paraId="67CE2D76"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8.1%</w:t>
            </w:r>
          </w:p>
        </w:tc>
        <w:tc>
          <w:tcPr>
            <w:tcW w:w="2430" w:type="dxa"/>
            <w:tcBorders>
              <w:left w:val="double" w:sz="6" w:space="0" w:color="auto"/>
            </w:tcBorders>
            <w:hideMark/>
          </w:tcPr>
          <w:p w14:paraId="6BB2F0EA" w14:textId="77777777" w:rsidR="00DC3841" w:rsidRPr="00D50971" w:rsidRDefault="00DC3841" w:rsidP="007C520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$20,000 to $24,999</w:t>
            </w:r>
          </w:p>
        </w:tc>
        <w:tc>
          <w:tcPr>
            <w:tcW w:w="1350" w:type="dxa"/>
            <w:hideMark/>
          </w:tcPr>
          <w:p w14:paraId="4AD1342C"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29,082</w:t>
            </w:r>
          </w:p>
        </w:tc>
        <w:tc>
          <w:tcPr>
            <w:tcW w:w="810" w:type="dxa"/>
            <w:hideMark/>
          </w:tcPr>
          <w:p w14:paraId="56CB5CDE"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3.9%</w:t>
            </w:r>
          </w:p>
        </w:tc>
      </w:tr>
      <w:tr w:rsidR="00DC3841" w:rsidRPr="00D50971" w14:paraId="69CD271E" w14:textId="77777777" w:rsidTr="007C520D">
        <w:trPr>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3F1F9844"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$25,000 to $34,999</w:t>
            </w:r>
          </w:p>
        </w:tc>
        <w:tc>
          <w:tcPr>
            <w:tcW w:w="1286" w:type="dxa"/>
            <w:hideMark/>
          </w:tcPr>
          <w:p w14:paraId="3A2133C8"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55,885</w:t>
            </w:r>
          </w:p>
        </w:tc>
        <w:tc>
          <w:tcPr>
            <w:tcW w:w="787" w:type="dxa"/>
            <w:tcBorders>
              <w:right w:val="double" w:sz="6" w:space="0" w:color="auto"/>
            </w:tcBorders>
            <w:hideMark/>
          </w:tcPr>
          <w:p w14:paraId="26CC59A6"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14.9%</w:t>
            </w:r>
          </w:p>
        </w:tc>
        <w:tc>
          <w:tcPr>
            <w:tcW w:w="2430" w:type="dxa"/>
            <w:tcBorders>
              <w:left w:val="double" w:sz="6" w:space="0" w:color="auto"/>
            </w:tcBorders>
            <w:hideMark/>
          </w:tcPr>
          <w:p w14:paraId="0897EE8E" w14:textId="77777777" w:rsidR="00DC3841" w:rsidRPr="00D50971" w:rsidRDefault="00DC3841" w:rsidP="007C520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$25,000 to $34,999</w:t>
            </w:r>
          </w:p>
        </w:tc>
        <w:tc>
          <w:tcPr>
            <w:tcW w:w="1350" w:type="dxa"/>
            <w:hideMark/>
          </w:tcPr>
          <w:p w14:paraId="47A7685F"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63,012</w:t>
            </w:r>
          </w:p>
        </w:tc>
        <w:tc>
          <w:tcPr>
            <w:tcW w:w="810" w:type="dxa"/>
            <w:hideMark/>
          </w:tcPr>
          <w:p w14:paraId="7C5BD37C"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8.5%</w:t>
            </w:r>
          </w:p>
        </w:tc>
      </w:tr>
      <w:tr w:rsidR="00DC3841" w:rsidRPr="00D50971" w14:paraId="0931025F" w14:textId="77777777" w:rsidTr="007C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7E629977"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$35,000 to $49,999</w:t>
            </w:r>
          </w:p>
        </w:tc>
        <w:tc>
          <w:tcPr>
            <w:tcW w:w="1286" w:type="dxa"/>
            <w:hideMark/>
          </w:tcPr>
          <w:p w14:paraId="27A655D4"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64,999</w:t>
            </w:r>
          </w:p>
        </w:tc>
        <w:tc>
          <w:tcPr>
            <w:tcW w:w="787" w:type="dxa"/>
            <w:tcBorders>
              <w:right w:val="double" w:sz="6" w:space="0" w:color="auto"/>
            </w:tcBorders>
            <w:hideMark/>
          </w:tcPr>
          <w:p w14:paraId="33377990"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17.3%</w:t>
            </w:r>
          </w:p>
        </w:tc>
        <w:tc>
          <w:tcPr>
            <w:tcW w:w="2430" w:type="dxa"/>
            <w:tcBorders>
              <w:left w:val="double" w:sz="6" w:space="0" w:color="auto"/>
            </w:tcBorders>
            <w:hideMark/>
          </w:tcPr>
          <w:p w14:paraId="723F5117" w14:textId="77777777" w:rsidR="00DC3841" w:rsidRPr="00D50971" w:rsidRDefault="00DC3841" w:rsidP="007C520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$35,000 to $49,999</w:t>
            </w:r>
          </w:p>
        </w:tc>
        <w:tc>
          <w:tcPr>
            <w:tcW w:w="1350" w:type="dxa"/>
            <w:hideMark/>
          </w:tcPr>
          <w:p w14:paraId="0216E003"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96,628</w:t>
            </w:r>
          </w:p>
        </w:tc>
        <w:tc>
          <w:tcPr>
            <w:tcW w:w="810" w:type="dxa"/>
            <w:hideMark/>
          </w:tcPr>
          <w:p w14:paraId="429C81EC"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13.1%</w:t>
            </w:r>
          </w:p>
        </w:tc>
      </w:tr>
      <w:tr w:rsidR="00DC3841" w:rsidRPr="00D50971" w14:paraId="6ED185A4" w14:textId="77777777" w:rsidTr="007C520D">
        <w:trPr>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3834B381"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$50,000 to $74,999</w:t>
            </w:r>
          </w:p>
        </w:tc>
        <w:tc>
          <w:tcPr>
            <w:tcW w:w="1286" w:type="dxa"/>
            <w:hideMark/>
          </w:tcPr>
          <w:p w14:paraId="58D73028"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61,882</w:t>
            </w:r>
          </w:p>
        </w:tc>
        <w:tc>
          <w:tcPr>
            <w:tcW w:w="787" w:type="dxa"/>
            <w:tcBorders>
              <w:right w:val="double" w:sz="6" w:space="0" w:color="auto"/>
            </w:tcBorders>
            <w:hideMark/>
          </w:tcPr>
          <w:p w14:paraId="525F55A2"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16.5%</w:t>
            </w:r>
          </w:p>
        </w:tc>
        <w:tc>
          <w:tcPr>
            <w:tcW w:w="2430" w:type="dxa"/>
            <w:tcBorders>
              <w:left w:val="double" w:sz="6" w:space="0" w:color="auto"/>
            </w:tcBorders>
            <w:hideMark/>
          </w:tcPr>
          <w:p w14:paraId="2E64FF4B" w14:textId="77777777" w:rsidR="00DC3841" w:rsidRPr="00D50971" w:rsidRDefault="00DC3841" w:rsidP="007C520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$50,000 to $74,999</w:t>
            </w:r>
          </w:p>
        </w:tc>
        <w:tc>
          <w:tcPr>
            <w:tcW w:w="1350" w:type="dxa"/>
            <w:hideMark/>
          </w:tcPr>
          <w:p w14:paraId="73A2B91C"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154,057</w:t>
            </w:r>
          </w:p>
        </w:tc>
        <w:tc>
          <w:tcPr>
            <w:tcW w:w="810" w:type="dxa"/>
            <w:hideMark/>
          </w:tcPr>
          <w:p w14:paraId="44A45158"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20.8%</w:t>
            </w:r>
          </w:p>
        </w:tc>
      </w:tr>
      <w:tr w:rsidR="00DC3841" w:rsidRPr="00D50971" w14:paraId="3B55B3BC" w14:textId="77777777" w:rsidTr="007C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7700DB43"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$75,000 to $99,999</w:t>
            </w:r>
          </w:p>
        </w:tc>
        <w:tc>
          <w:tcPr>
            <w:tcW w:w="1286" w:type="dxa"/>
            <w:hideMark/>
          </w:tcPr>
          <w:p w14:paraId="76E88EC0"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27,173</w:t>
            </w:r>
          </w:p>
        </w:tc>
        <w:tc>
          <w:tcPr>
            <w:tcW w:w="787" w:type="dxa"/>
            <w:tcBorders>
              <w:right w:val="double" w:sz="6" w:space="0" w:color="auto"/>
            </w:tcBorders>
            <w:hideMark/>
          </w:tcPr>
          <w:p w14:paraId="52B94DDD"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7.2%</w:t>
            </w:r>
          </w:p>
        </w:tc>
        <w:tc>
          <w:tcPr>
            <w:tcW w:w="2430" w:type="dxa"/>
            <w:tcBorders>
              <w:left w:val="double" w:sz="6" w:space="0" w:color="auto"/>
            </w:tcBorders>
            <w:hideMark/>
          </w:tcPr>
          <w:p w14:paraId="29ED09B4" w14:textId="77777777" w:rsidR="00DC3841" w:rsidRPr="00D50971" w:rsidRDefault="00DC3841" w:rsidP="007C520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$75,000 to $99,999</w:t>
            </w:r>
          </w:p>
        </w:tc>
        <w:tc>
          <w:tcPr>
            <w:tcW w:w="1350" w:type="dxa"/>
            <w:hideMark/>
          </w:tcPr>
          <w:p w14:paraId="0599FFE2"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114,069</w:t>
            </w:r>
          </w:p>
        </w:tc>
        <w:tc>
          <w:tcPr>
            <w:tcW w:w="810" w:type="dxa"/>
            <w:hideMark/>
          </w:tcPr>
          <w:p w14:paraId="7FFA2B22"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15.4%</w:t>
            </w:r>
          </w:p>
        </w:tc>
      </w:tr>
      <w:tr w:rsidR="00DC3841" w:rsidRPr="00D50971" w14:paraId="3FC9EB2E" w14:textId="77777777" w:rsidTr="007C520D">
        <w:trPr>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61DCFADA"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$100,000 to $149,999</w:t>
            </w:r>
          </w:p>
        </w:tc>
        <w:tc>
          <w:tcPr>
            <w:tcW w:w="1286" w:type="dxa"/>
            <w:hideMark/>
          </w:tcPr>
          <w:p w14:paraId="759068F0"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16,983</w:t>
            </w:r>
          </w:p>
        </w:tc>
        <w:tc>
          <w:tcPr>
            <w:tcW w:w="787" w:type="dxa"/>
            <w:tcBorders>
              <w:right w:val="double" w:sz="6" w:space="0" w:color="auto"/>
            </w:tcBorders>
            <w:hideMark/>
          </w:tcPr>
          <w:p w14:paraId="4016C708"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4.5%</w:t>
            </w:r>
          </w:p>
        </w:tc>
        <w:tc>
          <w:tcPr>
            <w:tcW w:w="2430" w:type="dxa"/>
            <w:tcBorders>
              <w:left w:val="double" w:sz="6" w:space="0" w:color="auto"/>
            </w:tcBorders>
            <w:hideMark/>
          </w:tcPr>
          <w:p w14:paraId="44DE63E2" w14:textId="77777777" w:rsidR="00DC3841" w:rsidRPr="00D50971" w:rsidRDefault="00DC3841" w:rsidP="007C520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$100,000 to $149,999</w:t>
            </w:r>
          </w:p>
        </w:tc>
        <w:tc>
          <w:tcPr>
            <w:tcW w:w="1350" w:type="dxa"/>
            <w:hideMark/>
          </w:tcPr>
          <w:p w14:paraId="22AAB71C"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129,564</w:t>
            </w:r>
          </w:p>
        </w:tc>
        <w:tc>
          <w:tcPr>
            <w:tcW w:w="810" w:type="dxa"/>
            <w:hideMark/>
          </w:tcPr>
          <w:p w14:paraId="0A3F7721"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17.5%</w:t>
            </w:r>
          </w:p>
        </w:tc>
      </w:tr>
      <w:tr w:rsidR="00DC3841" w:rsidRPr="00D50971" w14:paraId="1A05E82D" w14:textId="77777777" w:rsidTr="007C520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45" w:type="dxa"/>
            <w:hideMark/>
          </w:tcPr>
          <w:p w14:paraId="40501469" w14:textId="77777777" w:rsidR="00DC3841" w:rsidRPr="00D50971" w:rsidRDefault="00DC3841" w:rsidP="007C520D">
            <w:pPr>
              <w:spacing w:after="0" w:line="240" w:lineRule="auto"/>
              <w:rPr>
                <w:rFonts w:asciiTheme="minorHAnsi" w:eastAsia="Times New Roman" w:hAnsiTheme="minorHAnsi" w:cstheme="minorHAnsi"/>
                <w:b w:val="0"/>
                <w:color w:val="000000"/>
              </w:rPr>
            </w:pPr>
            <w:r w:rsidRPr="00D50971">
              <w:rPr>
                <w:rFonts w:asciiTheme="minorHAnsi" w:eastAsia="Times New Roman" w:hAnsiTheme="minorHAnsi" w:cstheme="minorHAnsi"/>
                <w:b w:val="0"/>
                <w:color w:val="000000"/>
              </w:rPr>
              <w:t xml:space="preserve">    $150,000 or more</w:t>
            </w:r>
          </w:p>
        </w:tc>
        <w:tc>
          <w:tcPr>
            <w:tcW w:w="1286" w:type="dxa"/>
            <w:hideMark/>
          </w:tcPr>
          <w:p w14:paraId="5B2BCBAC"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6,494</w:t>
            </w:r>
          </w:p>
        </w:tc>
        <w:tc>
          <w:tcPr>
            <w:tcW w:w="787" w:type="dxa"/>
            <w:tcBorders>
              <w:right w:val="double" w:sz="6" w:space="0" w:color="auto"/>
            </w:tcBorders>
            <w:hideMark/>
          </w:tcPr>
          <w:p w14:paraId="3A3162EC"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1.7%</w:t>
            </w:r>
          </w:p>
        </w:tc>
        <w:tc>
          <w:tcPr>
            <w:tcW w:w="2430" w:type="dxa"/>
            <w:tcBorders>
              <w:left w:val="double" w:sz="6" w:space="0" w:color="auto"/>
            </w:tcBorders>
            <w:hideMark/>
          </w:tcPr>
          <w:p w14:paraId="13ACBE9F" w14:textId="77777777" w:rsidR="00DC3841" w:rsidRPr="00D50971" w:rsidRDefault="00DC3841" w:rsidP="007C520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 xml:space="preserve">    $150,000 or more</w:t>
            </w:r>
          </w:p>
        </w:tc>
        <w:tc>
          <w:tcPr>
            <w:tcW w:w="1350" w:type="dxa"/>
            <w:hideMark/>
          </w:tcPr>
          <w:p w14:paraId="651986CB"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85,936</w:t>
            </w:r>
          </w:p>
        </w:tc>
        <w:tc>
          <w:tcPr>
            <w:tcW w:w="810" w:type="dxa"/>
            <w:hideMark/>
          </w:tcPr>
          <w:p w14:paraId="1F54F9F5" w14:textId="77777777" w:rsidR="00DC3841" w:rsidRPr="00D50971" w:rsidRDefault="00DC3841" w:rsidP="007C520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D50971">
              <w:rPr>
                <w:rFonts w:asciiTheme="minorHAnsi" w:eastAsia="Times New Roman" w:hAnsiTheme="minorHAnsi" w:cstheme="minorHAnsi"/>
                <w:color w:val="000000"/>
              </w:rPr>
              <w:t>11.6%</w:t>
            </w:r>
          </w:p>
        </w:tc>
      </w:tr>
      <w:tr w:rsidR="00DC3841" w:rsidRPr="00D50971" w14:paraId="46A089D1" w14:textId="77777777" w:rsidTr="007C520D">
        <w:trPr>
          <w:trHeight w:val="305"/>
        </w:trPr>
        <w:tc>
          <w:tcPr>
            <w:cnfStyle w:val="001000000000" w:firstRow="0" w:lastRow="0" w:firstColumn="1" w:lastColumn="0" w:oddVBand="0" w:evenVBand="0" w:oddHBand="0" w:evenHBand="0" w:firstRowFirstColumn="0" w:firstRowLastColumn="0" w:lastRowFirstColumn="0" w:lastRowLastColumn="0"/>
            <w:tcW w:w="2445" w:type="dxa"/>
          </w:tcPr>
          <w:p w14:paraId="6FA8B45A" w14:textId="77777777" w:rsidR="00DC3841" w:rsidRPr="00D50971" w:rsidRDefault="00DC3841" w:rsidP="007C520D">
            <w:pPr>
              <w:spacing w:after="0" w:line="240" w:lineRule="auto"/>
              <w:rPr>
                <w:rFonts w:asciiTheme="minorHAnsi" w:eastAsia="Times New Roman" w:hAnsiTheme="minorHAnsi" w:cstheme="minorHAnsi"/>
                <w:b w:val="0"/>
                <w:color w:val="000000"/>
              </w:rPr>
            </w:pPr>
            <w:r>
              <w:rPr>
                <w:rFonts w:asciiTheme="minorHAnsi" w:eastAsia="Times New Roman" w:hAnsiTheme="minorHAnsi" w:cstheme="minorHAnsi"/>
                <w:b w:val="0"/>
                <w:color w:val="000000"/>
              </w:rPr>
              <w:t>Total</w:t>
            </w:r>
          </w:p>
        </w:tc>
        <w:tc>
          <w:tcPr>
            <w:tcW w:w="1286" w:type="dxa"/>
          </w:tcPr>
          <w:p w14:paraId="361BCEC4"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375,515</w:t>
            </w:r>
          </w:p>
        </w:tc>
        <w:tc>
          <w:tcPr>
            <w:tcW w:w="787" w:type="dxa"/>
            <w:tcBorders>
              <w:right w:val="double" w:sz="6" w:space="0" w:color="auto"/>
            </w:tcBorders>
          </w:tcPr>
          <w:p w14:paraId="63D80899"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100%</w:t>
            </w:r>
          </w:p>
        </w:tc>
        <w:tc>
          <w:tcPr>
            <w:tcW w:w="2430" w:type="dxa"/>
            <w:tcBorders>
              <w:left w:val="double" w:sz="6" w:space="0" w:color="auto"/>
            </w:tcBorders>
          </w:tcPr>
          <w:p w14:paraId="71CEB5CA" w14:textId="77777777" w:rsidR="00DC3841" w:rsidRPr="00D50971" w:rsidRDefault="00DC3841" w:rsidP="007C520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Total</w:t>
            </w:r>
          </w:p>
        </w:tc>
        <w:tc>
          <w:tcPr>
            <w:tcW w:w="1350" w:type="dxa"/>
          </w:tcPr>
          <w:p w14:paraId="2220E8EA"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740,343</w:t>
            </w:r>
          </w:p>
        </w:tc>
        <w:tc>
          <w:tcPr>
            <w:tcW w:w="810" w:type="dxa"/>
          </w:tcPr>
          <w:p w14:paraId="63942D73" w14:textId="77777777" w:rsidR="00DC3841" w:rsidRPr="00D50971" w:rsidRDefault="00DC3841" w:rsidP="007C520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Pr>
                <w:rFonts w:asciiTheme="minorHAnsi" w:eastAsia="Times New Roman" w:hAnsiTheme="minorHAnsi" w:cstheme="minorHAnsi"/>
                <w:color w:val="000000"/>
              </w:rPr>
              <w:t>100%</w:t>
            </w:r>
          </w:p>
        </w:tc>
      </w:tr>
    </w:tbl>
    <w:p w14:paraId="17D3E621" w14:textId="77777777" w:rsidR="00DC3841" w:rsidRPr="007D015C" w:rsidRDefault="00DC3841" w:rsidP="00DC3841">
      <w:pPr>
        <w:spacing w:after="0" w:line="240" w:lineRule="auto"/>
        <w:rPr>
          <w:rFonts w:asciiTheme="minorHAnsi" w:hAnsiTheme="minorHAnsi"/>
          <w:i/>
          <w:sz w:val="18"/>
        </w:rPr>
      </w:pPr>
      <w:r>
        <w:rPr>
          <w:rFonts w:asciiTheme="minorHAnsi" w:hAnsiTheme="minorHAnsi"/>
          <w:i/>
          <w:sz w:val="18"/>
        </w:rPr>
        <w:t>Source: 2012-2016 ACS (Table B25118)</w:t>
      </w:r>
    </w:p>
    <w:p w14:paraId="3730333D" w14:textId="77777777" w:rsidR="00DC3841" w:rsidRDefault="00DC3841" w:rsidP="00DC3841">
      <w:pPr>
        <w:spacing w:after="0" w:line="240" w:lineRule="auto"/>
        <w:rPr>
          <w:rFonts w:asciiTheme="minorHAnsi" w:hAnsiTheme="minorHAnsi"/>
        </w:rPr>
      </w:pPr>
    </w:p>
    <w:p w14:paraId="4F2A8E4A" w14:textId="77777777" w:rsidR="00DC3841" w:rsidRDefault="00DC3841" w:rsidP="00DC3841">
      <w:pPr>
        <w:rPr>
          <w:rFonts w:asciiTheme="minorHAnsi" w:hAnsiTheme="minorHAnsi"/>
          <w:b/>
          <w:sz w:val="24"/>
        </w:rPr>
      </w:pPr>
      <w:r>
        <w:rPr>
          <w:rFonts w:asciiTheme="minorHAnsi" w:hAnsiTheme="minorHAnsi"/>
          <w:b/>
          <w:sz w:val="24"/>
        </w:rPr>
        <w:t>Is there sufficient housing for households at all income levels?</w:t>
      </w:r>
    </w:p>
    <w:p w14:paraId="2EA192A3" w14:textId="77777777" w:rsidR="00DC3841" w:rsidRDefault="00DC3841" w:rsidP="00DC3841">
      <w:pPr>
        <w:rPr>
          <w:rFonts w:asciiTheme="minorHAnsi" w:hAnsiTheme="minorHAnsi"/>
          <w:sz w:val="24"/>
        </w:rPr>
      </w:pPr>
      <w:r>
        <w:rPr>
          <w:rFonts w:asciiTheme="minorHAnsi" w:hAnsiTheme="minorHAnsi"/>
          <w:sz w:val="24"/>
        </w:rPr>
        <w:t xml:space="preserve">Housing in Kansas is affordable for the majority of the population. The estimated median household income of $53,571 in 2016, would allow for housing costing $1,339/month to be affordable. 94% of Kansan households pay $1,499/month or less for their housing, which indicates that a household with income of $1,339/month would find affordable housing options in nearly all areas of Kansas. </w:t>
      </w:r>
    </w:p>
    <w:p w14:paraId="07834452" w14:textId="77777777" w:rsidR="00DC3841" w:rsidRDefault="00DC3841" w:rsidP="00DC3841">
      <w:pPr>
        <w:rPr>
          <w:rFonts w:asciiTheme="minorHAnsi" w:hAnsiTheme="minorHAnsi"/>
          <w:sz w:val="24"/>
        </w:rPr>
      </w:pPr>
      <w:r>
        <w:rPr>
          <w:rFonts w:asciiTheme="minorHAnsi" w:hAnsiTheme="minorHAnsi"/>
          <w:sz w:val="24"/>
        </w:rPr>
        <w:t xml:space="preserve">However, there is a large discrepancy in household income comparing renter households to owner households. According to Census data, of all renter households in 2016, 70% earned less than $50,000, while 65.3% of owner households earned $50,000 or more annually. A further breakdown comparing renter households to owner households identifies that 9% of owner households earn less than $20,000 annually, while 30% of renter households earn less than $20,000 annually. </w:t>
      </w:r>
    </w:p>
    <w:p w14:paraId="51E0ADBE" w14:textId="77777777" w:rsidR="00DC3841" w:rsidRDefault="00DC3841" w:rsidP="00DC3841">
      <w:pPr>
        <w:rPr>
          <w:rFonts w:asciiTheme="minorHAnsi" w:hAnsiTheme="minorHAnsi"/>
          <w:sz w:val="24"/>
        </w:rPr>
      </w:pPr>
      <w:r>
        <w:rPr>
          <w:rFonts w:asciiTheme="minorHAnsi" w:hAnsiTheme="minorHAnsi"/>
          <w:sz w:val="24"/>
        </w:rPr>
        <w:t xml:space="preserve">As indicated in Table 6 above, there are few affordable housing options for those renter households earning 30% of HAMFI or less. Although owner households are not cost burdened at a rate as high as renter households, there are fewer affordable housing options for both renter and owner households as income decreases. </w:t>
      </w:r>
    </w:p>
    <w:p w14:paraId="33763574" w14:textId="77777777" w:rsidR="00DC3841" w:rsidRPr="00CA4D37" w:rsidRDefault="00DC3841" w:rsidP="00DC3841">
      <w:pPr>
        <w:rPr>
          <w:rFonts w:asciiTheme="minorHAnsi" w:hAnsiTheme="minorHAnsi"/>
          <w:sz w:val="24"/>
        </w:rPr>
      </w:pPr>
      <w:r>
        <w:rPr>
          <w:rFonts w:asciiTheme="minorHAnsi" w:hAnsiTheme="minorHAnsi"/>
          <w:sz w:val="24"/>
        </w:rPr>
        <w:t xml:space="preserve">Harvard’s Joint Center for Housing Studies, composed a 2017 Rental Housing profile. The study indicates that in more urbanized areas with tight housing markets driven mostly by labor demand, high-end rental units have become relatively saturated. Because private market housing has focused on this income bracket so much, lower-income rental units have increasingly failed to meet demand. Creation and preservation of rental housing for households with income at or below 80% of the AMI will need to be a focus for long-term housing stability in all areas of Kansas.  </w:t>
      </w:r>
    </w:p>
    <w:p w14:paraId="58ED7E67" w14:textId="77777777" w:rsidR="00DC3841" w:rsidRDefault="00DC3841" w:rsidP="00DC3841">
      <w:pPr>
        <w:rPr>
          <w:rFonts w:asciiTheme="minorHAnsi" w:hAnsiTheme="minorHAnsi"/>
          <w:b/>
          <w:sz w:val="24"/>
        </w:rPr>
      </w:pPr>
      <w:r>
        <w:rPr>
          <w:rFonts w:asciiTheme="minorHAnsi" w:hAnsiTheme="minorHAnsi"/>
          <w:b/>
          <w:sz w:val="24"/>
        </w:rPr>
        <w:t>How is affordability of housing likely to change considering changes to home values and/or rents?</w:t>
      </w:r>
    </w:p>
    <w:p w14:paraId="2A171866" w14:textId="527AD399" w:rsidR="00DC3841" w:rsidRPr="00BB711A" w:rsidRDefault="00DC3841" w:rsidP="00DC3841">
      <w:pPr>
        <w:rPr>
          <w:rFonts w:asciiTheme="minorHAnsi" w:hAnsiTheme="minorHAnsi"/>
          <w:sz w:val="24"/>
        </w:rPr>
      </w:pPr>
      <w:r>
        <w:rPr>
          <w:rFonts w:asciiTheme="minorHAnsi" w:hAnsiTheme="minorHAnsi"/>
          <w:sz w:val="24"/>
        </w:rPr>
        <w:t>Changes in housing affordability in Kansas will vary from region to region. Metropolitan areas where growth is projected, where the demand for labor and housing will increase, will likely see affordable housing options decrease as population increases. An overall trend in the state shows an increase in both home values and contract rent prices – there is no immediate reason</w:t>
      </w:r>
      <w:r w:rsidR="00901D68">
        <w:rPr>
          <w:rFonts w:asciiTheme="minorHAnsi" w:hAnsiTheme="minorHAnsi"/>
          <w:sz w:val="24"/>
        </w:rPr>
        <w:t xml:space="preserve"> or data</w:t>
      </w:r>
      <w:r>
        <w:rPr>
          <w:rFonts w:asciiTheme="minorHAnsi" w:hAnsiTheme="minorHAnsi"/>
          <w:sz w:val="24"/>
        </w:rPr>
        <w:t xml:space="preserve"> to expect that this trend will end. Without a matched increase in wages and earning, affordability of housing is expected to decrease. </w:t>
      </w:r>
    </w:p>
    <w:p w14:paraId="530FD8DF" w14:textId="77777777" w:rsidR="00DC3841" w:rsidRDefault="00DC3841" w:rsidP="00DC3841">
      <w:pPr>
        <w:rPr>
          <w:rFonts w:asciiTheme="minorHAnsi" w:hAnsiTheme="minorHAnsi"/>
          <w:b/>
          <w:sz w:val="24"/>
        </w:rPr>
      </w:pPr>
      <w:r>
        <w:rPr>
          <w:rFonts w:asciiTheme="minorHAnsi" w:hAnsiTheme="minorHAnsi"/>
          <w:b/>
          <w:sz w:val="24"/>
        </w:rPr>
        <w:t>How do HOME rents / Fair Market Rent compare to Area Median Rent? How might this impact your strategy to produce or preserve affordable housing?</w:t>
      </w:r>
    </w:p>
    <w:p w14:paraId="21FFB85B" w14:textId="77777777" w:rsidR="00DC3841" w:rsidRDefault="00DC3841" w:rsidP="00DC3841">
      <w:pPr>
        <w:spacing w:line="204" w:lineRule="auto"/>
        <w:rPr>
          <w:rFonts w:asciiTheme="minorHAnsi" w:hAnsiTheme="minorHAnsi"/>
          <w:b/>
          <w:sz w:val="24"/>
        </w:rPr>
      </w:pPr>
    </w:p>
    <w:p w14:paraId="6A5050A0" w14:textId="77777777" w:rsidR="00DC3841" w:rsidRPr="00D57E2F" w:rsidRDefault="00DC3841" w:rsidP="00DC3841">
      <w:pPr>
        <w:pStyle w:val="Heading2"/>
        <w:shd w:val="clear" w:color="auto" w:fill="95B3D7" w:themeFill="accent1" w:themeFillTint="99"/>
        <w:rPr>
          <w:rFonts w:ascii="Calibri" w:hAnsi="Calibri"/>
          <w:i w:val="0"/>
        </w:rPr>
      </w:pPr>
      <w:bookmarkStart w:id="37" w:name="_Toc524603022"/>
      <w:r>
        <w:rPr>
          <w:rFonts w:ascii="Calibri" w:hAnsi="Calibri"/>
          <w:i w:val="0"/>
        </w:rPr>
        <w:t xml:space="preserve">MA-20 </w:t>
      </w:r>
      <w:r>
        <w:rPr>
          <w:rFonts w:asciiTheme="minorHAnsi" w:hAnsiTheme="minorHAnsi"/>
          <w:i w:val="0"/>
        </w:rPr>
        <w:t>Condition of Housing – 91.310(a)</w:t>
      </w:r>
      <w:bookmarkEnd w:id="37"/>
    </w:p>
    <w:p w14:paraId="2631F49A" w14:textId="77777777" w:rsidR="00DC3841" w:rsidRDefault="00DC3841" w:rsidP="00DC3841">
      <w:pPr>
        <w:rPr>
          <w:rFonts w:asciiTheme="minorHAnsi" w:hAnsiTheme="minorHAnsi"/>
          <w:b/>
          <w:sz w:val="24"/>
        </w:rPr>
      </w:pPr>
      <w:r>
        <w:rPr>
          <w:rFonts w:asciiTheme="minorHAnsi" w:hAnsiTheme="minorHAnsi"/>
          <w:b/>
          <w:sz w:val="24"/>
        </w:rPr>
        <w:t>Definitions</w:t>
      </w:r>
    </w:p>
    <w:p w14:paraId="65816FB1" w14:textId="77777777" w:rsidR="00DC3841" w:rsidRPr="00D57E2F" w:rsidRDefault="00DC3841" w:rsidP="00DC3841">
      <w:pPr>
        <w:pStyle w:val="Default"/>
        <w:spacing w:line="276" w:lineRule="auto"/>
        <w:contextualSpacing/>
        <w:rPr>
          <w:rFonts w:asciiTheme="minorHAnsi" w:hAnsiTheme="minorHAnsi" w:cstheme="minorHAnsi"/>
        </w:rPr>
      </w:pPr>
      <w:r w:rsidRPr="00D57E2F">
        <w:rPr>
          <w:rFonts w:asciiTheme="minorHAnsi" w:hAnsiTheme="minorHAnsi" w:cstheme="minorHAnsi"/>
        </w:rPr>
        <w:t>Substandard Condition: no major structural defects, adequate plumbing facilities and an appearance which does not create a blighting influence.</w:t>
      </w:r>
    </w:p>
    <w:p w14:paraId="31A6B889" w14:textId="77777777" w:rsidR="00DC3841" w:rsidRPr="00D57E2F" w:rsidRDefault="00DC3841" w:rsidP="00DC3841">
      <w:pPr>
        <w:pStyle w:val="Default"/>
        <w:spacing w:line="276" w:lineRule="auto"/>
        <w:contextualSpacing/>
        <w:rPr>
          <w:rFonts w:asciiTheme="minorHAnsi" w:hAnsiTheme="minorHAnsi" w:cstheme="minorHAnsi"/>
        </w:rPr>
      </w:pPr>
    </w:p>
    <w:p w14:paraId="64023470" w14:textId="77777777" w:rsidR="00DC3841" w:rsidRPr="00D57E2F" w:rsidRDefault="00DC3841" w:rsidP="00DC3841">
      <w:pPr>
        <w:pStyle w:val="Default"/>
        <w:spacing w:line="276" w:lineRule="auto"/>
        <w:contextualSpacing/>
        <w:rPr>
          <w:rFonts w:asciiTheme="minorHAnsi" w:hAnsiTheme="minorHAnsi" w:cstheme="minorHAnsi"/>
        </w:rPr>
      </w:pPr>
      <w:r w:rsidRPr="00D57E2F">
        <w:rPr>
          <w:rFonts w:asciiTheme="minorHAnsi" w:hAnsiTheme="minorHAnsi" w:cstheme="minorHAnsi"/>
        </w:rPr>
        <w:t xml:space="preserve">Substandard Condition </w:t>
      </w:r>
      <w:r>
        <w:rPr>
          <w:rFonts w:asciiTheme="minorHAnsi" w:hAnsiTheme="minorHAnsi" w:cstheme="minorHAnsi"/>
        </w:rPr>
        <w:t>b</w:t>
      </w:r>
      <w:r w:rsidRPr="00D57E2F">
        <w:rPr>
          <w:rFonts w:asciiTheme="minorHAnsi" w:hAnsiTheme="minorHAnsi" w:cstheme="minorHAnsi"/>
        </w:rPr>
        <w:t xml:space="preserve">ut Suitable for Rehabilitation: The nature of the substandard condition is both financially and structurally feasible for rehabilitation. </w:t>
      </w:r>
    </w:p>
    <w:p w14:paraId="43A29044" w14:textId="77777777" w:rsidR="00DC3841" w:rsidRPr="00D57E2F" w:rsidRDefault="00DC3841" w:rsidP="00DC3841">
      <w:pPr>
        <w:pStyle w:val="Default"/>
        <w:spacing w:line="276" w:lineRule="auto"/>
        <w:contextualSpacing/>
        <w:rPr>
          <w:rFonts w:asciiTheme="minorHAnsi" w:hAnsiTheme="minorHAnsi" w:cstheme="minorHAnsi"/>
        </w:rPr>
      </w:pPr>
    </w:p>
    <w:p w14:paraId="4E8569E7" w14:textId="77777777" w:rsidR="00DC3841" w:rsidRPr="00D57E2F" w:rsidRDefault="00DC3841" w:rsidP="00DC3841">
      <w:pPr>
        <w:pStyle w:val="Default"/>
        <w:spacing w:line="276" w:lineRule="auto"/>
        <w:contextualSpacing/>
        <w:rPr>
          <w:rFonts w:asciiTheme="minorHAnsi" w:hAnsiTheme="minorHAnsi" w:cstheme="minorHAnsi"/>
        </w:rPr>
      </w:pPr>
      <w:r w:rsidRPr="00D57E2F">
        <w:rPr>
          <w:rFonts w:asciiTheme="minorHAnsi" w:hAnsiTheme="minorHAnsi" w:cstheme="minorHAnsi"/>
        </w:rPr>
        <w:t xml:space="preserve">The definition of substandard condition but suitable for rehabilitation may also include a quantifiable standard such as a dwelling in which the deficiencies are limited in number and magnitude such that the cost of rehabilitation would not exceed 50% of the replacement cost of the dwelling. Examples of minor repairs may include disability access, lead-based paint remediation, foundation repair, wall repair, window/ door replacements, electrical repair, and/ or roof repair. </w:t>
      </w:r>
    </w:p>
    <w:p w14:paraId="6F3C9DA7" w14:textId="77777777" w:rsidR="00DC3841" w:rsidRPr="00D57E2F" w:rsidRDefault="00DC3841" w:rsidP="00DC3841">
      <w:pPr>
        <w:pStyle w:val="Default"/>
        <w:spacing w:line="276" w:lineRule="auto"/>
        <w:contextualSpacing/>
        <w:rPr>
          <w:rFonts w:asciiTheme="minorHAnsi" w:hAnsiTheme="minorHAnsi" w:cstheme="minorHAnsi"/>
        </w:rPr>
      </w:pPr>
    </w:p>
    <w:p w14:paraId="03790E9A" w14:textId="77777777" w:rsidR="00DC3841" w:rsidRPr="00D57E2F" w:rsidRDefault="00DC3841" w:rsidP="00DC3841">
      <w:pPr>
        <w:pStyle w:val="Body"/>
        <w:contextualSpacing/>
        <w:rPr>
          <w:rFonts w:asciiTheme="minorHAnsi" w:hAnsiTheme="minorHAnsi" w:cstheme="minorHAnsi"/>
          <w:sz w:val="24"/>
          <w:szCs w:val="24"/>
        </w:rPr>
      </w:pPr>
      <w:r w:rsidRPr="00D57E2F">
        <w:rPr>
          <w:rFonts w:asciiTheme="minorHAnsi" w:hAnsiTheme="minorHAnsi" w:cstheme="minorHAnsi"/>
          <w:sz w:val="24"/>
          <w:szCs w:val="24"/>
        </w:rPr>
        <w:t>A property may be considered in “substandard condition but suitable for rehabilitation” if it is dilapidated or deteriorated beyond feasible economic repair, or rehabilitation will exceed 50% of the replacement cost of the dwelling.</w:t>
      </w:r>
    </w:p>
    <w:p w14:paraId="5631D208" w14:textId="77777777" w:rsidR="00DC3841" w:rsidRPr="00D57E2F" w:rsidRDefault="00DC3841" w:rsidP="00DC3841">
      <w:pPr>
        <w:pStyle w:val="ParagraphHeader"/>
        <w:contextualSpacing/>
        <w:rPr>
          <w:rFonts w:asciiTheme="minorHAnsi" w:hAnsiTheme="minorHAnsi" w:cstheme="minorHAnsi"/>
        </w:rPr>
      </w:pPr>
      <w:r w:rsidRPr="00D57E2F">
        <w:rPr>
          <w:rFonts w:asciiTheme="minorHAnsi" w:hAnsiTheme="minorHAnsi" w:cstheme="minorHAnsi"/>
        </w:rPr>
        <w:t>Condition of Units</w:t>
      </w:r>
    </w:p>
    <w:p w14:paraId="50535D90" w14:textId="77777777" w:rsidR="00DC3841" w:rsidRDefault="00DC3841" w:rsidP="00DC3841">
      <w:pPr>
        <w:pStyle w:val="Body"/>
        <w:contextualSpacing/>
        <w:rPr>
          <w:rFonts w:asciiTheme="minorHAnsi" w:hAnsiTheme="minorHAnsi" w:cstheme="minorHAnsi"/>
          <w:sz w:val="24"/>
          <w:szCs w:val="24"/>
        </w:rPr>
      </w:pPr>
      <w:r w:rsidRPr="00D57E2F">
        <w:rPr>
          <w:rFonts w:asciiTheme="minorHAnsi" w:hAnsiTheme="minorHAnsi" w:cstheme="minorHAnsi"/>
          <w:sz w:val="24"/>
          <w:szCs w:val="24"/>
        </w:rPr>
        <w:t xml:space="preserve">The table </w:t>
      </w:r>
      <w:r>
        <w:rPr>
          <w:rFonts w:asciiTheme="minorHAnsi" w:hAnsiTheme="minorHAnsi" w:cstheme="minorHAnsi"/>
          <w:sz w:val="24"/>
          <w:szCs w:val="24"/>
        </w:rPr>
        <w:t>below</w:t>
      </w:r>
      <w:r w:rsidRPr="00D57E2F">
        <w:rPr>
          <w:rFonts w:asciiTheme="minorHAnsi" w:hAnsiTheme="minorHAnsi" w:cstheme="minorHAnsi"/>
          <w:sz w:val="24"/>
          <w:szCs w:val="24"/>
        </w:rPr>
        <w:t xml:space="preserve"> shows the number of housing units, by tenure, based on the number of conditions or characteristics of the unit. Selected conditions are </w:t>
      </w:r>
      <w:r>
        <w:rPr>
          <w:rFonts w:asciiTheme="minorHAnsi" w:hAnsiTheme="minorHAnsi" w:cstheme="minorHAnsi"/>
          <w:sz w:val="24"/>
          <w:szCs w:val="24"/>
        </w:rPr>
        <w:t xml:space="preserve">identified as similar to </w:t>
      </w:r>
      <w:r w:rsidRPr="00D57E2F">
        <w:rPr>
          <w:rFonts w:asciiTheme="minorHAnsi" w:hAnsiTheme="minorHAnsi" w:cstheme="minorHAnsi"/>
          <w:sz w:val="24"/>
          <w:szCs w:val="24"/>
        </w:rPr>
        <w:t xml:space="preserve">housing problems </w:t>
      </w:r>
      <w:r>
        <w:rPr>
          <w:rFonts w:asciiTheme="minorHAnsi" w:hAnsiTheme="minorHAnsi" w:cstheme="minorHAnsi"/>
          <w:sz w:val="24"/>
          <w:szCs w:val="24"/>
        </w:rPr>
        <w:t>as noted in</w:t>
      </w:r>
      <w:r w:rsidRPr="00D57E2F">
        <w:rPr>
          <w:rFonts w:asciiTheme="minorHAnsi" w:hAnsiTheme="minorHAnsi" w:cstheme="minorHAnsi"/>
          <w:sz w:val="24"/>
          <w:szCs w:val="24"/>
        </w:rPr>
        <w:t xml:space="preserve"> the Needs Assessment</w:t>
      </w:r>
      <w:r>
        <w:rPr>
          <w:rFonts w:asciiTheme="minorHAnsi" w:hAnsiTheme="minorHAnsi" w:cstheme="minorHAnsi"/>
          <w:sz w:val="24"/>
          <w:szCs w:val="24"/>
        </w:rPr>
        <w:t>,</w:t>
      </w:r>
      <w:r w:rsidRPr="00D57E2F">
        <w:rPr>
          <w:rFonts w:asciiTheme="minorHAnsi" w:hAnsiTheme="minorHAnsi" w:cstheme="minorHAnsi"/>
          <w:sz w:val="24"/>
          <w:szCs w:val="24"/>
        </w:rPr>
        <w:t xml:space="preserve"> and include the following: </w:t>
      </w:r>
    </w:p>
    <w:p w14:paraId="2939434B" w14:textId="77777777" w:rsidR="00DC3841" w:rsidRDefault="00DC3841" w:rsidP="00DC3841">
      <w:pPr>
        <w:pStyle w:val="Body"/>
        <w:contextualSpacing/>
        <w:rPr>
          <w:rFonts w:asciiTheme="minorHAnsi" w:hAnsiTheme="minorHAnsi" w:cstheme="minorHAnsi"/>
          <w:sz w:val="24"/>
          <w:szCs w:val="24"/>
        </w:rPr>
      </w:pPr>
    </w:p>
    <w:p w14:paraId="14D74FE4" w14:textId="77777777" w:rsidR="00DC3841" w:rsidRDefault="00DC3841" w:rsidP="00A121EE">
      <w:pPr>
        <w:pStyle w:val="Body"/>
        <w:numPr>
          <w:ilvl w:val="0"/>
          <w:numId w:val="36"/>
        </w:numPr>
        <w:spacing w:line="240" w:lineRule="auto"/>
        <w:contextualSpacing/>
        <w:rPr>
          <w:rFonts w:asciiTheme="minorHAnsi" w:hAnsiTheme="minorHAnsi" w:cstheme="minorHAnsi"/>
          <w:sz w:val="24"/>
          <w:szCs w:val="24"/>
        </w:rPr>
      </w:pPr>
      <w:r>
        <w:rPr>
          <w:rFonts w:asciiTheme="minorHAnsi" w:hAnsiTheme="minorHAnsi" w:cstheme="minorHAnsi"/>
          <w:sz w:val="24"/>
          <w:szCs w:val="24"/>
        </w:rPr>
        <w:t>T</w:t>
      </w:r>
      <w:r w:rsidRPr="00D57E2F">
        <w:rPr>
          <w:rFonts w:asciiTheme="minorHAnsi" w:hAnsiTheme="minorHAnsi" w:cstheme="minorHAnsi"/>
          <w:sz w:val="24"/>
          <w:szCs w:val="24"/>
        </w:rPr>
        <w:t xml:space="preserve">he lack </w:t>
      </w:r>
      <w:r>
        <w:rPr>
          <w:rFonts w:asciiTheme="minorHAnsi" w:hAnsiTheme="minorHAnsi" w:cstheme="minorHAnsi"/>
          <w:sz w:val="24"/>
          <w:szCs w:val="24"/>
        </w:rPr>
        <w:t>of complete plumbing facilities</w:t>
      </w:r>
    </w:p>
    <w:p w14:paraId="2320A7C9" w14:textId="77777777" w:rsidR="00DC3841" w:rsidRPr="0065261F" w:rsidRDefault="00DC3841" w:rsidP="00A121EE">
      <w:pPr>
        <w:pStyle w:val="Body"/>
        <w:numPr>
          <w:ilvl w:val="1"/>
          <w:numId w:val="43"/>
        </w:numPr>
        <w:spacing w:line="240" w:lineRule="auto"/>
        <w:contextualSpacing/>
        <w:rPr>
          <w:rFonts w:asciiTheme="minorHAnsi" w:hAnsiTheme="minorHAnsi" w:cstheme="minorHAnsi"/>
          <w:sz w:val="28"/>
          <w:szCs w:val="24"/>
        </w:rPr>
      </w:pPr>
      <w:r w:rsidRPr="0065261F">
        <w:rPr>
          <w:rFonts w:asciiTheme="minorHAnsi" w:hAnsiTheme="minorHAnsi" w:cstheme="minorHAnsi"/>
          <w:sz w:val="24"/>
          <w:szCs w:val="24"/>
        </w:rPr>
        <w:t>A complete kitchen consists of a sink with a faucet, a stove or range, and a refrigerator</w:t>
      </w:r>
    </w:p>
    <w:p w14:paraId="36D18836" w14:textId="77777777" w:rsidR="00DC3841" w:rsidRDefault="00DC3841" w:rsidP="00A121EE">
      <w:pPr>
        <w:pStyle w:val="Body"/>
        <w:numPr>
          <w:ilvl w:val="0"/>
          <w:numId w:val="36"/>
        </w:numPr>
        <w:spacing w:line="240" w:lineRule="auto"/>
        <w:contextualSpacing/>
        <w:rPr>
          <w:rFonts w:asciiTheme="minorHAnsi" w:hAnsiTheme="minorHAnsi" w:cstheme="minorHAnsi"/>
          <w:sz w:val="24"/>
          <w:szCs w:val="24"/>
        </w:rPr>
      </w:pPr>
      <w:r w:rsidRPr="0065261F">
        <w:rPr>
          <w:rFonts w:asciiTheme="minorHAnsi" w:hAnsiTheme="minorHAnsi" w:cstheme="minorHAnsi"/>
          <w:sz w:val="24"/>
          <w:szCs w:val="24"/>
        </w:rPr>
        <w:t>The lack of complete kitchen facilities</w:t>
      </w:r>
    </w:p>
    <w:p w14:paraId="1F635051" w14:textId="77777777" w:rsidR="00DC3841" w:rsidRPr="0065261F" w:rsidRDefault="00DC3841" w:rsidP="00A121EE">
      <w:pPr>
        <w:pStyle w:val="Body"/>
        <w:numPr>
          <w:ilvl w:val="1"/>
          <w:numId w:val="44"/>
        </w:numPr>
        <w:spacing w:line="240" w:lineRule="auto"/>
        <w:contextualSpacing/>
        <w:rPr>
          <w:rFonts w:asciiTheme="minorHAnsi" w:hAnsiTheme="minorHAnsi" w:cstheme="minorHAnsi"/>
          <w:sz w:val="24"/>
          <w:szCs w:val="24"/>
        </w:rPr>
      </w:pPr>
      <w:r w:rsidRPr="0065261F">
        <w:rPr>
          <w:rFonts w:asciiTheme="minorHAnsi" w:hAnsiTheme="minorHAnsi" w:cstheme="minorHAnsi"/>
          <w:sz w:val="24"/>
          <w:szCs w:val="24"/>
        </w:rPr>
        <w:t>Complete plumbing consists of hot and cold running water, a flush toilet, and a bathtub or shower</w:t>
      </w:r>
    </w:p>
    <w:p w14:paraId="400CFEF4" w14:textId="77777777" w:rsidR="00DC3841" w:rsidRPr="0065261F" w:rsidRDefault="00DC3841" w:rsidP="00A121EE">
      <w:pPr>
        <w:pStyle w:val="Body"/>
        <w:numPr>
          <w:ilvl w:val="0"/>
          <w:numId w:val="36"/>
        </w:numPr>
        <w:spacing w:line="240" w:lineRule="auto"/>
        <w:contextualSpacing/>
        <w:rPr>
          <w:rFonts w:asciiTheme="minorHAnsi" w:hAnsiTheme="minorHAnsi" w:cstheme="minorHAnsi"/>
          <w:sz w:val="24"/>
          <w:szCs w:val="24"/>
        </w:rPr>
      </w:pPr>
      <w:r>
        <w:rPr>
          <w:rFonts w:asciiTheme="minorHAnsi" w:hAnsiTheme="minorHAnsi" w:cstheme="minorHAnsi"/>
          <w:sz w:val="24"/>
          <w:szCs w:val="24"/>
        </w:rPr>
        <w:t>More than one person per room</w:t>
      </w:r>
    </w:p>
    <w:p w14:paraId="4D9DB413" w14:textId="77777777" w:rsidR="00DC3841" w:rsidRPr="0065261F" w:rsidRDefault="00DC3841" w:rsidP="00A121EE">
      <w:pPr>
        <w:pStyle w:val="Body"/>
        <w:numPr>
          <w:ilvl w:val="0"/>
          <w:numId w:val="36"/>
        </w:numPr>
        <w:spacing w:line="240" w:lineRule="auto"/>
        <w:contextualSpacing/>
        <w:rPr>
          <w:rFonts w:asciiTheme="minorHAnsi" w:hAnsiTheme="minorHAnsi" w:cstheme="minorHAnsi"/>
          <w:sz w:val="24"/>
          <w:szCs w:val="24"/>
        </w:rPr>
      </w:pPr>
      <w:r>
        <w:rPr>
          <w:rFonts w:asciiTheme="minorHAnsi" w:hAnsiTheme="minorHAnsi" w:cstheme="minorHAnsi"/>
          <w:sz w:val="24"/>
          <w:szCs w:val="24"/>
        </w:rPr>
        <w:t>C</w:t>
      </w:r>
      <w:r w:rsidRPr="00D57E2F">
        <w:rPr>
          <w:rFonts w:asciiTheme="minorHAnsi" w:hAnsiTheme="minorHAnsi" w:cstheme="minorHAnsi"/>
          <w:sz w:val="24"/>
          <w:szCs w:val="24"/>
        </w:rPr>
        <w:t xml:space="preserve">ost burden greater than 30%. </w:t>
      </w:r>
    </w:p>
    <w:p w14:paraId="36122A26" w14:textId="77777777" w:rsidR="00DC3841" w:rsidRPr="00D57E2F" w:rsidRDefault="00DC3841" w:rsidP="00DC3841">
      <w:pPr>
        <w:pStyle w:val="Body"/>
        <w:contextualSpacing/>
        <w:rPr>
          <w:rFonts w:asciiTheme="minorHAnsi" w:hAnsiTheme="minorHAnsi" w:cstheme="minorHAnsi"/>
          <w:sz w:val="24"/>
          <w:szCs w:val="24"/>
        </w:rPr>
      </w:pPr>
    </w:p>
    <w:p w14:paraId="71E7C732" w14:textId="77777777" w:rsidR="00DC3841" w:rsidRPr="000F355B" w:rsidRDefault="00DC3841" w:rsidP="00DC3841">
      <w:pPr>
        <w:pStyle w:val="Body"/>
        <w:contextualSpacing/>
        <w:rPr>
          <w:rFonts w:asciiTheme="minorHAnsi" w:hAnsiTheme="minorHAnsi" w:cstheme="minorHAnsi"/>
          <w:sz w:val="24"/>
          <w:szCs w:val="24"/>
        </w:rPr>
      </w:pPr>
      <w:r w:rsidRPr="00D57E2F">
        <w:rPr>
          <w:rFonts w:asciiTheme="minorHAnsi" w:hAnsiTheme="minorHAnsi" w:cstheme="minorHAnsi"/>
          <w:sz w:val="24"/>
          <w:szCs w:val="24"/>
        </w:rPr>
        <w:t>Renter-occupied units have a higher prevalence of substandard condition</w:t>
      </w:r>
      <w:r>
        <w:rPr>
          <w:rFonts w:asciiTheme="minorHAnsi" w:hAnsiTheme="minorHAnsi" w:cstheme="minorHAnsi"/>
          <w:sz w:val="24"/>
          <w:szCs w:val="24"/>
        </w:rPr>
        <w:t xml:space="preserve"> (39</w:t>
      </w:r>
      <w:r w:rsidRPr="00D57E2F">
        <w:rPr>
          <w:rFonts w:asciiTheme="minorHAnsi" w:hAnsiTheme="minorHAnsi" w:cstheme="minorHAnsi"/>
          <w:sz w:val="24"/>
          <w:szCs w:val="24"/>
        </w:rPr>
        <w:t>% for renter-occupied units versus 1</w:t>
      </w:r>
      <w:r>
        <w:rPr>
          <w:rFonts w:asciiTheme="minorHAnsi" w:hAnsiTheme="minorHAnsi" w:cstheme="minorHAnsi"/>
          <w:sz w:val="24"/>
          <w:szCs w:val="24"/>
        </w:rPr>
        <w:t>8</w:t>
      </w:r>
      <w:r w:rsidRPr="00D57E2F">
        <w:rPr>
          <w:rFonts w:asciiTheme="minorHAnsi" w:hAnsiTheme="minorHAnsi" w:cstheme="minorHAnsi"/>
          <w:sz w:val="24"/>
          <w:szCs w:val="24"/>
        </w:rPr>
        <w:t>% for owner-occupied units); however, the vast majority of units with a substandard condition only have one substandard condition. Only 0.</w:t>
      </w:r>
      <w:r>
        <w:rPr>
          <w:rFonts w:asciiTheme="minorHAnsi" w:hAnsiTheme="minorHAnsi" w:cstheme="minorHAnsi"/>
          <w:sz w:val="24"/>
          <w:szCs w:val="24"/>
        </w:rPr>
        <w:t>47</w:t>
      </w:r>
      <w:r w:rsidRPr="00D57E2F">
        <w:rPr>
          <w:rFonts w:asciiTheme="minorHAnsi" w:hAnsiTheme="minorHAnsi" w:cstheme="minorHAnsi"/>
          <w:sz w:val="24"/>
          <w:szCs w:val="24"/>
        </w:rPr>
        <w:t>% of owner-occupied units have more than one su</w:t>
      </w:r>
      <w:r>
        <w:rPr>
          <w:rFonts w:asciiTheme="minorHAnsi" w:hAnsiTheme="minorHAnsi" w:cstheme="minorHAnsi"/>
          <w:sz w:val="24"/>
          <w:szCs w:val="24"/>
        </w:rPr>
        <w:t>bstandard condition, and only 2.9</w:t>
      </w:r>
      <w:r w:rsidRPr="00D57E2F">
        <w:rPr>
          <w:rFonts w:asciiTheme="minorHAnsi" w:hAnsiTheme="minorHAnsi" w:cstheme="minorHAnsi"/>
          <w:sz w:val="24"/>
          <w:szCs w:val="24"/>
        </w:rPr>
        <w:t xml:space="preserve">% of renter-occupied units have </w:t>
      </w:r>
      <w:r>
        <w:rPr>
          <w:rFonts w:asciiTheme="minorHAnsi" w:hAnsiTheme="minorHAnsi" w:cstheme="minorHAnsi"/>
          <w:sz w:val="24"/>
          <w:szCs w:val="24"/>
        </w:rPr>
        <w:t>more than on</w:t>
      </w:r>
      <w:r w:rsidRPr="00D57E2F">
        <w:rPr>
          <w:rFonts w:asciiTheme="minorHAnsi" w:hAnsiTheme="minorHAnsi" w:cstheme="minorHAnsi"/>
          <w:sz w:val="24"/>
          <w:szCs w:val="24"/>
        </w:rPr>
        <w:t xml:space="preserve"> selected condition. The number of units for both owner-occupied and renter-occupied with three or more substandard conditions is very low.</w:t>
      </w:r>
    </w:p>
    <w:p w14:paraId="63D1CFBC" w14:textId="77777777"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9 – Condition of Units, 2016</w:t>
      </w:r>
    </w:p>
    <w:tbl>
      <w:tblPr>
        <w:tblStyle w:val="GridTable4-Accent1"/>
        <w:tblW w:w="5000" w:type="pct"/>
        <w:tblLook w:val="04E0" w:firstRow="1" w:lastRow="1" w:firstColumn="1" w:lastColumn="0" w:noHBand="0" w:noVBand="1"/>
      </w:tblPr>
      <w:tblGrid>
        <w:gridCol w:w="3176"/>
        <w:gridCol w:w="1435"/>
        <w:gridCol w:w="1600"/>
        <w:gridCol w:w="1435"/>
        <w:gridCol w:w="1704"/>
      </w:tblGrid>
      <w:tr w:rsidR="00DC3841" w14:paraId="64C61FCE"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vMerge w:val="restart"/>
          </w:tcPr>
          <w:p w14:paraId="031B41D5" w14:textId="77777777" w:rsidR="00DC3841" w:rsidRDefault="00DC3841" w:rsidP="007C520D">
            <w:pPr>
              <w:keepNext/>
              <w:widowControl w:val="0"/>
              <w:spacing w:after="0" w:line="240" w:lineRule="auto"/>
              <w:contextualSpacing/>
              <w:jc w:val="center"/>
              <w:rPr>
                <w:rFonts w:asciiTheme="minorHAnsi" w:hAnsiTheme="minorHAnsi"/>
              </w:rPr>
            </w:pPr>
            <w:r>
              <w:rPr>
                <w:rFonts w:asciiTheme="minorHAnsi" w:hAnsiTheme="minorHAnsi"/>
                <w:b w:val="0"/>
              </w:rPr>
              <w:t>Condition of Units</w:t>
            </w:r>
          </w:p>
        </w:tc>
        <w:tc>
          <w:tcPr>
            <w:tcW w:w="3098" w:type="dxa"/>
            <w:gridSpan w:val="2"/>
          </w:tcPr>
          <w:p w14:paraId="47B93662"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val="0"/>
              </w:rPr>
              <w:t>Owner-Occupied</w:t>
            </w:r>
          </w:p>
        </w:tc>
        <w:tc>
          <w:tcPr>
            <w:tcW w:w="3207" w:type="dxa"/>
            <w:gridSpan w:val="2"/>
          </w:tcPr>
          <w:p w14:paraId="27683BAD"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Renter-Occupied</w:t>
            </w:r>
          </w:p>
        </w:tc>
      </w:tr>
      <w:tr w:rsidR="00DC3841" w14:paraId="5149E58B"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vMerge/>
          </w:tcPr>
          <w:p w14:paraId="1FBF1860" w14:textId="77777777" w:rsidR="00DC3841" w:rsidRDefault="00DC3841" w:rsidP="007C520D">
            <w:pPr>
              <w:keepNext/>
              <w:widowControl w:val="0"/>
              <w:spacing w:after="0" w:line="240" w:lineRule="auto"/>
              <w:jc w:val="center"/>
              <w:rPr>
                <w:rFonts w:asciiTheme="minorHAnsi" w:hAnsiTheme="minorHAnsi"/>
              </w:rPr>
            </w:pPr>
          </w:p>
        </w:tc>
        <w:tc>
          <w:tcPr>
            <w:tcW w:w="1458" w:type="dxa"/>
          </w:tcPr>
          <w:p w14:paraId="0116DBFE"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Number</w:t>
            </w:r>
          </w:p>
        </w:tc>
        <w:tc>
          <w:tcPr>
            <w:tcW w:w="1640" w:type="dxa"/>
          </w:tcPr>
          <w:p w14:paraId="65024CD4"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w:t>
            </w:r>
          </w:p>
        </w:tc>
        <w:tc>
          <w:tcPr>
            <w:tcW w:w="1458" w:type="dxa"/>
          </w:tcPr>
          <w:p w14:paraId="244A4BA4"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Number</w:t>
            </w:r>
          </w:p>
        </w:tc>
        <w:tc>
          <w:tcPr>
            <w:tcW w:w="1749" w:type="dxa"/>
          </w:tcPr>
          <w:p w14:paraId="5144A3BA" w14:textId="77777777" w:rsidR="00DC384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w:t>
            </w:r>
          </w:p>
        </w:tc>
      </w:tr>
      <w:tr w:rsidR="00DC3841" w14:paraId="0B2CFC1B"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1AF7F092" w14:textId="77777777" w:rsidR="00DC3841" w:rsidRDefault="00DC3841" w:rsidP="007C520D">
            <w:pPr>
              <w:spacing w:beforeAutospacing="1" w:afterAutospacing="1"/>
            </w:pPr>
            <w:r>
              <w:rPr>
                <w:color w:val="000000"/>
              </w:rPr>
              <w:t>With one selected Condition</w:t>
            </w:r>
          </w:p>
        </w:tc>
        <w:tc>
          <w:tcPr>
            <w:tcW w:w="0" w:type="auto"/>
          </w:tcPr>
          <w:p w14:paraId="34D4DA2C"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132,472</w:t>
            </w:r>
          </w:p>
        </w:tc>
        <w:tc>
          <w:tcPr>
            <w:tcW w:w="0" w:type="auto"/>
          </w:tcPr>
          <w:p w14:paraId="64C2883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18%</w:t>
            </w:r>
          </w:p>
        </w:tc>
        <w:tc>
          <w:tcPr>
            <w:tcW w:w="0" w:type="auto"/>
          </w:tcPr>
          <w:p w14:paraId="15F1D6E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147,145</w:t>
            </w:r>
          </w:p>
        </w:tc>
        <w:tc>
          <w:tcPr>
            <w:tcW w:w="0" w:type="auto"/>
          </w:tcPr>
          <w:p w14:paraId="79CEBCC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39%</w:t>
            </w:r>
          </w:p>
        </w:tc>
      </w:tr>
      <w:tr w:rsidR="00DC3841" w14:paraId="3811F59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D05B2B" w14:textId="77777777" w:rsidR="00DC3841" w:rsidRDefault="00DC3841" w:rsidP="007C520D">
            <w:pPr>
              <w:spacing w:beforeAutospacing="1" w:afterAutospacing="1"/>
            </w:pPr>
            <w:r>
              <w:rPr>
                <w:color w:val="000000"/>
              </w:rPr>
              <w:t>With two selected Conditions</w:t>
            </w:r>
          </w:p>
        </w:tc>
        <w:tc>
          <w:tcPr>
            <w:tcW w:w="0" w:type="auto"/>
          </w:tcPr>
          <w:p w14:paraId="6F4665C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3,196</w:t>
            </w:r>
          </w:p>
        </w:tc>
        <w:tc>
          <w:tcPr>
            <w:tcW w:w="0" w:type="auto"/>
          </w:tcPr>
          <w:p w14:paraId="7ABB3F02"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0.43%</w:t>
            </w:r>
          </w:p>
        </w:tc>
        <w:tc>
          <w:tcPr>
            <w:tcW w:w="0" w:type="auto"/>
          </w:tcPr>
          <w:p w14:paraId="7C6D271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10,132</w:t>
            </w:r>
          </w:p>
        </w:tc>
        <w:tc>
          <w:tcPr>
            <w:tcW w:w="0" w:type="auto"/>
          </w:tcPr>
          <w:p w14:paraId="02815E7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2.7%</w:t>
            </w:r>
          </w:p>
        </w:tc>
      </w:tr>
      <w:tr w:rsidR="00DC3841" w14:paraId="49198052"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24076D16" w14:textId="77777777" w:rsidR="00DC3841" w:rsidRDefault="00DC3841" w:rsidP="007C520D">
            <w:pPr>
              <w:spacing w:beforeAutospacing="1" w:afterAutospacing="1"/>
            </w:pPr>
            <w:r>
              <w:rPr>
                <w:color w:val="000000"/>
              </w:rPr>
              <w:t>With three selected Conditions</w:t>
            </w:r>
          </w:p>
        </w:tc>
        <w:tc>
          <w:tcPr>
            <w:tcW w:w="0" w:type="auto"/>
          </w:tcPr>
          <w:p w14:paraId="4BF0BD8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292</w:t>
            </w:r>
          </w:p>
        </w:tc>
        <w:tc>
          <w:tcPr>
            <w:tcW w:w="0" w:type="auto"/>
          </w:tcPr>
          <w:p w14:paraId="6DA4E53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0.04%</w:t>
            </w:r>
          </w:p>
        </w:tc>
        <w:tc>
          <w:tcPr>
            <w:tcW w:w="0" w:type="auto"/>
          </w:tcPr>
          <w:p w14:paraId="69FB9AF8"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657</w:t>
            </w:r>
          </w:p>
        </w:tc>
        <w:tc>
          <w:tcPr>
            <w:tcW w:w="0" w:type="auto"/>
          </w:tcPr>
          <w:p w14:paraId="74750A4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0.17%</w:t>
            </w:r>
          </w:p>
        </w:tc>
      </w:tr>
      <w:tr w:rsidR="00DC3841" w14:paraId="15F9FC51"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5C9AEF" w14:textId="77777777" w:rsidR="00DC3841" w:rsidRDefault="00DC3841" w:rsidP="007C520D">
            <w:pPr>
              <w:spacing w:beforeAutospacing="1" w:afterAutospacing="1"/>
            </w:pPr>
            <w:r>
              <w:rPr>
                <w:color w:val="000000"/>
              </w:rPr>
              <w:t>With four selected Conditions</w:t>
            </w:r>
          </w:p>
        </w:tc>
        <w:tc>
          <w:tcPr>
            <w:tcW w:w="0" w:type="auto"/>
          </w:tcPr>
          <w:p w14:paraId="65B0B82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13</w:t>
            </w:r>
          </w:p>
        </w:tc>
        <w:tc>
          <w:tcPr>
            <w:tcW w:w="0" w:type="auto"/>
          </w:tcPr>
          <w:p w14:paraId="4795E81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0.00%</w:t>
            </w:r>
          </w:p>
        </w:tc>
        <w:tc>
          <w:tcPr>
            <w:tcW w:w="0" w:type="auto"/>
          </w:tcPr>
          <w:p w14:paraId="5CF69DF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33</w:t>
            </w:r>
          </w:p>
        </w:tc>
        <w:tc>
          <w:tcPr>
            <w:tcW w:w="0" w:type="auto"/>
          </w:tcPr>
          <w:p w14:paraId="7C16E91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0.01%</w:t>
            </w:r>
          </w:p>
        </w:tc>
      </w:tr>
      <w:tr w:rsidR="00DC3841" w14:paraId="2A5386A9"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32516FCA" w14:textId="77777777" w:rsidR="00DC3841" w:rsidRDefault="00DC3841" w:rsidP="007C520D">
            <w:pPr>
              <w:spacing w:beforeAutospacing="1" w:afterAutospacing="1"/>
            </w:pPr>
            <w:r>
              <w:rPr>
                <w:color w:val="000000"/>
              </w:rPr>
              <w:t>No selected Conditions</w:t>
            </w:r>
          </w:p>
        </w:tc>
        <w:tc>
          <w:tcPr>
            <w:tcW w:w="0" w:type="auto"/>
          </w:tcPr>
          <w:p w14:paraId="793A7358"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604,370</w:t>
            </w:r>
          </w:p>
        </w:tc>
        <w:tc>
          <w:tcPr>
            <w:tcW w:w="0" w:type="auto"/>
          </w:tcPr>
          <w:p w14:paraId="5267E47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82%</w:t>
            </w:r>
          </w:p>
        </w:tc>
        <w:tc>
          <w:tcPr>
            <w:tcW w:w="0" w:type="auto"/>
          </w:tcPr>
          <w:p w14:paraId="76B3850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217,548</w:t>
            </w:r>
          </w:p>
        </w:tc>
        <w:tc>
          <w:tcPr>
            <w:tcW w:w="0" w:type="auto"/>
          </w:tcPr>
          <w:p w14:paraId="600491A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58%</w:t>
            </w:r>
          </w:p>
        </w:tc>
      </w:tr>
      <w:tr w:rsidR="00DC3841" w14:paraId="053F5C1C"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61CB92" w14:textId="77777777" w:rsidR="00DC3841" w:rsidRDefault="00DC3841" w:rsidP="007C520D">
            <w:pPr>
              <w:spacing w:beforeAutospacing="1" w:afterAutospacing="1"/>
            </w:pPr>
            <w:r>
              <w:rPr>
                <w:rFonts w:ascii="Verdana" w:hAnsi="Verdana"/>
                <w:b w:val="0"/>
                <w:i/>
                <w:color w:val="000000"/>
                <w:sz w:val="16"/>
              </w:rPr>
              <w:t>Total</w:t>
            </w:r>
          </w:p>
        </w:tc>
        <w:tc>
          <w:tcPr>
            <w:tcW w:w="0" w:type="auto"/>
          </w:tcPr>
          <w:p w14:paraId="7FCB997F"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709,343</w:t>
            </w:r>
          </w:p>
        </w:tc>
        <w:tc>
          <w:tcPr>
            <w:tcW w:w="0" w:type="auto"/>
          </w:tcPr>
          <w:p w14:paraId="40CC87D6"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100%</w:t>
            </w:r>
          </w:p>
        </w:tc>
        <w:tc>
          <w:tcPr>
            <w:tcW w:w="0" w:type="auto"/>
          </w:tcPr>
          <w:p w14:paraId="0183E966"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375,515</w:t>
            </w:r>
          </w:p>
        </w:tc>
        <w:tc>
          <w:tcPr>
            <w:tcW w:w="0" w:type="auto"/>
          </w:tcPr>
          <w:p w14:paraId="3C9D9A90"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100%</w:t>
            </w:r>
          </w:p>
        </w:tc>
      </w:tr>
    </w:tbl>
    <w:p w14:paraId="6ABD5C49" w14:textId="77777777" w:rsidR="00DC3841" w:rsidRPr="0075523F" w:rsidRDefault="00DC3841" w:rsidP="00DC3841">
      <w:pPr>
        <w:rPr>
          <w:rFonts w:asciiTheme="minorHAnsi" w:hAnsiTheme="minorHAnsi"/>
          <w:vanish/>
        </w:rPr>
      </w:pPr>
      <w:r w:rsidRPr="0075523F">
        <w:rPr>
          <w:rFonts w:asciiTheme="minorHAnsi" w:hAnsiTheme="minorHAnsi"/>
          <w:i/>
          <w:sz w:val="18"/>
        </w:rPr>
        <w:t>Source: 2012-2016 ACS (B25123)</w:t>
      </w:r>
    </w:p>
    <w:p w14:paraId="7D8A4C9C" w14:textId="77777777" w:rsidR="00DC3841" w:rsidRDefault="00DC3841" w:rsidP="00DC3841">
      <w:pPr>
        <w:rPr>
          <w:rFonts w:asciiTheme="minorHAnsi" w:hAnsiTheme="minorHAnsi"/>
          <w:b/>
          <w:vanish/>
          <w:sz w:val="16"/>
        </w:rPr>
      </w:pPr>
    </w:p>
    <w:p w14:paraId="3DA9F2AF" w14:textId="77777777" w:rsidR="00DC3841" w:rsidRDefault="00DC3841" w:rsidP="00DC3841">
      <w:pPr>
        <w:spacing w:after="0" w:line="240" w:lineRule="auto"/>
        <w:rPr>
          <w:rFonts w:asciiTheme="minorHAnsi" w:hAnsiTheme="minorHAnsi"/>
        </w:rPr>
      </w:pPr>
    </w:p>
    <w:p w14:paraId="3BD000B6" w14:textId="77777777" w:rsidR="00DC3841" w:rsidRDefault="00DC3841" w:rsidP="00DC3841">
      <w:pPr>
        <w:spacing w:after="0" w:line="240" w:lineRule="auto"/>
        <w:rPr>
          <w:rFonts w:asciiTheme="minorHAnsi" w:hAnsiTheme="minorHAnsi"/>
        </w:rPr>
      </w:pPr>
    </w:p>
    <w:p w14:paraId="35B8177E" w14:textId="77777777"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10 – Year Unit Built, 2016</w:t>
      </w:r>
    </w:p>
    <w:tbl>
      <w:tblPr>
        <w:tblStyle w:val="GridTable4-Accent1"/>
        <w:tblW w:w="5000" w:type="pct"/>
        <w:tblLook w:val="04E0" w:firstRow="1" w:lastRow="1" w:firstColumn="1" w:lastColumn="0" w:noHBand="0" w:noVBand="1"/>
      </w:tblPr>
      <w:tblGrid>
        <w:gridCol w:w="3166"/>
        <w:gridCol w:w="1437"/>
        <w:gridCol w:w="1603"/>
        <w:gridCol w:w="1437"/>
        <w:gridCol w:w="1707"/>
      </w:tblGrid>
      <w:tr w:rsidR="00DC3841" w14:paraId="14A2E806"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vMerge w:val="restart"/>
          </w:tcPr>
          <w:p w14:paraId="7269FA49" w14:textId="77777777" w:rsidR="00DC3841" w:rsidRDefault="00DC3841" w:rsidP="007C520D">
            <w:pPr>
              <w:keepNext/>
              <w:widowControl w:val="0"/>
              <w:spacing w:after="0" w:line="240" w:lineRule="auto"/>
              <w:jc w:val="center"/>
              <w:rPr>
                <w:rFonts w:asciiTheme="minorHAnsi" w:hAnsiTheme="minorHAnsi"/>
              </w:rPr>
            </w:pPr>
            <w:r>
              <w:rPr>
                <w:rFonts w:asciiTheme="minorHAnsi" w:hAnsiTheme="minorHAnsi"/>
                <w:b w:val="0"/>
              </w:rPr>
              <w:t>Year Unit Built</w:t>
            </w:r>
          </w:p>
        </w:tc>
        <w:tc>
          <w:tcPr>
            <w:tcW w:w="3098" w:type="dxa"/>
            <w:gridSpan w:val="2"/>
          </w:tcPr>
          <w:p w14:paraId="66B3C797"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val="0"/>
              </w:rPr>
              <w:t>Owner-Occupied</w:t>
            </w:r>
          </w:p>
        </w:tc>
        <w:tc>
          <w:tcPr>
            <w:tcW w:w="3207" w:type="dxa"/>
            <w:gridSpan w:val="2"/>
          </w:tcPr>
          <w:p w14:paraId="19FCDC7A"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Renter-Occupied</w:t>
            </w:r>
          </w:p>
        </w:tc>
      </w:tr>
      <w:tr w:rsidR="00DC3841" w14:paraId="7A4BABA1"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vMerge/>
          </w:tcPr>
          <w:p w14:paraId="48ABEE65" w14:textId="77777777" w:rsidR="00DC3841" w:rsidRDefault="00DC3841" w:rsidP="007C520D">
            <w:pPr>
              <w:keepNext/>
              <w:widowControl w:val="0"/>
              <w:spacing w:after="0" w:line="240" w:lineRule="auto"/>
              <w:jc w:val="center"/>
              <w:rPr>
                <w:rFonts w:asciiTheme="minorHAnsi" w:hAnsiTheme="minorHAnsi"/>
              </w:rPr>
            </w:pPr>
          </w:p>
        </w:tc>
        <w:tc>
          <w:tcPr>
            <w:tcW w:w="1458" w:type="dxa"/>
          </w:tcPr>
          <w:p w14:paraId="06E565B9"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Number</w:t>
            </w:r>
          </w:p>
        </w:tc>
        <w:tc>
          <w:tcPr>
            <w:tcW w:w="1640" w:type="dxa"/>
          </w:tcPr>
          <w:p w14:paraId="297C1332"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w:t>
            </w:r>
          </w:p>
        </w:tc>
        <w:tc>
          <w:tcPr>
            <w:tcW w:w="1458" w:type="dxa"/>
          </w:tcPr>
          <w:p w14:paraId="17F9265B"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Number</w:t>
            </w:r>
          </w:p>
        </w:tc>
        <w:tc>
          <w:tcPr>
            <w:tcW w:w="1749" w:type="dxa"/>
          </w:tcPr>
          <w:p w14:paraId="4C412595" w14:textId="77777777" w:rsidR="00DC384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w:t>
            </w:r>
          </w:p>
        </w:tc>
      </w:tr>
      <w:tr w:rsidR="00DC3841" w14:paraId="691793B7"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44042BE9" w14:textId="77777777" w:rsidR="00DC3841" w:rsidRDefault="00DC3841" w:rsidP="007C520D">
            <w:pPr>
              <w:spacing w:beforeAutospacing="1" w:afterAutospacing="1"/>
            </w:pPr>
            <w:r>
              <w:rPr>
                <w:color w:val="000000"/>
              </w:rPr>
              <w:t>2000 or later</w:t>
            </w:r>
          </w:p>
        </w:tc>
        <w:tc>
          <w:tcPr>
            <w:tcW w:w="0" w:type="auto"/>
          </w:tcPr>
          <w:p w14:paraId="6F155D3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108,113</w:t>
            </w:r>
          </w:p>
        </w:tc>
        <w:tc>
          <w:tcPr>
            <w:tcW w:w="0" w:type="auto"/>
          </w:tcPr>
          <w:p w14:paraId="21A4E89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15%</w:t>
            </w:r>
          </w:p>
        </w:tc>
        <w:tc>
          <w:tcPr>
            <w:tcW w:w="0" w:type="auto"/>
          </w:tcPr>
          <w:p w14:paraId="4E7B769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50,847</w:t>
            </w:r>
          </w:p>
        </w:tc>
        <w:tc>
          <w:tcPr>
            <w:tcW w:w="0" w:type="auto"/>
          </w:tcPr>
          <w:p w14:paraId="71807BBA"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14%</w:t>
            </w:r>
          </w:p>
        </w:tc>
      </w:tr>
      <w:tr w:rsidR="00DC3841" w14:paraId="0BBEA6C3"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ACB24" w14:textId="77777777" w:rsidR="00DC3841" w:rsidRDefault="00DC3841" w:rsidP="007C520D">
            <w:pPr>
              <w:spacing w:beforeAutospacing="1" w:afterAutospacing="1"/>
            </w:pPr>
            <w:r>
              <w:rPr>
                <w:color w:val="000000"/>
              </w:rPr>
              <w:t>1980-1999</w:t>
            </w:r>
          </w:p>
        </w:tc>
        <w:tc>
          <w:tcPr>
            <w:tcW w:w="0" w:type="auto"/>
          </w:tcPr>
          <w:p w14:paraId="0FA000F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189,714</w:t>
            </w:r>
          </w:p>
        </w:tc>
        <w:tc>
          <w:tcPr>
            <w:tcW w:w="0" w:type="auto"/>
          </w:tcPr>
          <w:p w14:paraId="0852CCB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26%</w:t>
            </w:r>
          </w:p>
        </w:tc>
        <w:tc>
          <w:tcPr>
            <w:tcW w:w="0" w:type="auto"/>
          </w:tcPr>
          <w:p w14:paraId="6B855EE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94,450</w:t>
            </w:r>
          </w:p>
        </w:tc>
        <w:tc>
          <w:tcPr>
            <w:tcW w:w="0" w:type="auto"/>
          </w:tcPr>
          <w:p w14:paraId="7696A18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25%</w:t>
            </w:r>
          </w:p>
        </w:tc>
      </w:tr>
      <w:tr w:rsidR="00DC3841" w14:paraId="6E84C59C"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2C1032AD" w14:textId="77777777" w:rsidR="00DC3841" w:rsidRDefault="00DC3841" w:rsidP="007C520D">
            <w:pPr>
              <w:spacing w:beforeAutospacing="1" w:afterAutospacing="1"/>
            </w:pPr>
            <w:r>
              <w:rPr>
                <w:color w:val="000000"/>
              </w:rPr>
              <w:t>1950-1979</w:t>
            </w:r>
          </w:p>
        </w:tc>
        <w:tc>
          <w:tcPr>
            <w:tcW w:w="0" w:type="auto"/>
          </w:tcPr>
          <w:p w14:paraId="0474D44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281,363</w:t>
            </w:r>
          </w:p>
        </w:tc>
        <w:tc>
          <w:tcPr>
            <w:tcW w:w="0" w:type="auto"/>
          </w:tcPr>
          <w:p w14:paraId="1100F2A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38%</w:t>
            </w:r>
          </w:p>
        </w:tc>
        <w:tc>
          <w:tcPr>
            <w:tcW w:w="0" w:type="auto"/>
          </w:tcPr>
          <w:p w14:paraId="6C68B27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155,909</w:t>
            </w:r>
          </w:p>
        </w:tc>
        <w:tc>
          <w:tcPr>
            <w:tcW w:w="0" w:type="auto"/>
          </w:tcPr>
          <w:p w14:paraId="0794B23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42%</w:t>
            </w:r>
          </w:p>
        </w:tc>
      </w:tr>
      <w:tr w:rsidR="00DC3841" w14:paraId="5EED5E0D"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9DDA45" w14:textId="77777777" w:rsidR="00DC3841" w:rsidRDefault="00DC3841" w:rsidP="007C520D">
            <w:pPr>
              <w:spacing w:beforeAutospacing="1" w:afterAutospacing="1"/>
            </w:pPr>
            <w:r>
              <w:rPr>
                <w:color w:val="000000"/>
              </w:rPr>
              <w:t>Before 1950</w:t>
            </w:r>
          </w:p>
        </w:tc>
        <w:tc>
          <w:tcPr>
            <w:tcW w:w="0" w:type="auto"/>
          </w:tcPr>
          <w:p w14:paraId="20CB78C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161,153</w:t>
            </w:r>
          </w:p>
        </w:tc>
        <w:tc>
          <w:tcPr>
            <w:tcW w:w="0" w:type="auto"/>
          </w:tcPr>
          <w:p w14:paraId="38E58A4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22%</w:t>
            </w:r>
          </w:p>
        </w:tc>
        <w:tc>
          <w:tcPr>
            <w:tcW w:w="0" w:type="auto"/>
          </w:tcPr>
          <w:p w14:paraId="58F624F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74,309</w:t>
            </w:r>
          </w:p>
        </w:tc>
        <w:tc>
          <w:tcPr>
            <w:tcW w:w="0" w:type="auto"/>
          </w:tcPr>
          <w:p w14:paraId="75F54F3A"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20%</w:t>
            </w:r>
          </w:p>
        </w:tc>
      </w:tr>
      <w:tr w:rsidR="00DC3841" w14:paraId="4B1E7D44" w14:textId="77777777" w:rsidTr="007C52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3E0DD6" w14:textId="77777777" w:rsidR="00DC3841" w:rsidRDefault="00DC3841" w:rsidP="007C520D">
            <w:pPr>
              <w:spacing w:beforeAutospacing="1" w:afterAutospacing="1"/>
            </w:pPr>
            <w:r>
              <w:rPr>
                <w:rFonts w:ascii="Verdana" w:hAnsi="Verdana"/>
                <w:b w:val="0"/>
                <w:i/>
                <w:color w:val="000000"/>
                <w:sz w:val="16"/>
              </w:rPr>
              <w:t>Total</w:t>
            </w:r>
          </w:p>
        </w:tc>
        <w:tc>
          <w:tcPr>
            <w:tcW w:w="0" w:type="auto"/>
          </w:tcPr>
          <w:p w14:paraId="0EA5A0EA"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749,737</w:t>
            </w:r>
          </w:p>
        </w:tc>
        <w:tc>
          <w:tcPr>
            <w:tcW w:w="0" w:type="auto"/>
          </w:tcPr>
          <w:p w14:paraId="031AE024"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101%</w:t>
            </w:r>
          </w:p>
        </w:tc>
        <w:tc>
          <w:tcPr>
            <w:tcW w:w="0" w:type="auto"/>
          </w:tcPr>
          <w:p w14:paraId="39158238"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360,703</w:t>
            </w:r>
          </w:p>
        </w:tc>
        <w:tc>
          <w:tcPr>
            <w:tcW w:w="0" w:type="auto"/>
          </w:tcPr>
          <w:p w14:paraId="09318095"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rFonts w:ascii="Verdana" w:hAnsi="Verdana"/>
                <w:i/>
                <w:color w:val="000000"/>
                <w:sz w:val="16"/>
              </w:rPr>
              <w:t>101%</w:t>
            </w:r>
          </w:p>
        </w:tc>
      </w:tr>
    </w:tbl>
    <w:p w14:paraId="6BB868D3" w14:textId="77777777" w:rsidR="00DC3841" w:rsidRPr="0075523F" w:rsidRDefault="00DC3841" w:rsidP="00DC3841">
      <w:pPr>
        <w:rPr>
          <w:rFonts w:asciiTheme="minorHAnsi" w:hAnsiTheme="minorHAnsi"/>
          <w:vanish/>
        </w:rPr>
      </w:pPr>
      <w:r w:rsidRPr="0075523F">
        <w:rPr>
          <w:rFonts w:asciiTheme="minorHAnsi" w:hAnsiTheme="minorHAnsi"/>
          <w:i/>
          <w:sz w:val="18"/>
        </w:rPr>
        <w:t>Source: 2012-2016 ACS (B25036)</w:t>
      </w:r>
    </w:p>
    <w:p w14:paraId="1C9A5FAA" w14:textId="77777777" w:rsidR="00DC3841" w:rsidRDefault="00DC3841" w:rsidP="00DC3841">
      <w:pPr>
        <w:rPr>
          <w:rFonts w:asciiTheme="minorHAnsi" w:hAnsiTheme="minorHAnsi"/>
          <w:b/>
          <w:vanish/>
          <w:sz w:val="16"/>
        </w:rPr>
      </w:pPr>
    </w:p>
    <w:p w14:paraId="6954BDB8" w14:textId="77777777" w:rsidR="00DC3841" w:rsidRDefault="00DC3841" w:rsidP="00DC3841">
      <w:pPr>
        <w:spacing w:after="0" w:line="240" w:lineRule="auto"/>
        <w:rPr>
          <w:rFonts w:asciiTheme="minorHAnsi" w:hAnsiTheme="minorHAnsi"/>
        </w:rPr>
      </w:pPr>
    </w:p>
    <w:p w14:paraId="72FF2830" w14:textId="77777777" w:rsidR="00DC3841" w:rsidRDefault="00DC3841" w:rsidP="00DC3841">
      <w:pPr>
        <w:spacing w:after="0" w:line="240" w:lineRule="auto"/>
        <w:rPr>
          <w:rFonts w:asciiTheme="minorHAnsi" w:hAnsiTheme="minorHAnsi"/>
        </w:rPr>
      </w:pPr>
    </w:p>
    <w:p w14:paraId="41B5AC4E" w14:textId="77777777" w:rsidR="00DC3841" w:rsidRPr="00FF6E63" w:rsidRDefault="00DC3841" w:rsidP="00DC3841">
      <w:pPr>
        <w:spacing w:after="0" w:line="240" w:lineRule="auto"/>
        <w:rPr>
          <w:rFonts w:asciiTheme="minorHAnsi" w:hAnsiTheme="minorHAnsi"/>
          <w:sz w:val="24"/>
        </w:rPr>
      </w:pPr>
      <w:r>
        <w:rPr>
          <w:rFonts w:asciiTheme="minorHAnsi" w:hAnsiTheme="minorHAnsi"/>
          <w:sz w:val="24"/>
        </w:rPr>
        <w:t xml:space="preserve">The housing stock in Kansas is a mix of newly constructed units, units that are 20-40 years old, and older units built before 1950. According to 2013 ACS data, the median age of a housing unit in Kansas is 1972. </w:t>
      </w:r>
    </w:p>
    <w:p w14:paraId="719FF158" w14:textId="77777777" w:rsidR="00DC3841" w:rsidRDefault="00DC3841" w:rsidP="00DC3841">
      <w:pPr>
        <w:spacing w:after="0" w:line="240" w:lineRule="auto"/>
        <w:rPr>
          <w:rFonts w:asciiTheme="minorHAnsi" w:hAnsiTheme="minorHAnsi"/>
        </w:rPr>
      </w:pPr>
    </w:p>
    <w:p w14:paraId="1FFAA1F9" w14:textId="77777777" w:rsidR="00DC3841" w:rsidRDefault="00DC3841" w:rsidP="00DC3841">
      <w:pPr>
        <w:pStyle w:val="ParagraphHeader"/>
      </w:pPr>
      <w:r>
        <w:t>Risk of Lead-Based Paint Hazard</w:t>
      </w:r>
    </w:p>
    <w:p w14:paraId="6D24A199" w14:textId="77777777" w:rsidR="00DC3841" w:rsidRPr="00255931" w:rsidRDefault="00DC3841" w:rsidP="00DC3841">
      <w:pPr>
        <w:pStyle w:val="Body"/>
        <w:rPr>
          <w:sz w:val="24"/>
          <w:szCs w:val="24"/>
        </w:rPr>
      </w:pPr>
      <w:r>
        <w:rPr>
          <w:sz w:val="24"/>
          <w:szCs w:val="24"/>
        </w:rPr>
        <w:t xml:space="preserve">HUD has made the elimination of housing units containing lead-based paint a priority. The poisoning of children from contact with lead-based paint has been recognized as a major public health problem by the Center for Disease Control (CDC). According to the CDC, lead is the number one environmental health hazard to American children. It is estimated that 10-15% of all preschoolers in the United States are affected. Lead poisoning causes IQ reductions, reading and learning disabilities, decreased attention span, hyperactivity, and aggressive behavior. </w:t>
      </w:r>
    </w:p>
    <w:p w14:paraId="31586A1C" w14:textId="77777777" w:rsidR="00DC3841" w:rsidRDefault="00DC3841" w:rsidP="00DC3841">
      <w:pPr>
        <w:spacing w:after="0" w:line="240" w:lineRule="auto"/>
        <w:rPr>
          <w:rFonts w:asciiTheme="minorHAnsi" w:hAnsiTheme="minorHAnsi"/>
        </w:rPr>
      </w:pPr>
    </w:p>
    <w:p w14:paraId="27EB9402" w14:textId="77777777" w:rsidR="00DC3841" w:rsidRDefault="00DC3841" w:rsidP="00DC3841">
      <w:pPr>
        <w:keepNext/>
        <w:widowControl w:val="0"/>
        <w:spacing w:after="0" w:line="240" w:lineRule="auto"/>
        <w:rPr>
          <w:rFonts w:asciiTheme="minorHAnsi" w:hAnsiTheme="minorHAnsi"/>
          <w:b/>
          <w:sz w:val="24"/>
        </w:rPr>
      </w:pPr>
      <w:r>
        <w:rPr>
          <w:rFonts w:asciiTheme="minorHAnsi" w:hAnsiTheme="minorHAnsi"/>
          <w:b/>
          <w:sz w:val="24"/>
        </w:rPr>
        <w:t>Table 11 – Risk of Lead-Based Paint Hazard</w:t>
      </w:r>
    </w:p>
    <w:tbl>
      <w:tblPr>
        <w:tblStyle w:val="GridTable4-Accent1"/>
        <w:tblW w:w="5000" w:type="pct"/>
        <w:tblLayout w:type="fixed"/>
        <w:tblLook w:val="04A0" w:firstRow="1" w:lastRow="0" w:firstColumn="1" w:lastColumn="0" w:noHBand="0" w:noVBand="1"/>
      </w:tblPr>
      <w:tblGrid>
        <w:gridCol w:w="5145"/>
        <w:gridCol w:w="1052"/>
        <w:gridCol w:w="1051"/>
        <w:gridCol w:w="1051"/>
        <w:gridCol w:w="1051"/>
      </w:tblGrid>
      <w:tr w:rsidR="00DC3841" w14:paraId="19E9C1AB"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0" w:type="dxa"/>
            <w:vMerge w:val="restart"/>
          </w:tcPr>
          <w:p w14:paraId="1399D06B" w14:textId="77777777" w:rsidR="00DC3841" w:rsidRDefault="00DC3841" w:rsidP="007C520D">
            <w:pPr>
              <w:keepNext/>
              <w:widowControl w:val="0"/>
              <w:spacing w:after="0" w:line="240" w:lineRule="auto"/>
              <w:jc w:val="center"/>
              <w:rPr>
                <w:rFonts w:asciiTheme="minorHAnsi" w:hAnsiTheme="minorHAnsi"/>
              </w:rPr>
            </w:pPr>
            <w:r>
              <w:rPr>
                <w:rFonts w:asciiTheme="minorHAnsi" w:hAnsiTheme="minorHAnsi"/>
                <w:b w:val="0"/>
              </w:rPr>
              <w:t>Risk of Lead-Based Paint Hazard</w:t>
            </w:r>
          </w:p>
        </w:tc>
        <w:tc>
          <w:tcPr>
            <w:tcW w:w="2148" w:type="dxa"/>
            <w:gridSpan w:val="2"/>
          </w:tcPr>
          <w:p w14:paraId="0EDD5B7C"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val="0"/>
              </w:rPr>
              <w:t>Owner-Occupied</w:t>
            </w:r>
          </w:p>
        </w:tc>
        <w:tc>
          <w:tcPr>
            <w:tcW w:w="2148" w:type="dxa"/>
            <w:gridSpan w:val="2"/>
          </w:tcPr>
          <w:p w14:paraId="5D0B69E1"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Renter-Occupied</w:t>
            </w:r>
          </w:p>
        </w:tc>
      </w:tr>
      <w:tr w:rsidR="00DC3841" w14:paraId="0AE1339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0" w:type="dxa"/>
            <w:vMerge/>
          </w:tcPr>
          <w:p w14:paraId="37B78A4C" w14:textId="77777777" w:rsidR="00DC3841" w:rsidRDefault="00DC3841" w:rsidP="007C520D">
            <w:pPr>
              <w:keepNext/>
              <w:widowControl w:val="0"/>
              <w:spacing w:after="0" w:line="240" w:lineRule="auto"/>
              <w:jc w:val="center"/>
              <w:rPr>
                <w:rFonts w:asciiTheme="minorHAnsi" w:hAnsiTheme="minorHAnsi"/>
              </w:rPr>
            </w:pPr>
          </w:p>
        </w:tc>
        <w:tc>
          <w:tcPr>
            <w:tcW w:w="1074" w:type="dxa"/>
          </w:tcPr>
          <w:p w14:paraId="174162E6"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Number</w:t>
            </w:r>
          </w:p>
        </w:tc>
        <w:tc>
          <w:tcPr>
            <w:tcW w:w="1074" w:type="dxa"/>
          </w:tcPr>
          <w:p w14:paraId="427BCA80"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w:t>
            </w:r>
          </w:p>
        </w:tc>
        <w:tc>
          <w:tcPr>
            <w:tcW w:w="1074" w:type="dxa"/>
          </w:tcPr>
          <w:p w14:paraId="22146C24"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Number</w:t>
            </w:r>
          </w:p>
        </w:tc>
        <w:tc>
          <w:tcPr>
            <w:tcW w:w="1074" w:type="dxa"/>
          </w:tcPr>
          <w:p w14:paraId="04855A2D" w14:textId="77777777" w:rsidR="00DC384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w:t>
            </w:r>
          </w:p>
        </w:tc>
      </w:tr>
      <w:tr w:rsidR="00DC3841" w14:paraId="63DBE87D" w14:textId="77777777" w:rsidTr="007C520D">
        <w:tc>
          <w:tcPr>
            <w:cnfStyle w:val="001000000000" w:firstRow="0" w:lastRow="0" w:firstColumn="1" w:lastColumn="0" w:oddVBand="0" w:evenVBand="0" w:oddHBand="0" w:evenHBand="0" w:firstRowFirstColumn="0" w:firstRowLastColumn="0" w:lastRowFirstColumn="0" w:lastRowLastColumn="0"/>
            <w:tcW w:w="5280" w:type="dxa"/>
          </w:tcPr>
          <w:p w14:paraId="7C83CC2A" w14:textId="77777777" w:rsidR="00DC3841" w:rsidRDefault="00DC3841" w:rsidP="007C520D">
            <w:pPr>
              <w:spacing w:beforeAutospacing="1" w:afterAutospacing="1"/>
            </w:pPr>
            <w:r>
              <w:rPr>
                <w:color w:val="000000"/>
              </w:rPr>
              <w:t>Total Number of Units Built Before 1980</w:t>
            </w:r>
          </w:p>
        </w:tc>
        <w:tc>
          <w:tcPr>
            <w:tcW w:w="1074" w:type="dxa"/>
          </w:tcPr>
          <w:p w14:paraId="673C519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459,716</w:t>
            </w:r>
          </w:p>
        </w:tc>
        <w:tc>
          <w:tcPr>
            <w:tcW w:w="1074" w:type="dxa"/>
          </w:tcPr>
          <w:p w14:paraId="1012916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61%</w:t>
            </w:r>
          </w:p>
        </w:tc>
        <w:tc>
          <w:tcPr>
            <w:tcW w:w="1074" w:type="dxa"/>
          </w:tcPr>
          <w:p w14:paraId="335FFE5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228,108</w:t>
            </w:r>
          </w:p>
        </w:tc>
        <w:tc>
          <w:tcPr>
            <w:tcW w:w="1074" w:type="dxa"/>
          </w:tcPr>
          <w:p w14:paraId="04AC5F97"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63%</w:t>
            </w:r>
          </w:p>
        </w:tc>
      </w:tr>
      <w:tr w:rsidR="00DC3841" w14:paraId="436E5B16"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0" w:type="dxa"/>
          </w:tcPr>
          <w:p w14:paraId="0672EBF0" w14:textId="77777777" w:rsidR="00DC3841" w:rsidRDefault="00DC3841" w:rsidP="007C520D">
            <w:pPr>
              <w:spacing w:beforeAutospacing="1" w:afterAutospacing="1"/>
              <w:rPr>
                <w:color w:val="000000"/>
              </w:rPr>
            </w:pPr>
            <w:r>
              <w:rPr>
                <w:color w:val="000000"/>
              </w:rPr>
              <w:t>Housing Units build before 1980 with children present</w:t>
            </w:r>
          </w:p>
        </w:tc>
        <w:tc>
          <w:tcPr>
            <w:tcW w:w="1074" w:type="dxa"/>
            <w:vAlign w:val="bottom"/>
          </w:tcPr>
          <w:p w14:paraId="01D2189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77,790</w:t>
            </w:r>
          </w:p>
        </w:tc>
        <w:tc>
          <w:tcPr>
            <w:tcW w:w="1074" w:type="dxa"/>
            <w:vAlign w:val="bottom"/>
          </w:tcPr>
          <w:p w14:paraId="740596B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1074" w:type="dxa"/>
            <w:vAlign w:val="bottom"/>
          </w:tcPr>
          <w:p w14:paraId="1572F59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54,165</w:t>
            </w:r>
          </w:p>
        </w:tc>
        <w:tc>
          <w:tcPr>
            <w:tcW w:w="1074" w:type="dxa"/>
            <w:vAlign w:val="bottom"/>
          </w:tcPr>
          <w:p w14:paraId="7644AB5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r>
    </w:tbl>
    <w:p w14:paraId="7BA9283D" w14:textId="77777777" w:rsidR="00DC3841" w:rsidRDefault="00DC3841" w:rsidP="00DC3841">
      <w:pPr>
        <w:keepNext/>
        <w:widowControl w:val="0"/>
        <w:spacing w:after="0" w:line="240" w:lineRule="auto"/>
        <w:rPr>
          <w:rFonts w:asciiTheme="minorHAnsi" w:hAnsiTheme="minorHAnsi"/>
          <w:b/>
          <w:vanish/>
          <w:sz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5"/>
        <w:gridCol w:w="1052"/>
        <w:gridCol w:w="1051"/>
        <w:gridCol w:w="1051"/>
        <w:gridCol w:w="1051"/>
      </w:tblGrid>
      <w:tr w:rsidR="00DC3841" w14:paraId="3092D5D6" w14:textId="77777777" w:rsidTr="007C520D">
        <w:trPr>
          <w:cantSplit/>
          <w:hidden/>
        </w:trPr>
        <w:tc>
          <w:tcPr>
            <w:tcW w:w="5280" w:type="dxa"/>
            <w:tcBorders>
              <w:top w:val="nil"/>
            </w:tcBorders>
          </w:tcPr>
          <w:p w14:paraId="2379B6C8" w14:textId="77777777" w:rsidR="00DC3841" w:rsidRDefault="00DC3841" w:rsidP="007C520D">
            <w:pPr>
              <w:keepNext/>
              <w:widowControl w:val="0"/>
              <w:spacing w:after="0" w:line="240" w:lineRule="auto"/>
              <w:rPr>
                <w:rFonts w:asciiTheme="minorHAnsi" w:hAnsiTheme="minorHAnsi"/>
                <w:vanish/>
              </w:rPr>
            </w:pPr>
          </w:p>
        </w:tc>
        <w:tc>
          <w:tcPr>
            <w:tcW w:w="1074" w:type="dxa"/>
            <w:tcBorders>
              <w:top w:val="nil"/>
            </w:tcBorders>
          </w:tcPr>
          <w:p w14:paraId="0F65CBA2" w14:textId="77777777" w:rsidR="00DC3841" w:rsidRDefault="00DC3841" w:rsidP="007C520D">
            <w:pPr>
              <w:keepNext/>
              <w:widowControl w:val="0"/>
              <w:spacing w:after="0" w:line="240" w:lineRule="auto"/>
              <w:rPr>
                <w:rFonts w:asciiTheme="minorHAnsi" w:hAnsiTheme="minorHAnsi"/>
                <w:vanish/>
              </w:rPr>
            </w:pPr>
          </w:p>
        </w:tc>
        <w:tc>
          <w:tcPr>
            <w:tcW w:w="1074" w:type="dxa"/>
            <w:tcBorders>
              <w:top w:val="nil"/>
            </w:tcBorders>
          </w:tcPr>
          <w:p w14:paraId="4F41C970" w14:textId="77777777" w:rsidR="00DC3841" w:rsidRDefault="00DC3841" w:rsidP="007C520D">
            <w:pPr>
              <w:keepNext/>
              <w:widowControl w:val="0"/>
              <w:spacing w:after="0" w:line="240" w:lineRule="auto"/>
              <w:rPr>
                <w:rFonts w:asciiTheme="minorHAnsi" w:hAnsiTheme="minorHAnsi"/>
                <w:vanish/>
              </w:rPr>
            </w:pPr>
          </w:p>
        </w:tc>
        <w:tc>
          <w:tcPr>
            <w:tcW w:w="1074" w:type="dxa"/>
            <w:tcBorders>
              <w:top w:val="nil"/>
            </w:tcBorders>
          </w:tcPr>
          <w:p w14:paraId="29D9A162" w14:textId="77777777" w:rsidR="00DC3841" w:rsidRDefault="00DC3841" w:rsidP="007C520D">
            <w:pPr>
              <w:keepNext/>
              <w:widowControl w:val="0"/>
              <w:spacing w:after="0" w:line="240" w:lineRule="auto"/>
              <w:rPr>
                <w:rFonts w:asciiTheme="minorHAnsi" w:hAnsiTheme="minorHAnsi"/>
                <w:vanish/>
              </w:rPr>
            </w:pPr>
          </w:p>
        </w:tc>
        <w:tc>
          <w:tcPr>
            <w:tcW w:w="1074" w:type="dxa"/>
            <w:tcBorders>
              <w:top w:val="nil"/>
            </w:tcBorders>
          </w:tcPr>
          <w:p w14:paraId="1D110252" w14:textId="77777777" w:rsidR="00DC3841" w:rsidRDefault="00DC3841" w:rsidP="007C520D">
            <w:pPr>
              <w:keepNext/>
              <w:widowControl w:val="0"/>
              <w:spacing w:after="0" w:line="240" w:lineRule="auto"/>
              <w:rPr>
                <w:rFonts w:asciiTheme="minorHAnsi" w:hAnsiTheme="minorHAnsi"/>
                <w:vanish/>
              </w:rPr>
            </w:pPr>
          </w:p>
        </w:tc>
      </w:tr>
      <w:tr w:rsidR="00DC3841" w14:paraId="1A4868A8" w14:textId="77777777" w:rsidTr="007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6" w:type="dxa"/>
            <w:gridSpan w:val="5"/>
          </w:tcPr>
          <w:p w14:paraId="0C22489D" w14:textId="77777777" w:rsidR="00DC3841" w:rsidRDefault="00DC3841" w:rsidP="007C520D">
            <w:pPr>
              <w:spacing w:after="0" w:line="240" w:lineRule="auto"/>
              <w:rPr>
                <w:rFonts w:asciiTheme="minorHAnsi" w:hAnsiTheme="minorHAnsi"/>
                <w:sz w:val="16"/>
              </w:rPr>
            </w:pPr>
            <w:r w:rsidRPr="0062090B">
              <w:rPr>
                <w:rFonts w:asciiTheme="minorHAnsi" w:hAnsiTheme="minorHAnsi"/>
                <w:i/>
                <w:sz w:val="18"/>
              </w:rPr>
              <w:t>Source: 2009-2013 ACS (Total Units) 2009-2013 CHAS (Units with Children present)</w:t>
            </w:r>
          </w:p>
        </w:tc>
      </w:tr>
    </w:tbl>
    <w:p w14:paraId="66E3C2A8" w14:textId="77777777" w:rsidR="00DC3841" w:rsidRDefault="00DC3841" w:rsidP="00DC3841">
      <w:pPr>
        <w:rPr>
          <w:rFonts w:asciiTheme="minorHAnsi" w:hAnsiTheme="minorHAnsi"/>
          <w:vanish/>
        </w:rPr>
      </w:pPr>
    </w:p>
    <w:p w14:paraId="4AAF87C3" w14:textId="77777777" w:rsidR="00DC3841" w:rsidRDefault="00DC3841" w:rsidP="00DC3841">
      <w:pPr>
        <w:rPr>
          <w:rFonts w:asciiTheme="minorHAnsi" w:hAnsiTheme="minorHAnsi"/>
          <w:b/>
          <w:vanish/>
          <w:sz w:val="16"/>
        </w:rPr>
      </w:pPr>
    </w:p>
    <w:p w14:paraId="4AF830C9" w14:textId="77777777" w:rsidR="00DC3841" w:rsidRDefault="00DC3841" w:rsidP="00DC3841">
      <w:pPr>
        <w:spacing w:after="0" w:line="240" w:lineRule="auto"/>
        <w:rPr>
          <w:rFonts w:asciiTheme="minorHAnsi" w:hAnsiTheme="minorHAnsi"/>
        </w:rPr>
      </w:pPr>
    </w:p>
    <w:p w14:paraId="2E746CE8" w14:textId="77777777" w:rsidR="00DC3841" w:rsidRDefault="00DC3841" w:rsidP="00DC3841">
      <w:pPr>
        <w:spacing w:after="0" w:line="240" w:lineRule="auto"/>
        <w:rPr>
          <w:rFonts w:asciiTheme="minorHAnsi" w:hAnsiTheme="minorHAnsi"/>
          <w:sz w:val="24"/>
        </w:rPr>
      </w:pPr>
      <w:r>
        <w:rPr>
          <w:rFonts w:asciiTheme="minorHAnsi" w:hAnsiTheme="minorHAnsi"/>
          <w:sz w:val="24"/>
        </w:rPr>
        <w:t xml:space="preserve">Lead was banned as a construction material in 1978, due to its toxicity. Exposure to lead may cause a wide range of health problems, especially in younger children because lead exposure may inhibit developmental capacities. Lead from paint can seep into things both inside and outside of the home, leaving potential for lead mixed materials to be tracked throughout homes. Table 10, above, outlines the potential risks to lead based hazards by indicating the share of the housing market that could potentially still retain lead building materials because the ban on the material didn’t occur until 1978. </w:t>
      </w:r>
    </w:p>
    <w:p w14:paraId="4382CA9C" w14:textId="77777777" w:rsidR="00DC3841" w:rsidRDefault="00DC3841" w:rsidP="00DC3841">
      <w:pPr>
        <w:spacing w:after="0" w:line="240" w:lineRule="auto"/>
        <w:rPr>
          <w:rFonts w:asciiTheme="minorHAnsi" w:hAnsiTheme="minorHAnsi"/>
          <w:sz w:val="24"/>
        </w:rPr>
      </w:pPr>
    </w:p>
    <w:p w14:paraId="0BA3A3B5" w14:textId="1590EFA9" w:rsidR="00DC3841" w:rsidRDefault="00DC3841" w:rsidP="00DC3841">
      <w:pPr>
        <w:spacing w:after="0" w:line="240" w:lineRule="auto"/>
        <w:rPr>
          <w:rFonts w:asciiTheme="minorHAnsi" w:hAnsiTheme="minorHAnsi"/>
          <w:sz w:val="24"/>
        </w:rPr>
      </w:pPr>
      <w:r>
        <w:rPr>
          <w:rFonts w:asciiTheme="minorHAnsi" w:hAnsiTheme="minorHAnsi"/>
          <w:sz w:val="24"/>
        </w:rPr>
        <w:t xml:space="preserve">There is a total of 131,955 households in Kansas that have children living in a housing unit that was constructed before 1980. The median age Kansas housing stock is 1972, six years before the lead ban as a construction material. </w:t>
      </w:r>
    </w:p>
    <w:p w14:paraId="7446E0FC" w14:textId="5E322565" w:rsidR="00BC0933" w:rsidRDefault="00BC0933" w:rsidP="00DC3841">
      <w:pPr>
        <w:spacing w:after="0" w:line="240" w:lineRule="auto"/>
        <w:rPr>
          <w:rFonts w:asciiTheme="minorHAnsi" w:hAnsiTheme="minorHAnsi"/>
          <w:sz w:val="24"/>
        </w:rPr>
      </w:pPr>
    </w:p>
    <w:p w14:paraId="44D18BA7" w14:textId="3E7D6800" w:rsidR="00BC0933" w:rsidRDefault="00BC0933" w:rsidP="00DC3841">
      <w:pPr>
        <w:spacing w:after="0" w:line="240" w:lineRule="auto"/>
        <w:rPr>
          <w:rFonts w:asciiTheme="minorHAnsi" w:hAnsiTheme="minorHAnsi"/>
          <w:sz w:val="24"/>
        </w:rPr>
      </w:pPr>
      <w:r>
        <w:rPr>
          <w:rFonts w:asciiTheme="minorHAnsi" w:hAnsiTheme="minorHAnsi"/>
          <w:sz w:val="24"/>
        </w:rPr>
        <w:t xml:space="preserve">The Kansas Department of Health and Environment (KDHE) established the Healthy Homes and Lead Hazard Prevention Program (HHLHPP) to respond to concerns about lead and its effect on the health of Kansas, most notably our children. More information about the program is available on the Kansas Healthy Homes </w:t>
      </w:r>
      <w:hyperlink r:id="rId24" w:history="1">
        <w:r w:rsidRPr="00BC0933">
          <w:rPr>
            <w:rStyle w:val="Hyperlink"/>
            <w:rFonts w:asciiTheme="minorHAnsi" w:hAnsiTheme="minorHAnsi"/>
            <w:sz w:val="24"/>
          </w:rPr>
          <w:t>website.</w:t>
        </w:r>
      </w:hyperlink>
      <w:r>
        <w:rPr>
          <w:rFonts w:asciiTheme="minorHAnsi" w:hAnsiTheme="minorHAnsi"/>
          <w:sz w:val="24"/>
        </w:rPr>
        <w:t xml:space="preserve"> </w:t>
      </w:r>
    </w:p>
    <w:p w14:paraId="1FCC12D9" w14:textId="77777777" w:rsidR="00DC3841" w:rsidRDefault="00DC3841" w:rsidP="00DC3841">
      <w:pPr>
        <w:spacing w:after="0" w:line="240" w:lineRule="auto"/>
        <w:rPr>
          <w:rFonts w:asciiTheme="minorHAnsi" w:hAnsiTheme="minorHAnsi"/>
          <w:sz w:val="24"/>
        </w:rPr>
      </w:pPr>
    </w:p>
    <w:p w14:paraId="72FBDC3B" w14:textId="77777777" w:rsidR="00DC3841" w:rsidRDefault="00DC3841" w:rsidP="00DC3841">
      <w:pPr>
        <w:pStyle w:val="ParagraphHeader"/>
      </w:pPr>
      <w:r>
        <w:t>Vacant Units</w:t>
      </w:r>
    </w:p>
    <w:p w14:paraId="433CB5A0" w14:textId="77777777" w:rsidR="00DC3841" w:rsidRPr="00255931" w:rsidRDefault="00DC3841" w:rsidP="00DC3841">
      <w:pPr>
        <w:rPr>
          <w:sz w:val="24"/>
          <w:szCs w:val="24"/>
        </w:rPr>
      </w:pPr>
      <w:r>
        <w:rPr>
          <w:sz w:val="24"/>
          <w:szCs w:val="24"/>
        </w:rPr>
        <w:t xml:space="preserve">The following table is generated in the HUD IDIS system. No data was available at a statewide level for vacant units. </w:t>
      </w:r>
    </w:p>
    <w:p w14:paraId="0B108E13" w14:textId="77777777" w:rsidR="00DC3841" w:rsidRPr="00DD1D42" w:rsidRDefault="00DC3841" w:rsidP="00DC3841">
      <w:pPr>
        <w:spacing w:after="0" w:line="240" w:lineRule="auto"/>
        <w:rPr>
          <w:rFonts w:asciiTheme="minorHAnsi" w:hAnsiTheme="minorHAnsi"/>
          <w:sz w:val="24"/>
        </w:rPr>
      </w:pPr>
    </w:p>
    <w:p w14:paraId="1527254E" w14:textId="77777777"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12 – Vacant Units</w:t>
      </w:r>
    </w:p>
    <w:tbl>
      <w:tblPr>
        <w:tblStyle w:val="GridTable4-Accent1"/>
        <w:tblW w:w="5000" w:type="pct"/>
        <w:tblLook w:val="04A0" w:firstRow="1" w:lastRow="0" w:firstColumn="1" w:lastColumn="0" w:noHBand="0" w:noVBand="1"/>
      </w:tblPr>
      <w:tblGrid>
        <w:gridCol w:w="3360"/>
        <w:gridCol w:w="2001"/>
        <w:gridCol w:w="2001"/>
        <w:gridCol w:w="1988"/>
      </w:tblGrid>
      <w:tr w:rsidR="00DC3841" w14:paraId="36583628"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9CECFDE" w14:textId="77777777" w:rsidR="00DC3841" w:rsidRDefault="00DC3841" w:rsidP="007C520D">
            <w:pPr>
              <w:keepNext/>
              <w:widowControl w:val="0"/>
              <w:spacing w:after="0" w:line="240" w:lineRule="auto"/>
              <w:jc w:val="center"/>
              <w:rPr>
                <w:rFonts w:asciiTheme="minorHAnsi" w:hAnsiTheme="minorHAnsi"/>
                <w:b w:val="0"/>
                <w:i/>
              </w:rPr>
            </w:pPr>
          </w:p>
        </w:tc>
        <w:tc>
          <w:tcPr>
            <w:tcW w:w="2016" w:type="dxa"/>
          </w:tcPr>
          <w:p w14:paraId="2E0949C5"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Pr>
                <w:rFonts w:asciiTheme="minorHAnsi" w:hAnsiTheme="minorHAnsi"/>
                <w:b w:val="0"/>
              </w:rPr>
              <w:t>Suitable for Rehabilitation</w:t>
            </w:r>
          </w:p>
        </w:tc>
        <w:tc>
          <w:tcPr>
            <w:tcW w:w="2016" w:type="dxa"/>
          </w:tcPr>
          <w:p w14:paraId="355FE767"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Pr>
                <w:rFonts w:asciiTheme="minorHAnsi" w:hAnsiTheme="minorHAnsi"/>
                <w:b w:val="0"/>
              </w:rPr>
              <w:t>Not Suitable for Rehabilitation</w:t>
            </w:r>
          </w:p>
        </w:tc>
        <w:tc>
          <w:tcPr>
            <w:tcW w:w="2016" w:type="dxa"/>
          </w:tcPr>
          <w:p w14:paraId="3B3D3648"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Pr>
                <w:rFonts w:asciiTheme="minorHAnsi" w:hAnsiTheme="minorHAnsi"/>
                <w:b w:val="0"/>
              </w:rPr>
              <w:t>Total</w:t>
            </w:r>
          </w:p>
        </w:tc>
      </w:tr>
      <w:tr w:rsidR="00DC3841" w14:paraId="570370C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12279BD"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Vacant Units</w:t>
            </w:r>
          </w:p>
        </w:tc>
        <w:tc>
          <w:tcPr>
            <w:tcW w:w="2016" w:type="dxa"/>
          </w:tcPr>
          <w:p w14:paraId="52A5465D"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16" w:type="dxa"/>
          </w:tcPr>
          <w:p w14:paraId="29893D9F"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16" w:type="dxa"/>
          </w:tcPr>
          <w:p w14:paraId="110DBC74"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C3841" w14:paraId="7F422760" w14:textId="77777777" w:rsidTr="007C520D">
        <w:tc>
          <w:tcPr>
            <w:cnfStyle w:val="001000000000" w:firstRow="0" w:lastRow="0" w:firstColumn="1" w:lastColumn="0" w:oddVBand="0" w:evenVBand="0" w:oddHBand="0" w:evenHBand="0" w:firstRowFirstColumn="0" w:firstRowLastColumn="0" w:lastRowFirstColumn="0" w:lastRowLastColumn="0"/>
            <w:tcW w:w="3420" w:type="dxa"/>
          </w:tcPr>
          <w:p w14:paraId="3A0961F2"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Abandoned Vacant Units</w:t>
            </w:r>
          </w:p>
        </w:tc>
        <w:tc>
          <w:tcPr>
            <w:tcW w:w="2016" w:type="dxa"/>
          </w:tcPr>
          <w:p w14:paraId="14FF65D8"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016" w:type="dxa"/>
          </w:tcPr>
          <w:p w14:paraId="24F2DCA6"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016" w:type="dxa"/>
          </w:tcPr>
          <w:p w14:paraId="1407833B"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C3841" w14:paraId="1C4FDA16"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7ED8FE1"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REO Properties</w:t>
            </w:r>
          </w:p>
        </w:tc>
        <w:tc>
          <w:tcPr>
            <w:tcW w:w="2016" w:type="dxa"/>
          </w:tcPr>
          <w:p w14:paraId="5FB563E8"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16" w:type="dxa"/>
          </w:tcPr>
          <w:p w14:paraId="4CC6ABD3"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16" w:type="dxa"/>
          </w:tcPr>
          <w:p w14:paraId="7CBA90BF"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C3841" w14:paraId="4C4CA5A6" w14:textId="77777777" w:rsidTr="007C520D">
        <w:tc>
          <w:tcPr>
            <w:cnfStyle w:val="001000000000" w:firstRow="0" w:lastRow="0" w:firstColumn="1" w:lastColumn="0" w:oddVBand="0" w:evenVBand="0" w:oddHBand="0" w:evenHBand="0" w:firstRowFirstColumn="0" w:firstRowLastColumn="0" w:lastRowFirstColumn="0" w:lastRowLastColumn="0"/>
            <w:tcW w:w="3420" w:type="dxa"/>
          </w:tcPr>
          <w:p w14:paraId="3E6E4AA5"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Abandoned REO Properties</w:t>
            </w:r>
          </w:p>
        </w:tc>
        <w:tc>
          <w:tcPr>
            <w:tcW w:w="2016" w:type="dxa"/>
          </w:tcPr>
          <w:p w14:paraId="28326ED0"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016" w:type="dxa"/>
          </w:tcPr>
          <w:p w14:paraId="31D1F75B"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016" w:type="dxa"/>
          </w:tcPr>
          <w:p w14:paraId="5F0B3712" w14:textId="77777777" w:rsidR="00DC3841" w:rsidRDefault="00DC3841"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Not Available</w:t>
            </w:r>
          </w:p>
        </w:tc>
      </w:tr>
    </w:tbl>
    <w:p w14:paraId="337BB1AA" w14:textId="77777777" w:rsidR="00DC3841" w:rsidRDefault="00DC3841" w:rsidP="00DC3841">
      <w:pPr>
        <w:rPr>
          <w:rFonts w:asciiTheme="minorHAnsi" w:hAnsiTheme="minorHAnsi"/>
          <w:vanish/>
        </w:rPr>
      </w:pPr>
    </w:p>
    <w:p w14:paraId="2B5B90DD" w14:textId="77777777" w:rsidR="00DC3841" w:rsidRDefault="00DC3841" w:rsidP="00DC3841">
      <w:pPr>
        <w:rPr>
          <w:rFonts w:asciiTheme="minorHAnsi" w:hAnsiTheme="minorHAnsi"/>
          <w:b/>
          <w:vanish/>
          <w:sz w:val="16"/>
        </w:rPr>
      </w:pPr>
    </w:p>
    <w:p w14:paraId="72D13A69" w14:textId="77777777" w:rsidR="00DC3841" w:rsidRDefault="00DC3841" w:rsidP="00DC3841">
      <w:pPr>
        <w:spacing w:after="0" w:line="240" w:lineRule="auto"/>
        <w:rPr>
          <w:rFonts w:asciiTheme="minorHAnsi" w:hAnsiTheme="minorHAnsi"/>
        </w:rPr>
      </w:pPr>
    </w:p>
    <w:p w14:paraId="5FBABCF6" w14:textId="77777777" w:rsidR="00DC3841" w:rsidRDefault="00DC3841" w:rsidP="00DC3841">
      <w:pPr>
        <w:spacing w:after="0" w:line="240" w:lineRule="auto"/>
        <w:rPr>
          <w:rFonts w:asciiTheme="minorHAnsi" w:hAnsiTheme="minorHAnsi"/>
        </w:rPr>
      </w:pPr>
    </w:p>
    <w:p w14:paraId="19F01C16" w14:textId="77777777" w:rsidR="00DC3841" w:rsidRDefault="00DC3841" w:rsidP="00DC3841">
      <w:pPr>
        <w:rPr>
          <w:rFonts w:asciiTheme="minorHAnsi" w:hAnsiTheme="minorHAnsi"/>
          <w:b/>
          <w:sz w:val="24"/>
        </w:rPr>
      </w:pPr>
      <w:r>
        <w:rPr>
          <w:rFonts w:asciiTheme="minorHAnsi" w:hAnsiTheme="minorHAnsi"/>
          <w:b/>
          <w:sz w:val="24"/>
        </w:rPr>
        <w:t>Need for Owner and Rental Rehabilitation</w:t>
      </w:r>
    </w:p>
    <w:p w14:paraId="2B722EFE" w14:textId="77777777" w:rsidR="00DC3841" w:rsidRDefault="00DC3841" w:rsidP="00DC3841">
      <w:pPr>
        <w:rPr>
          <w:rFonts w:asciiTheme="minorHAnsi" w:hAnsiTheme="minorHAnsi"/>
          <w:b/>
          <w:sz w:val="24"/>
        </w:rPr>
      </w:pPr>
      <w:r>
        <w:rPr>
          <w:rFonts w:asciiTheme="minorHAnsi" w:hAnsiTheme="minorHAnsi"/>
          <w:sz w:val="24"/>
        </w:rPr>
        <w:t xml:space="preserve">There is no statewide data available for this prompt. </w:t>
      </w:r>
    </w:p>
    <w:p w14:paraId="56818630" w14:textId="77777777" w:rsidR="00DC3841" w:rsidRDefault="00DC3841" w:rsidP="00DC3841">
      <w:pPr>
        <w:rPr>
          <w:rFonts w:asciiTheme="minorHAnsi" w:hAnsiTheme="minorHAnsi"/>
          <w:b/>
          <w:sz w:val="24"/>
        </w:rPr>
      </w:pPr>
      <w:r>
        <w:rPr>
          <w:rFonts w:asciiTheme="minorHAnsi" w:hAnsiTheme="minorHAnsi"/>
          <w:b/>
          <w:sz w:val="24"/>
        </w:rPr>
        <w:t>Estimated Number of Housing Units Occupied by Low or Moderate Income Families with LBP Hazards</w:t>
      </w:r>
    </w:p>
    <w:p w14:paraId="4205B6F4" w14:textId="77777777" w:rsidR="00DC3841" w:rsidRDefault="00DC3841" w:rsidP="00DC3841">
      <w:pPr>
        <w:rPr>
          <w:rFonts w:asciiTheme="minorHAnsi" w:hAnsiTheme="minorHAnsi"/>
          <w:sz w:val="24"/>
        </w:rPr>
      </w:pPr>
      <w:r>
        <w:rPr>
          <w:rFonts w:asciiTheme="minorHAnsi" w:hAnsiTheme="minorHAnsi"/>
          <w:sz w:val="24"/>
        </w:rPr>
        <w:t xml:space="preserve">There are no specific data points maintained by the Census, HUD, or Kansas that provide a count of the number of low- or moderate-income households living in housing units with lead based paint hazards. However, a reasonable assumption can be made and applied to the data reported above. </w:t>
      </w:r>
    </w:p>
    <w:p w14:paraId="70488E79" w14:textId="77777777" w:rsidR="00DC3841" w:rsidRDefault="00DC3841" w:rsidP="00A121EE">
      <w:pPr>
        <w:pStyle w:val="ListParagraph"/>
        <w:numPr>
          <w:ilvl w:val="0"/>
          <w:numId w:val="37"/>
        </w:numPr>
        <w:rPr>
          <w:rFonts w:asciiTheme="minorHAnsi" w:hAnsiTheme="minorHAnsi"/>
          <w:sz w:val="24"/>
        </w:rPr>
      </w:pPr>
      <w:r>
        <w:rPr>
          <w:rFonts w:asciiTheme="minorHAnsi" w:hAnsiTheme="minorHAnsi"/>
          <w:sz w:val="24"/>
        </w:rPr>
        <w:t>It is assumed that relatively lower home values and rental rates are more often associated with older properties, before 1980 in this case (median housing unit age in Kansas is 1972)</w:t>
      </w:r>
    </w:p>
    <w:p w14:paraId="2A8E9E03" w14:textId="77777777" w:rsidR="00DC3841" w:rsidRPr="004509D2" w:rsidRDefault="00DC3841" w:rsidP="00A121EE">
      <w:pPr>
        <w:pStyle w:val="ListParagraph"/>
        <w:numPr>
          <w:ilvl w:val="0"/>
          <w:numId w:val="37"/>
        </w:numPr>
        <w:rPr>
          <w:rFonts w:asciiTheme="minorHAnsi" w:hAnsiTheme="minorHAnsi"/>
          <w:sz w:val="24"/>
        </w:rPr>
      </w:pPr>
      <w:r w:rsidRPr="004509D2">
        <w:rPr>
          <w:rFonts w:asciiTheme="minorHAnsi" w:hAnsiTheme="minorHAnsi"/>
          <w:sz w:val="24"/>
        </w:rPr>
        <w:t>It is assumed that low- and moderate-income families represent at least half of occupied housing units built before 1980</w:t>
      </w:r>
    </w:p>
    <w:p w14:paraId="3C509BDA" w14:textId="77777777" w:rsidR="00DC3841" w:rsidRDefault="00DC3841" w:rsidP="00DC3841">
      <w:pPr>
        <w:rPr>
          <w:rFonts w:asciiTheme="minorHAnsi" w:hAnsiTheme="minorHAnsi"/>
          <w:sz w:val="24"/>
        </w:rPr>
      </w:pPr>
      <w:r>
        <w:rPr>
          <w:rFonts w:asciiTheme="minorHAnsi" w:hAnsiTheme="minorHAnsi"/>
          <w:sz w:val="24"/>
        </w:rPr>
        <w:t xml:space="preserve">As reported in the Needs Assessment, there 442,715 households in Kansas that earn 80% of the Area Median Income (AMI) or less and there are 687,824 housing units in Kansas built before 1980. </w:t>
      </w:r>
    </w:p>
    <w:p w14:paraId="7B77CDF6" w14:textId="77777777" w:rsidR="00DC3841" w:rsidRDefault="00DC3841" w:rsidP="00DC3841">
      <w:pPr>
        <w:rPr>
          <w:rFonts w:asciiTheme="minorHAnsi" w:hAnsiTheme="minorHAnsi"/>
          <w:sz w:val="24"/>
        </w:rPr>
      </w:pPr>
      <w:r>
        <w:rPr>
          <w:rFonts w:asciiTheme="minorHAnsi" w:hAnsiTheme="minorHAnsi"/>
          <w:sz w:val="24"/>
        </w:rPr>
        <w:t xml:space="preserve">If it is assumed that 60% of all low- or moderate-income households reside in units built before 1980, there are 265,629 low- or moderate-income households living in units with risk of lead-based paint hazards. Applying the 60% assumption to just those units built before 1980 with children present, it could be estimated that there are 79,173 low- or moderate-income households with children living in housing units at risk for a lead based paint hazard.  </w:t>
      </w:r>
    </w:p>
    <w:p w14:paraId="3E25596B" w14:textId="77777777" w:rsidR="00DC3841" w:rsidRPr="00301D4F" w:rsidRDefault="00DC3841" w:rsidP="00DC3841">
      <w:pPr>
        <w:rPr>
          <w:rFonts w:asciiTheme="minorHAnsi" w:hAnsiTheme="minorHAnsi"/>
          <w:sz w:val="24"/>
        </w:rPr>
      </w:pPr>
      <w:r>
        <w:rPr>
          <w:rFonts w:asciiTheme="minorHAnsi" w:hAnsiTheme="minorHAnsi"/>
          <w:sz w:val="24"/>
        </w:rPr>
        <w:t xml:space="preserve">Of the units at risk, those that are oldest and of substandard condition are most likely of all housing units to actually contain a lead hazard. This is most important to note because housing cost burden affects low- and moderate-income households the most, and these families are the most likely to lack financial resources or leverage over landlords to undertake the necessary housing rehabilitation projects to alleviate lead exposure risk. </w:t>
      </w:r>
    </w:p>
    <w:p w14:paraId="39E42BDF" w14:textId="77777777" w:rsidR="00DC3841" w:rsidRDefault="00DC3841" w:rsidP="00DC3841">
      <w:pPr>
        <w:rPr>
          <w:rFonts w:asciiTheme="minorHAnsi" w:hAnsiTheme="minorHAnsi"/>
        </w:rPr>
      </w:pPr>
    </w:p>
    <w:p w14:paraId="0173E73A" w14:textId="77777777" w:rsidR="00DC3841" w:rsidRDefault="00DC3841" w:rsidP="00DC3841">
      <w:pPr>
        <w:pStyle w:val="Heading2"/>
        <w:pageBreakBefore/>
        <w:rPr>
          <w:rFonts w:asciiTheme="minorHAnsi" w:hAnsiTheme="minorHAnsi"/>
          <w:i w:val="0"/>
        </w:rPr>
        <w:sectPr w:rsidR="00DC3841">
          <w:footerReference w:type="default" r:id="rId25"/>
          <w:pgSz w:w="12240" w:h="15840"/>
          <w:pgMar w:top="1440" w:right="1440" w:bottom="1440" w:left="1440" w:header="720" w:footer="720" w:gutter="0"/>
          <w:cols w:space="720"/>
          <w:docGrid w:linePitch="360"/>
        </w:sectPr>
      </w:pPr>
    </w:p>
    <w:p w14:paraId="567A4E0C" w14:textId="77777777" w:rsidR="00DC3841" w:rsidRPr="00276B2B" w:rsidRDefault="00DC3841" w:rsidP="00DC3841">
      <w:pPr>
        <w:pStyle w:val="Heading2"/>
        <w:shd w:val="clear" w:color="auto" w:fill="95B3D7" w:themeFill="accent1" w:themeFillTint="99"/>
        <w:rPr>
          <w:rFonts w:ascii="Calibri" w:hAnsi="Calibri"/>
          <w:i w:val="0"/>
        </w:rPr>
      </w:pPr>
      <w:bookmarkStart w:id="38" w:name="_Toc524603023"/>
      <w:r>
        <w:rPr>
          <w:rFonts w:ascii="Calibri" w:hAnsi="Calibri"/>
          <w:i w:val="0"/>
        </w:rPr>
        <w:t xml:space="preserve">MA-30 </w:t>
      </w:r>
      <w:r>
        <w:rPr>
          <w:rFonts w:asciiTheme="minorHAnsi" w:hAnsiTheme="minorHAnsi"/>
          <w:i w:val="0"/>
        </w:rPr>
        <w:t>Homeless Facilities – 91.310(b)</w:t>
      </w:r>
      <w:bookmarkEnd w:id="38"/>
    </w:p>
    <w:p w14:paraId="2D11021F" w14:textId="77777777" w:rsidR="00DC3841" w:rsidRDefault="00DC3841" w:rsidP="00DC3841">
      <w:pPr>
        <w:spacing w:line="204" w:lineRule="auto"/>
        <w:rPr>
          <w:rFonts w:asciiTheme="minorHAnsi" w:hAnsiTheme="minorHAnsi"/>
          <w:b/>
          <w:sz w:val="24"/>
        </w:rPr>
      </w:pPr>
    </w:p>
    <w:p w14:paraId="008B2373" w14:textId="77777777" w:rsidR="00DC3841" w:rsidRDefault="00DC3841" w:rsidP="00DC3841">
      <w:pPr>
        <w:spacing w:line="204" w:lineRule="auto"/>
        <w:rPr>
          <w:rFonts w:asciiTheme="minorHAnsi" w:hAnsiTheme="minorHAnsi"/>
          <w:b/>
          <w:sz w:val="24"/>
        </w:rPr>
      </w:pPr>
      <w:r>
        <w:rPr>
          <w:rFonts w:asciiTheme="minorHAnsi" w:hAnsiTheme="minorHAnsi"/>
          <w:b/>
          <w:sz w:val="24"/>
        </w:rPr>
        <w:t>Introduction</w:t>
      </w:r>
    </w:p>
    <w:p w14:paraId="74DBB17D" w14:textId="1BCE3ED5" w:rsidR="00DC3841" w:rsidRPr="00255931" w:rsidRDefault="00DC3841" w:rsidP="00DC3841">
      <w:pPr>
        <w:spacing w:line="204" w:lineRule="auto"/>
        <w:rPr>
          <w:rFonts w:asciiTheme="minorHAnsi" w:hAnsiTheme="minorHAnsi"/>
        </w:rPr>
      </w:pPr>
      <w:r>
        <w:rPr>
          <w:rFonts w:asciiTheme="minorHAnsi" w:hAnsiTheme="minorHAnsi"/>
          <w:sz w:val="24"/>
        </w:rPr>
        <w:t>Data and information in this section was made available from the Kansas Balance of Sta</w:t>
      </w:r>
      <w:r w:rsidR="002817D8">
        <w:rPr>
          <w:rFonts w:asciiTheme="minorHAnsi" w:hAnsiTheme="minorHAnsi"/>
          <w:sz w:val="24"/>
        </w:rPr>
        <w:t>te (BoS) County Continuum of Ca</w:t>
      </w:r>
      <w:r>
        <w:rPr>
          <w:rFonts w:asciiTheme="minorHAnsi" w:hAnsiTheme="minorHAnsi"/>
          <w:sz w:val="24"/>
        </w:rPr>
        <w:t xml:space="preserve">re (CoC). </w:t>
      </w:r>
    </w:p>
    <w:p w14:paraId="2B3509E4" w14:textId="77777777"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13 – Facilities Targeted to Homeless Persons</w:t>
      </w:r>
    </w:p>
    <w:tbl>
      <w:tblPr>
        <w:tblStyle w:val="GridTable4-Accent1"/>
        <w:tblW w:w="5000" w:type="pct"/>
        <w:tblLook w:val="04A0" w:firstRow="1" w:lastRow="0" w:firstColumn="1" w:lastColumn="0" w:noHBand="0" w:noVBand="1"/>
      </w:tblPr>
      <w:tblGrid>
        <w:gridCol w:w="3549"/>
        <w:gridCol w:w="2132"/>
        <w:gridCol w:w="1962"/>
        <w:gridCol w:w="1794"/>
        <w:gridCol w:w="1783"/>
        <w:gridCol w:w="1730"/>
      </w:tblGrid>
      <w:tr w:rsidR="00DC3841" w14:paraId="530A3A96"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vMerge w:val="restart"/>
          </w:tcPr>
          <w:p w14:paraId="2CC92A0D" w14:textId="77777777" w:rsidR="00DC3841" w:rsidRDefault="00DC3841" w:rsidP="007C520D">
            <w:pPr>
              <w:keepNext/>
              <w:widowControl w:val="0"/>
              <w:spacing w:after="0" w:line="240" w:lineRule="auto"/>
              <w:contextualSpacing/>
              <w:jc w:val="center"/>
              <w:rPr>
                <w:rFonts w:asciiTheme="minorHAnsi" w:hAnsiTheme="minorHAnsi"/>
                <w:b w:val="0"/>
              </w:rPr>
            </w:pPr>
          </w:p>
        </w:tc>
        <w:tc>
          <w:tcPr>
            <w:tcW w:w="4176" w:type="dxa"/>
            <w:gridSpan w:val="2"/>
          </w:tcPr>
          <w:p w14:paraId="3C5EED5E"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Emergency Shelter Beds</w:t>
            </w:r>
          </w:p>
        </w:tc>
        <w:tc>
          <w:tcPr>
            <w:tcW w:w="1816" w:type="dxa"/>
          </w:tcPr>
          <w:p w14:paraId="20C51547"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Transitional Housing Beds</w:t>
            </w:r>
          </w:p>
        </w:tc>
        <w:tc>
          <w:tcPr>
            <w:tcW w:w="3559" w:type="dxa"/>
            <w:gridSpan w:val="2"/>
          </w:tcPr>
          <w:p w14:paraId="43CE0E5F"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Permanent Supportive Housing Beds</w:t>
            </w:r>
          </w:p>
        </w:tc>
      </w:tr>
      <w:tr w:rsidR="00DC3841" w14:paraId="1A17EE41"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vMerge/>
          </w:tcPr>
          <w:p w14:paraId="4A7671CC" w14:textId="77777777" w:rsidR="00DC3841" w:rsidRDefault="00DC3841" w:rsidP="007C520D">
            <w:pPr>
              <w:keepNext/>
              <w:widowControl w:val="0"/>
              <w:spacing w:after="0" w:line="240" w:lineRule="auto"/>
              <w:jc w:val="center"/>
              <w:rPr>
                <w:rFonts w:asciiTheme="minorHAnsi" w:hAnsiTheme="minorHAnsi"/>
                <w:b w:val="0"/>
              </w:rPr>
            </w:pPr>
          </w:p>
        </w:tc>
        <w:tc>
          <w:tcPr>
            <w:tcW w:w="2179" w:type="dxa"/>
          </w:tcPr>
          <w:p w14:paraId="3CF868C4"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Year Round Beds (Current &amp; New)</w:t>
            </w:r>
          </w:p>
        </w:tc>
        <w:tc>
          <w:tcPr>
            <w:tcW w:w="1997" w:type="dxa"/>
          </w:tcPr>
          <w:p w14:paraId="20D7EFE3"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Voucher / Seasonal / Overflow Beds</w:t>
            </w:r>
          </w:p>
        </w:tc>
        <w:tc>
          <w:tcPr>
            <w:tcW w:w="1816" w:type="dxa"/>
          </w:tcPr>
          <w:p w14:paraId="171A9249"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Current &amp; New</w:t>
            </w:r>
          </w:p>
        </w:tc>
        <w:tc>
          <w:tcPr>
            <w:tcW w:w="1816" w:type="dxa"/>
          </w:tcPr>
          <w:p w14:paraId="716AC48C"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Current &amp; New</w:t>
            </w:r>
          </w:p>
        </w:tc>
        <w:tc>
          <w:tcPr>
            <w:tcW w:w="1743" w:type="dxa"/>
          </w:tcPr>
          <w:p w14:paraId="28031A62" w14:textId="77777777" w:rsidR="00DC3841" w:rsidRPr="006B102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B1021">
              <w:rPr>
                <w:rFonts w:asciiTheme="minorHAnsi" w:hAnsiTheme="minorHAnsi"/>
              </w:rPr>
              <w:t>Under Development</w:t>
            </w:r>
          </w:p>
        </w:tc>
      </w:tr>
      <w:tr w:rsidR="00DC3841" w14:paraId="1B38CA49" w14:textId="77777777" w:rsidTr="007C520D">
        <w:tc>
          <w:tcPr>
            <w:cnfStyle w:val="001000000000" w:firstRow="0" w:lastRow="0" w:firstColumn="1" w:lastColumn="0" w:oddVBand="0" w:evenVBand="0" w:oddHBand="0" w:evenHBand="0" w:firstRowFirstColumn="0" w:firstRowLastColumn="0" w:lastRowFirstColumn="0" w:lastRowLastColumn="0"/>
            <w:tcW w:w="3625" w:type="dxa"/>
          </w:tcPr>
          <w:p w14:paraId="231C067C"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Households with Adult(s) and Child(ren)</w:t>
            </w:r>
          </w:p>
        </w:tc>
        <w:tc>
          <w:tcPr>
            <w:tcW w:w="2179" w:type="dxa"/>
          </w:tcPr>
          <w:p w14:paraId="053198D8" w14:textId="5308D79A" w:rsidR="00DC3841" w:rsidRDefault="0067260A"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406</w:t>
            </w:r>
          </w:p>
        </w:tc>
        <w:tc>
          <w:tcPr>
            <w:tcW w:w="1997" w:type="dxa"/>
          </w:tcPr>
          <w:p w14:paraId="5AC1491E" w14:textId="1CA70B07" w:rsidR="00DC3841" w:rsidRDefault="0067260A"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73 total (not separate</w:t>
            </w:r>
            <w:r w:rsidR="00E31B02">
              <w:rPr>
                <w:rFonts w:asciiTheme="minorHAnsi" w:hAnsiTheme="minorHAnsi"/>
              </w:rPr>
              <w:t>d out by type)</w:t>
            </w:r>
          </w:p>
        </w:tc>
        <w:tc>
          <w:tcPr>
            <w:tcW w:w="1816" w:type="dxa"/>
          </w:tcPr>
          <w:p w14:paraId="441EFC02" w14:textId="705931B8"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339</w:t>
            </w:r>
          </w:p>
        </w:tc>
        <w:tc>
          <w:tcPr>
            <w:tcW w:w="1816" w:type="dxa"/>
          </w:tcPr>
          <w:p w14:paraId="73B6B915" w14:textId="74293182"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130</w:t>
            </w:r>
          </w:p>
        </w:tc>
        <w:tc>
          <w:tcPr>
            <w:tcW w:w="1743" w:type="dxa"/>
          </w:tcPr>
          <w:p w14:paraId="43E74B19"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C3841" w14:paraId="7D4A595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6CB521F1"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Households with Only Adults</w:t>
            </w:r>
          </w:p>
        </w:tc>
        <w:tc>
          <w:tcPr>
            <w:tcW w:w="2179" w:type="dxa"/>
          </w:tcPr>
          <w:p w14:paraId="7BE40911" w14:textId="59C85998" w:rsidR="00DC3841" w:rsidRDefault="00E31B02"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474</w:t>
            </w:r>
          </w:p>
        </w:tc>
        <w:tc>
          <w:tcPr>
            <w:tcW w:w="1997" w:type="dxa"/>
          </w:tcPr>
          <w:p w14:paraId="763CCE61"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16" w:type="dxa"/>
          </w:tcPr>
          <w:p w14:paraId="15C64D29" w14:textId="5F381062" w:rsidR="00DC3841" w:rsidRDefault="00E31B02"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156</w:t>
            </w:r>
          </w:p>
        </w:tc>
        <w:tc>
          <w:tcPr>
            <w:tcW w:w="1816" w:type="dxa"/>
          </w:tcPr>
          <w:p w14:paraId="738AE35A" w14:textId="4E11F828" w:rsidR="00DC3841" w:rsidRDefault="00E31B02"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227</w:t>
            </w:r>
          </w:p>
        </w:tc>
        <w:tc>
          <w:tcPr>
            <w:tcW w:w="1743" w:type="dxa"/>
          </w:tcPr>
          <w:p w14:paraId="3240DC26"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C3841" w14:paraId="778789D1" w14:textId="77777777" w:rsidTr="007C520D">
        <w:tc>
          <w:tcPr>
            <w:cnfStyle w:val="001000000000" w:firstRow="0" w:lastRow="0" w:firstColumn="1" w:lastColumn="0" w:oddVBand="0" w:evenVBand="0" w:oddHBand="0" w:evenHBand="0" w:firstRowFirstColumn="0" w:firstRowLastColumn="0" w:lastRowFirstColumn="0" w:lastRowLastColumn="0"/>
            <w:tcW w:w="3625" w:type="dxa"/>
          </w:tcPr>
          <w:p w14:paraId="28537ADD"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Chronically Homeless Households</w:t>
            </w:r>
          </w:p>
        </w:tc>
        <w:tc>
          <w:tcPr>
            <w:tcW w:w="2179" w:type="dxa"/>
          </w:tcPr>
          <w:p w14:paraId="259D32C0" w14:textId="2375CC29"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N/A</w:t>
            </w:r>
          </w:p>
        </w:tc>
        <w:tc>
          <w:tcPr>
            <w:tcW w:w="1997" w:type="dxa"/>
          </w:tcPr>
          <w:p w14:paraId="1AB0A7A6"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16" w:type="dxa"/>
          </w:tcPr>
          <w:p w14:paraId="061C521E" w14:textId="370491F2"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N/A</w:t>
            </w:r>
          </w:p>
        </w:tc>
        <w:tc>
          <w:tcPr>
            <w:tcW w:w="1816" w:type="dxa"/>
          </w:tcPr>
          <w:p w14:paraId="0786EEF7" w14:textId="03C0638F"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46 (not separate from beds listed above)</w:t>
            </w:r>
          </w:p>
        </w:tc>
        <w:tc>
          <w:tcPr>
            <w:tcW w:w="1743" w:type="dxa"/>
          </w:tcPr>
          <w:p w14:paraId="5E8A37B2"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C3841" w14:paraId="36B6D95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25BF152F"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Veterans</w:t>
            </w:r>
          </w:p>
        </w:tc>
        <w:tc>
          <w:tcPr>
            <w:tcW w:w="2179" w:type="dxa"/>
          </w:tcPr>
          <w:p w14:paraId="2E9C6219" w14:textId="7301B4CE" w:rsidR="00DC3841" w:rsidRDefault="00E31B02"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20 (not separate from beds listed above)</w:t>
            </w:r>
          </w:p>
        </w:tc>
        <w:tc>
          <w:tcPr>
            <w:tcW w:w="1997" w:type="dxa"/>
          </w:tcPr>
          <w:p w14:paraId="406C317F"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16" w:type="dxa"/>
          </w:tcPr>
          <w:p w14:paraId="11B3BBDE" w14:textId="69F7B2C7" w:rsidR="00DC3841" w:rsidRDefault="00E31B02"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w:t>
            </w:r>
          </w:p>
        </w:tc>
        <w:tc>
          <w:tcPr>
            <w:tcW w:w="1816" w:type="dxa"/>
          </w:tcPr>
          <w:p w14:paraId="373AE840" w14:textId="6B52CE67" w:rsidR="00DC3841" w:rsidRDefault="00E31B02"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241 (not separate from the beds listed above)</w:t>
            </w:r>
          </w:p>
        </w:tc>
        <w:tc>
          <w:tcPr>
            <w:tcW w:w="1743" w:type="dxa"/>
          </w:tcPr>
          <w:p w14:paraId="69ECA65B" w14:textId="77777777" w:rsidR="00DC3841" w:rsidRDefault="00DC3841"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C3841" w14:paraId="1F5D2A6F" w14:textId="77777777" w:rsidTr="007C520D">
        <w:tc>
          <w:tcPr>
            <w:cnfStyle w:val="001000000000" w:firstRow="0" w:lastRow="0" w:firstColumn="1" w:lastColumn="0" w:oddVBand="0" w:evenVBand="0" w:oddHBand="0" w:evenHBand="0" w:firstRowFirstColumn="0" w:firstRowLastColumn="0" w:lastRowFirstColumn="0" w:lastRowLastColumn="0"/>
            <w:tcW w:w="3625" w:type="dxa"/>
          </w:tcPr>
          <w:p w14:paraId="1FBD7245" w14:textId="77777777" w:rsidR="00DC3841" w:rsidRDefault="00DC3841" w:rsidP="007C520D">
            <w:pPr>
              <w:keepNext/>
              <w:widowControl w:val="0"/>
              <w:spacing w:after="0" w:line="240" w:lineRule="auto"/>
              <w:rPr>
                <w:rFonts w:asciiTheme="minorHAnsi" w:hAnsiTheme="minorHAnsi"/>
              </w:rPr>
            </w:pPr>
            <w:r>
              <w:rPr>
                <w:rFonts w:asciiTheme="minorHAnsi" w:hAnsiTheme="minorHAnsi"/>
              </w:rPr>
              <w:t>Unaccompanied Youth</w:t>
            </w:r>
          </w:p>
        </w:tc>
        <w:tc>
          <w:tcPr>
            <w:tcW w:w="2179" w:type="dxa"/>
          </w:tcPr>
          <w:p w14:paraId="41D57E5C" w14:textId="19F39A35"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N/A</w:t>
            </w:r>
          </w:p>
        </w:tc>
        <w:tc>
          <w:tcPr>
            <w:tcW w:w="1997" w:type="dxa"/>
          </w:tcPr>
          <w:p w14:paraId="365D593A"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16" w:type="dxa"/>
          </w:tcPr>
          <w:p w14:paraId="3634DCB0" w14:textId="68194ACB"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N/A</w:t>
            </w:r>
          </w:p>
        </w:tc>
        <w:tc>
          <w:tcPr>
            <w:tcW w:w="1816" w:type="dxa"/>
          </w:tcPr>
          <w:p w14:paraId="250324E1" w14:textId="4807F113" w:rsidR="00DC3841" w:rsidRDefault="00E31B02"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N/A</w:t>
            </w:r>
          </w:p>
        </w:tc>
        <w:tc>
          <w:tcPr>
            <w:tcW w:w="1743" w:type="dxa"/>
          </w:tcPr>
          <w:p w14:paraId="04AA9685" w14:textId="77777777" w:rsidR="00DC3841" w:rsidRDefault="00DC3841"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5431AE0E" w14:textId="77777777" w:rsidR="00DC3841" w:rsidRPr="00255931" w:rsidRDefault="00DC3841" w:rsidP="00DC3841">
      <w:pPr>
        <w:keepNext/>
        <w:widowControl w:val="0"/>
        <w:spacing w:after="0" w:line="240" w:lineRule="auto"/>
        <w:rPr>
          <w:rFonts w:asciiTheme="minorHAnsi" w:hAnsiTheme="minorHAnsi"/>
          <w:i/>
          <w:vanish/>
          <w:sz w:val="20"/>
          <w:szCs w:val="20"/>
        </w:rPr>
      </w:pPr>
      <w:r>
        <w:rPr>
          <w:rFonts w:asciiTheme="minorHAnsi" w:hAnsiTheme="minorHAnsi"/>
          <w:i/>
          <w:vanish/>
          <w:sz w:val="20"/>
          <w:szCs w:val="20"/>
        </w:rPr>
        <w:t>Source: Kansas Balance of State Continuum of Care; Kansas Statewide Homeless Coalition</w:t>
      </w:r>
    </w:p>
    <w:p w14:paraId="10EF1EBD" w14:textId="77777777" w:rsidR="00DC3841" w:rsidRDefault="00DC3841" w:rsidP="00DC3841">
      <w:pPr>
        <w:spacing w:after="0" w:line="240" w:lineRule="auto"/>
        <w:rPr>
          <w:rFonts w:asciiTheme="minorHAnsi" w:hAnsiTheme="minorHAnsi"/>
          <w:b/>
          <w:vanish/>
          <w:sz w:val="16"/>
        </w:rPr>
      </w:pPr>
    </w:p>
    <w:p w14:paraId="407AEF5C" w14:textId="77777777" w:rsidR="00DC3841" w:rsidRDefault="00DC3841" w:rsidP="00DC3841">
      <w:pPr>
        <w:spacing w:line="240" w:lineRule="auto"/>
        <w:rPr>
          <w:rFonts w:asciiTheme="minorHAnsi" w:hAnsiTheme="minorHAnsi"/>
        </w:rPr>
      </w:pPr>
    </w:p>
    <w:p w14:paraId="473D66D3" w14:textId="77777777" w:rsidR="00DC3841" w:rsidRDefault="00DC3841" w:rsidP="00DC3841">
      <w:pPr>
        <w:rPr>
          <w:rFonts w:asciiTheme="minorHAnsi" w:hAnsiTheme="minorHAnsi"/>
        </w:rPr>
        <w:sectPr w:rsidR="00DC3841">
          <w:pgSz w:w="15840" w:h="12240" w:orient="landscape"/>
          <w:pgMar w:top="1440" w:right="1440" w:bottom="1440" w:left="1440" w:header="720" w:footer="720" w:gutter="0"/>
          <w:cols w:space="720"/>
          <w:docGrid w:linePitch="360"/>
        </w:sectPr>
      </w:pPr>
    </w:p>
    <w:p w14:paraId="199E94A8" w14:textId="77777777" w:rsidR="00DC3841" w:rsidRDefault="00DC3841" w:rsidP="00DC3841">
      <w:pPr>
        <w:spacing w:line="204" w:lineRule="auto"/>
        <w:rPr>
          <w:rFonts w:asciiTheme="minorHAnsi" w:hAnsiTheme="minorHAnsi"/>
          <w:b/>
          <w:sz w:val="24"/>
        </w:rPr>
      </w:pPr>
      <w:r>
        <w:rPr>
          <w:rFonts w:asciiTheme="minorHAnsi" w:hAnsiTheme="minorHAnsi"/>
          <w:b/>
          <w:sz w:val="24"/>
        </w:rPr>
        <w:t>Describe mainstream services, such as health, mental health, and employment services to the extent those services are used to complement services targeted to homeless persons</w:t>
      </w:r>
    </w:p>
    <w:p w14:paraId="73B9A900" w14:textId="77777777" w:rsidR="00DC3841" w:rsidRDefault="00DC3841" w:rsidP="00DC3841">
      <w:pPr>
        <w:contextualSpacing/>
        <w:rPr>
          <w:rFonts w:asciiTheme="minorHAnsi" w:hAnsiTheme="minorHAnsi" w:cs="Arial"/>
          <w:sz w:val="24"/>
          <w:szCs w:val="24"/>
        </w:rPr>
      </w:pPr>
      <w:r w:rsidRPr="00705E45">
        <w:rPr>
          <w:rFonts w:asciiTheme="minorHAnsi" w:hAnsiTheme="minorHAnsi" w:cs="Arial"/>
          <w:sz w:val="24"/>
          <w:szCs w:val="24"/>
        </w:rPr>
        <w:t xml:space="preserve">There are </w:t>
      </w:r>
      <w:r>
        <w:rPr>
          <w:rFonts w:asciiTheme="minorHAnsi" w:hAnsiTheme="minorHAnsi" w:cs="Arial"/>
          <w:sz w:val="24"/>
          <w:szCs w:val="24"/>
        </w:rPr>
        <w:t>four</w:t>
      </w:r>
      <w:r w:rsidRPr="00705E45">
        <w:rPr>
          <w:rFonts w:asciiTheme="minorHAnsi" w:hAnsiTheme="minorHAnsi" w:cs="Arial"/>
          <w:sz w:val="24"/>
          <w:szCs w:val="24"/>
        </w:rPr>
        <w:t xml:space="preserve"> Projects for Assistance in Transition from Homelessness (PATH)</w:t>
      </w:r>
      <w:r>
        <w:rPr>
          <w:rFonts w:asciiTheme="minorHAnsi" w:hAnsiTheme="minorHAnsi" w:cs="Arial"/>
          <w:sz w:val="24"/>
          <w:szCs w:val="24"/>
        </w:rPr>
        <w:t xml:space="preserve"> </w:t>
      </w:r>
      <w:r w:rsidRPr="00705E45">
        <w:rPr>
          <w:rFonts w:asciiTheme="minorHAnsi" w:hAnsiTheme="minorHAnsi" w:cs="Arial"/>
          <w:sz w:val="24"/>
          <w:szCs w:val="24"/>
        </w:rPr>
        <w:t xml:space="preserve">programs engaging </w:t>
      </w:r>
      <w:r>
        <w:rPr>
          <w:rFonts w:asciiTheme="minorHAnsi" w:hAnsiTheme="minorHAnsi" w:cs="Arial"/>
          <w:sz w:val="24"/>
          <w:szCs w:val="24"/>
        </w:rPr>
        <w:t xml:space="preserve">homeless persons (individuals and </w:t>
      </w:r>
      <w:r w:rsidRPr="00705E45">
        <w:rPr>
          <w:rFonts w:asciiTheme="minorHAnsi" w:hAnsiTheme="minorHAnsi" w:cs="Arial"/>
          <w:sz w:val="24"/>
          <w:szCs w:val="24"/>
        </w:rPr>
        <w:t>families</w:t>
      </w:r>
      <w:r>
        <w:rPr>
          <w:rFonts w:asciiTheme="minorHAnsi" w:hAnsiTheme="minorHAnsi" w:cs="Arial"/>
          <w:sz w:val="24"/>
          <w:szCs w:val="24"/>
        </w:rPr>
        <w:t>)</w:t>
      </w:r>
      <w:r w:rsidRPr="00705E45">
        <w:rPr>
          <w:rFonts w:asciiTheme="minorHAnsi" w:hAnsiTheme="minorHAnsi" w:cs="Arial"/>
          <w:sz w:val="24"/>
          <w:szCs w:val="24"/>
        </w:rPr>
        <w:t xml:space="preserve"> through street outreach to connect them to</w:t>
      </w:r>
      <w:r>
        <w:rPr>
          <w:rFonts w:asciiTheme="minorHAnsi" w:hAnsiTheme="minorHAnsi" w:cs="Arial"/>
          <w:sz w:val="24"/>
          <w:szCs w:val="24"/>
        </w:rPr>
        <w:t xml:space="preserve"> </w:t>
      </w:r>
      <w:r w:rsidRPr="00705E45">
        <w:rPr>
          <w:rFonts w:asciiTheme="minorHAnsi" w:hAnsiTheme="minorHAnsi" w:cs="Arial"/>
          <w:sz w:val="24"/>
          <w:szCs w:val="24"/>
        </w:rPr>
        <w:t>housing. The CoC's outreach plan targets those most likely to encounter</w:t>
      </w:r>
      <w:r>
        <w:rPr>
          <w:rFonts w:asciiTheme="minorHAnsi" w:hAnsiTheme="minorHAnsi" w:cs="Arial"/>
          <w:sz w:val="24"/>
          <w:szCs w:val="24"/>
        </w:rPr>
        <w:t xml:space="preserve"> </w:t>
      </w:r>
      <w:r w:rsidRPr="00705E45">
        <w:rPr>
          <w:rFonts w:asciiTheme="minorHAnsi" w:hAnsiTheme="minorHAnsi" w:cs="Arial"/>
          <w:sz w:val="24"/>
          <w:szCs w:val="24"/>
        </w:rPr>
        <w:t>unsheltered families, i.e. school homeless liaisons, domestic violence programs,</w:t>
      </w:r>
      <w:r>
        <w:rPr>
          <w:rFonts w:asciiTheme="minorHAnsi" w:hAnsiTheme="minorHAnsi" w:cs="Arial"/>
          <w:sz w:val="24"/>
          <w:szCs w:val="24"/>
        </w:rPr>
        <w:t xml:space="preserve"> </w:t>
      </w:r>
      <w:r w:rsidRPr="00705E45">
        <w:rPr>
          <w:rFonts w:asciiTheme="minorHAnsi" w:hAnsiTheme="minorHAnsi" w:cs="Arial"/>
          <w:sz w:val="24"/>
          <w:szCs w:val="24"/>
        </w:rPr>
        <w:t>emergency assistance providers, mainstream benefits offices, and community</w:t>
      </w:r>
      <w:r>
        <w:rPr>
          <w:rFonts w:asciiTheme="minorHAnsi" w:hAnsiTheme="minorHAnsi" w:cs="Arial"/>
          <w:sz w:val="24"/>
          <w:szCs w:val="24"/>
        </w:rPr>
        <w:t xml:space="preserve"> </w:t>
      </w:r>
      <w:r w:rsidRPr="00705E45">
        <w:rPr>
          <w:rFonts w:asciiTheme="minorHAnsi" w:hAnsiTheme="minorHAnsi" w:cs="Arial"/>
          <w:sz w:val="24"/>
          <w:szCs w:val="24"/>
        </w:rPr>
        <w:t>action programs. The CoC will continue efforts to work with mainstream</w:t>
      </w:r>
      <w:r>
        <w:rPr>
          <w:rFonts w:asciiTheme="minorHAnsi" w:hAnsiTheme="minorHAnsi" w:cs="Arial"/>
          <w:sz w:val="24"/>
          <w:szCs w:val="24"/>
        </w:rPr>
        <w:t xml:space="preserve"> </w:t>
      </w:r>
      <w:r w:rsidRPr="00705E45">
        <w:rPr>
          <w:rFonts w:asciiTheme="minorHAnsi" w:hAnsiTheme="minorHAnsi" w:cs="Arial"/>
          <w:sz w:val="24"/>
          <w:szCs w:val="24"/>
        </w:rPr>
        <w:t>programs that offer rental/support services to develop holistic plans to move</w:t>
      </w:r>
      <w:r>
        <w:rPr>
          <w:rFonts w:asciiTheme="minorHAnsi" w:hAnsiTheme="minorHAnsi" w:cs="Arial"/>
          <w:sz w:val="24"/>
          <w:szCs w:val="24"/>
        </w:rPr>
        <w:t xml:space="preserve"> </w:t>
      </w:r>
      <w:r w:rsidRPr="00705E45">
        <w:rPr>
          <w:rFonts w:asciiTheme="minorHAnsi" w:hAnsiTheme="minorHAnsi" w:cs="Arial"/>
          <w:sz w:val="24"/>
          <w:szCs w:val="24"/>
        </w:rPr>
        <w:t>families out of homelessness. Actio</w:t>
      </w:r>
      <w:r>
        <w:rPr>
          <w:rFonts w:asciiTheme="minorHAnsi" w:hAnsiTheme="minorHAnsi" w:cs="Arial"/>
          <w:sz w:val="24"/>
          <w:szCs w:val="24"/>
        </w:rPr>
        <w:t>n steps include: working with public housing authorities</w:t>
      </w:r>
      <w:r w:rsidRPr="00705E45">
        <w:rPr>
          <w:rFonts w:asciiTheme="minorHAnsi" w:hAnsiTheme="minorHAnsi" w:cs="Arial"/>
          <w:sz w:val="24"/>
          <w:szCs w:val="24"/>
        </w:rPr>
        <w:t xml:space="preserve"> and other</w:t>
      </w:r>
      <w:r>
        <w:rPr>
          <w:rFonts w:asciiTheme="minorHAnsi" w:hAnsiTheme="minorHAnsi" w:cs="Arial"/>
          <w:sz w:val="24"/>
          <w:szCs w:val="24"/>
        </w:rPr>
        <w:t xml:space="preserve"> </w:t>
      </w:r>
      <w:r w:rsidRPr="00705E45">
        <w:rPr>
          <w:rFonts w:asciiTheme="minorHAnsi" w:hAnsiTheme="minorHAnsi" w:cs="Arial"/>
          <w:sz w:val="24"/>
          <w:szCs w:val="24"/>
        </w:rPr>
        <w:t>subsidized housing programs to gain priority for homeless families on waiting</w:t>
      </w:r>
      <w:r>
        <w:rPr>
          <w:rFonts w:asciiTheme="minorHAnsi" w:hAnsiTheme="minorHAnsi" w:cs="Arial"/>
          <w:sz w:val="24"/>
          <w:szCs w:val="24"/>
        </w:rPr>
        <w:t xml:space="preserve"> </w:t>
      </w:r>
      <w:r w:rsidRPr="00705E45">
        <w:rPr>
          <w:rFonts w:asciiTheme="minorHAnsi" w:hAnsiTheme="minorHAnsi" w:cs="Arial"/>
          <w:sz w:val="24"/>
          <w:szCs w:val="24"/>
        </w:rPr>
        <w:t>lists; developing relationships with landlords and other housing providers to</w:t>
      </w:r>
      <w:r>
        <w:rPr>
          <w:rFonts w:asciiTheme="minorHAnsi" w:hAnsiTheme="minorHAnsi" w:cs="Arial"/>
          <w:sz w:val="24"/>
          <w:szCs w:val="24"/>
        </w:rPr>
        <w:t xml:space="preserve"> </w:t>
      </w:r>
      <w:r w:rsidRPr="00705E45">
        <w:rPr>
          <w:rFonts w:asciiTheme="minorHAnsi" w:hAnsiTheme="minorHAnsi" w:cs="Arial"/>
          <w:sz w:val="24"/>
          <w:szCs w:val="24"/>
        </w:rPr>
        <w:t>work with families with multiple barriers; and working with housing developers</w:t>
      </w:r>
      <w:r>
        <w:rPr>
          <w:rFonts w:asciiTheme="minorHAnsi" w:hAnsiTheme="minorHAnsi" w:cs="Arial"/>
          <w:sz w:val="24"/>
          <w:szCs w:val="24"/>
        </w:rPr>
        <w:t xml:space="preserve"> </w:t>
      </w:r>
      <w:r w:rsidRPr="00705E45">
        <w:rPr>
          <w:rFonts w:asciiTheme="minorHAnsi" w:hAnsiTheme="minorHAnsi" w:cs="Arial"/>
          <w:sz w:val="24"/>
          <w:szCs w:val="24"/>
        </w:rPr>
        <w:t>and local governments to develop additional affordable housing units.</w:t>
      </w:r>
    </w:p>
    <w:p w14:paraId="34955924" w14:textId="77777777" w:rsidR="00DC3841" w:rsidRDefault="00DC3841" w:rsidP="00DC3841">
      <w:pPr>
        <w:contextualSpacing/>
        <w:rPr>
          <w:rFonts w:asciiTheme="minorHAnsi" w:hAnsiTheme="minorHAnsi" w:cs="Arial"/>
          <w:sz w:val="24"/>
          <w:szCs w:val="24"/>
        </w:rPr>
      </w:pPr>
    </w:p>
    <w:p w14:paraId="60898288" w14:textId="77777777" w:rsidR="00DC3841" w:rsidRDefault="00DC3841" w:rsidP="00DC3841">
      <w:pPr>
        <w:contextualSpacing/>
        <w:rPr>
          <w:rFonts w:asciiTheme="minorHAnsi" w:hAnsiTheme="minorHAnsi" w:cs="Arial"/>
          <w:sz w:val="24"/>
          <w:szCs w:val="24"/>
        </w:rPr>
      </w:pPr>
      <w:r w:rsidRPr="00705E45">
        <w:rPr>
          <w:rFonts w:asciiTheme="minorHAnsi" w:hAnsiTheme="minorHAnsi" w:cs="Arial"/>
          <w:sz w:val="24"/>
          <w:szCs w:val="24"/>
        </w:rPr>
        <w:t>The BoS CoC</w:t>
      </w:r>
      <w:r>
        <w:rPr>
          <w:rFonts w:asciiTheme="minorHAnsi" w:hAnsiTheme="minorHAnsi" w:cs="Arial"/>
          <w:sz w:val="24"/>
          <w:szCs w:val="24"/>
        </w:rPr>
        <w:t xml:space="preserve"> also</w:t>
      </w:r>
      <w:r w:rsidRPr="00705E45">
        <w:rPr>
          <w:rFonts w:asciiTheme="minorHAnsi" w:hAnsiTheme="minorHAnsi" w:cs="Arial"/>
          <w:sz w:val="24"/>
          <w:szCs w:val="24"/>
        </w:rPr>
        <w:t xml:space="preserve"> utilizes </w:t>
      </w:r>
      <w:r>
        <w:rPr>
          <w:rFonts w:asciiTheme="minorHAnsi" w:hAnsiTheme="minorHAnsi" w:cs="Arial"/>
          <w:sz w:val="24"/>
          <w:szCs w:val="24"/>
        </w:rPr>
        <w:t>four</w:t>
      </w:r>
      <w:r w:rsidRPr="00705E45">
        <w:rPr>
          <w:rFonts w:asciiTheme="minorHAnsi" w:hAnsiTheme="minorHAnsi" w:cs="Arial"/>
          <w:sz w:val="24"/>
          <w:szCs w:val="24"/>
        </w:rPr>
        <w:t xml:space="preserve"> PATH programs with specific providers trained to</w:t>
      </w:r>
      <w:r>
        <w:rPr>
          <w:rFonts w:asciiTheme="minorHAnsi" w:hAnsiTheme="minorHAnsi" w:cs="Arial"/>
          <w:sz w:val="24"/>
          <w:szCs w:val="24"/>
        </w:rPr>
        <w:t xml:space="preserve"> </w:t>
      </w:r>
      <w:r w:rsidRPr="00705E45">
        <w:rPr>
          <w:rFonts w:asciiTheme="minorHAnsi" w:hAnsiTheme="minorHAnsi" w:cs="Arial"/>
          <w:sz w:val="24"/>
          <w:szCs w:val="24"/>
        </w:rPr>
        <w:t>engage persons through street outreach in the Lawrence, Ottawa/Paola,</w:t>
      </w:r>
      <w:r>
        <w:rPr>
          <w:rFonts w:asciiTheme="minorHAnsi" w:hAnsiTheme="minorHAnsi" w:cs="Arial"/>
          <w:sz w:val="24"/>
          <w:szCs w:val="24"/>
        </w:rPr>
        <w:t xml:space="preserve"> </w:t>
      </w:r>
      <w:r w:rsidRPr="00705E45">
        <w:rPr>
          <w:rFonts w:asciiTheme="minorHAnsi" w:hAnsiTheme="minorHAnsi" w:cs="Arial"/>
          <w:sz w:val="24"/>
          <w:szCs w:val="24"/>
        </w:rPr>
        <w:t>Manhattan, and Salina communities. Routinely, law enforcement officials</w:t>
      </w:r>
      <w:r>
        <w:rPr>
          <w:rFonts w:asciiTheme="minorHAnsi" w:hAnsiTheme="minorHAnsi" w:cs="Arial"/>
          <w:sz w:val="24"/>
          <w:szCs w:val="24"/>
        </w:rPr>
        <w:t xml:space="preserve"> </w:t>
      </w:r>
      <w:r w:rsidRPr="00705E45">
        <w:rPr>
          <w:rFonts w:asciiTheme="minorHAnsi" w:hAnsiTheme="minorHAnsi" w:cs="Arial"/>
          <w:sz w:val="24"/>
          <w:szCs w:val="24"/>
        </w:rPr>
        <w:t>partner</w:t>
      </w:r>
      <w:r>
        <w:rPr>
          <w:rFonts w:asciiTheme="minorHAnsi" w:hAnsiTheme="minorHAnsi" w:cs="Arial"/>
          <w:sz w:val="24"/>
          <w:szCs w:val="24"/>
        </w:rPr>
        <w:t xml:space="preserve"> </w:t>
      </w:r>
      <w:r w:rsidRPr="00705E45">
        <w:rPr>
          <w:rFonts w:asciiTheme="minorHAnsi" w:hAnsiTheme="minorHAnsi" w:cs="Arial"/>
          <w:sz w:val="24"/>
          <w:szCs w:val="24"/>
        </w:rPr>
        <w:t>with local advocates to assist in identifying and engaging unsheltered persons.</w:t>
      </w:r>
      <w:r>
        <w:rPr>
          <w:rFonts w:asciiTheme="minorHAnsi" w:hAnsiTheme="minorHAnsi" w:cs="Arial"/>
          <w:sz w:val="24"/>
          <w:szCs w:val="24"/>
        </w:rPr>
        <w:t xml:space="preserve">  </w:t>
      </w:r>
      <w:r w:rsidRPr="00705E45">
        <w:rPr>
          <w:rFonts w:asciiTheme="minorHAnsi" w:hAnsiTheme="minorHAnsi" w:cs="Arial"/>
          <w:sz w:val="24"/>
          <w:szCs w:val="24"/>
        </w:rPr>
        <w:t>They make referrals to shelters and service</w:t>
      </w:r>
      <w:r>
        <w:rPr>
          <w:rFonts w:asciiTheme="minorHAnsi" w:hAnsiTheme="minorHAnsi" w:cs="Arial"/>
          <w:sz w:val="24"/>
          <w:szCs w:val="24"/>
        </w:rPr>
        <w:t xml:space="preserve"> providers. Additionally, faith-</w:t>
      </w:r>
      <w:r w:rsidRPr="00705E45">
        <w:rPr>
          <w:rFonts w:asciiTheme="minorHAnsi" w:hAnsiTheme="minorHAnsi" w:cs="Arial"/>
          <w:sz w:val="24"/>
          <w:szCs w:val="24"/>
        </w:rPr>
        <w:t>based</w:t>
      </w:r>
      <w:r>
        <w:rPr>
          <w:rFonts w:asciiTheme="minorHAnsi" w:hAnsiTheme="minorHAnsi" w:cs="Arial"/>
          <w:sz w:val="24"/>
          <w:szCs w:val="24"/>
        </w:rPr>
        <w:t xml:space="preserve"> </w:t>
      </w:r>
      <w:r w:rsidRPr="00705E45">
        <w:rPr>
          <w:rFonts w:asciiTheme="minorHAnsi" w:hAnsiTheme="minorHAnsi" w:cs="Arial"/>
          <w:sz w:val="24"/>
          <w:szCs w:val="24"/>
        </w:rPr>
        <w:t>organizations associated with the BoS CoC are frequently sought out by</w:t>
      </w:r>
      <w:r>
        <w:rPr>
          <w:rFonts w:asciiTheme="minorHAnsi" w:hAnsiTheme="minorHAnsi" w:cs="Arial"/>
          <w:sz w:val="24"/>
          <w:szCs w:val="24"/>
        </w:rPr>
        <w:t xml:space="preserve"> </w:t>
      </w:r>
      <w:r w:rsidRPr="00705E45">
        <w:rPr>
          <w:rFonts w:asciiTheme="minorHAnsi" w:hAnsiTheme="minorHAnsi" w:cs="Arial"/>
          <w:sz w:val="24"/>
          <w:szCs w:val="24"/>
        </w:rPr>
        <w:t>unsheltered persons for assistance, i.e. shelter, food, and hygiene kits. During</w:t>
      </w:r>
      <w:r>
        <w:rPr>
          <w:rFonts w:asciiTheme="minorHAnsi" w:hAnsiTheme="minorHAnsi" w:cs="Arial"/>
          <w:sz w:val="24"/>
          <w:szCs w:val="24"/>
        </w:rPr>
        <w:t xml:space="preserve"> </w:t>
      </w:r>
      <w:r w:rsidRPr="00705E45">
        <w:rPr>
          <w:rFonts w:asciiTheme="minorHAnsi" w:hAnsiTheme="minorHAnsi" w:cs="Arial"/>
          <w:sz w:val="24"/>
          <w:szCs w:val="24"/>
        </w:rPr>
        <w:t xml:space="preserve">PIT </w:t>
      </w:r>
      <w:r>
        <w:rPr>
          <w:rFonts w:asciiTheme="minorHAnsi" w:hAnsiTheme="minorHAnsi" w:cs="Arial"/>
          <w:sz w:val="24"/>
          <w:szCs w:val="24"/>
        </w:rPr>
        <w:t>c</w:t>
      </w:r>
      <w:r w:rsidRPr="00705E45">
        <w:rPr>
          <w:rFonts w:asciiTheme="minorHAnsi" w:hAnsiTheme="minorHAnsi" w:cs="Arial"/>
          <w:sz w:val="24"/>
          <w:szCs w:val="24"/>
        </w:rPr>
        <w:t>ounts, persons in unsheltered homeless situations are surveyed using</w:t>
      </w:r>
      <w:r>
        <w:rPr>
          <w:rFonts w:asciiTheme="minorHAnsi" w:hAnsiTheme="minorHAnsi" w:cs="Arial"/>
          <w:sz w:val="24"/>
          <w:szCs w:val="24"/>
        </w:rPr>
        <w:t xml:space="preserve"> </w:t>
      </w:r>
      <w:r w:rsidRPr="00705E45">
        <w:rPr>
          <w:rFonts w:asciiTheme="minorHAnsi" w:hAnsiTheme="minorHAnsi" w:cs="Arial"/>
          <w:sz w:val="24"/>
          <w:szCs w:val="24"/>
        </w:rPr>
        <w:t>structured interviews. County officials are asked to identify possible sites not</w:t>
      </w:r>
      <w:r>
        <w:rPr>
          <w:rFonts w:asciiTheme="minorHAnsi" w:hAnsiTheme="minorHAnsi" w:cs="Arial"/>
          <w:sz w:val="24"/>
          <w:szCs w:val="24"/>
        </w:rPr>
        <w:t xml:space="preserve"> </w:t>
      </w:r>
      <w:r w:rsidRPr="00705E45">
        <w:rPr>
          <w:rFonts w:asciiTheme="minorHAnsi" w:hAnsiTheme="minorHAnsi" w:cs="Arial"/>
          <w:sz w:val="24"/>
          <w:szCs w:val="24"/>
        </w:rPr>
        <w:t>meant for human habitation where trained volunteers might find homeless</w:t>
      </w:r>
      <w:r>
        <w:rPr>
          <w:rFonts w:asciiTheme="minorHAnsi" w:hAnsiTheme="minorHAnsi" w:cs="Arial"/>
          <w:sz w:val="24"/>
          <w:szCs w:val="24"/>
        </w:rPr>
        <w:t xml:space="preserve"> </w:t>
      </w:r>
      <w:r w:rsidRPr="00705E45">
        <w:rPr>
          <w:rFonts w:asciiTheme="minorHAnsi" w:hAnsiTheme="minorHAnsi" w:cs="Arial"/>
          <w:sz w:val="24"/>
          <w:szCs w:val="24"/>
        </w:rPr>
        <w:t>individuals and families.</w:t>
      </w:r>
    </w:p>
    <w:p w14:paraId="16618E0D" w14:textId="77777777" w:rsidR="00DC3841" w:rsidRPr="00705E45" w:rsidRDefault="00DC3841" w:rsidP="00DC3841">
      <w:pPr>
        <w:contextualSpacing/>
        <w:rPr>
          <w:rFonts w:asciiTheme="minorHAnsi" w:hAnsiTheme="minorHAnsi" w:cs="Arial"/>
          <w:sz w:val="24"/>
          <w:szCs w:val="24"/>
        </w:rPr>
      </w:pPr>
    </w:p>
    <w:p w14:paraId="379338C1" w14:textId="77777777" w:rsidR="00DC3841" w:rsidRDefault="00DC3841" w:rsidP="00DC3841">
      <w:pPr>
        <w:contextualSpacing/>
        <w:rPr>
          <w:rFonts w:asciiTheme="minorHAnsi" w:hAnsiTheme="minorHAnsi" w:cs="Arial"/>
          <w:sz w:val="24"/>
          <w:szCs w:val="24"/>
        </w:rPr>
      </w:pPr>
      <w:r w:rsidRPr="00705E45">
        <w:rPr>
          <w:rFonts w:asciiTheme="minorHAnsi" w:hAnsiTheme="minorHAnsi" w:cs="Arial"/>
          <w:sz w:val="24"/>
          <w:szCs w:val="24"/>
        </w:rPr>
        <w:t xml:space="preserve">To maintain or build upon </w:t>
      </w:r>
      <w:r>
        <w:rPr>
          <w:rFonts w:asciiTheme="minorHAnsi" w:hAnsiTheme="minorHAnsi" w:cs="Arial"/>
          <w:sz w:val="24"/>
          <w:szCs w:val="24"/>
        </w:rPr>
        <w:t>its</w:t>
      </w:r>
      <w:r w:rsidRPr="00705E45">
        <w:rPr>
          <w:rFonts w:asciiTheme="minorHAnsi" w:hAnsiTheme="minorHAnsi" w:cs="Arial"/>
          <w:sz w:val="24"/>
          <w:szCs w:val="24"/>
        </w:rPr>
        <w:t xml:space="preserve"> current performance, the CoC will work to</w:t>
      </w:r>
      <w:r>
        <w:rPr>
          <w:rFonts w:asciiTheme="minorHAnsi" w:hAnsiTheme="minorHAnsi" w:cs="Arial"/>
          <w:sz w:val="24"/>
          <w:szCs w:val="24"/>
        </w:rPr>
        <w:t xml:space="preserve"> </w:t>
      </w:r>
      <w:r w:rsidRPr="00705E45">
        <w:rPr>
          <w:rFonts w:asciiTheme="minorHAnsi" w:hAnsiTheme="minorHAnsi" w:cs="Arial"/>
          <w:sz w:val="24"/>
          <w:szCs w:val="24"/>
        </w:rPr>
        <w:t>increase the participation of workforce development, supported employment,</w:t>
      </w:r>
      <w:r>
        <w:rPr>
          <w:rFonts w:asciiTheme="minorHAnsi" w:hAnsiTheme="minorHAnsi" w:cs="Arial"/>
          <w:sz w:val="24"/>
          <w:szCs w:val="24"/>
        </w:rPr>
        <w:t xml:space="preserve"> </w:t>
      </w:r>
      <w:r w:rsidRPr="00705E45">
        <w:rPr>
          <w:rFonts w:asciiTheme="minorHAnsi" w:hAnsiTheme="minorHAnsi" w:cs="Arial"/>
          <w:sz w:val="24"/>
          <w:szCs w:val="24"/>
        </w:rPr>
        <w:t>and Veterans employment service providers, as well as local businesses and</w:t>
      </w:r>
      <w:r>
        <w:rPr>
          <w:rFonts w:asciiTheme="minorHAnsi" w:hAnsiTheme="minorHAnsi" w:cs="Arial"/>
          <w:sz w:val="24"/>
          <w:szCs w:val="24"/>
        </w:rPr>
        <w:t xml:space="preserve"> </w:t>
      </w:r>
      <w:r w:rsidRPr="00705E45">
        <w:rPr>
          <w:rFonts w:asciiTheme="minorHAnsi" w:hAnsiTheme="minorHAnsi" w:cs="Arial"/>
          <w:sz w:val="24"/>
          <w:szCs w:val="24"/>
        </w:rPr>
        <w:t>other diverse stakeholders in strategic planning meetings in the eight regions,</w:t>
      </w:r>
      <w:r>
        <w:rPr>
          <w:rFonts w:asciiTheme="minorHAnsi" w:hAnsiTheme="minorHAnsi" w:cs="Arial"/>
          <w:sz w:val="24"/>
          <w:szCs w:val="24"/>
        </w:rPr>
        <w:t xml:space="preserve"> </w:t>
      </w:r>
      <w:r w:rsidRPr="00705E45">
        <w:rPr>
          <w:rFonts w:asciiTheme="minorHAnsi" w:hAnsiTheme="minorHAnsi" w:cs="Arial"/>
          <w:sz w:val="24"/>
          <w:szCs w:val="24"/>
        </w:rPr>
        <w:t>and in the overall BoS CoC planning process. The CoC will also increase the</w:t>
      </w:r>
      <w:r>
        <w:rPr>
          <w:rFonts w:asciiTheme="minorHAnsi" w:hAnsiTheme="minorHAnsi" w:cs="Arial"/>
          <w:sz w:val="24"/>
          <w:szCs w:val="24"/>
        </w:rPr>
        <w:t xml:space="preserve"> </w:t>
      </w:r>
      <w:r w:rsidRPr="00705E45">
        <w:rPr>
          <w:rFonts w:asciiTheme="minorHAnsi" w:hAnsiTheme="minorHAnsi" w:cs="Arial"/>
          <w:sz w:val="24"/>
          <w:szCs w:val="24"/>
        </w:rPr>
        <w:t>participation of the Kansas Department of Children and Family Services,</w:t>
      </w:r>
      <w:r>
        <w:rPr>
          <w:rFonts w:asciiTheme="minorHAnsi" w:hAnsiTheme="minorHAnsi" w:cs="Arial"/>
          <w:sz w:val="24"/>
          <w:szCs w:val="24"/>
        </w:rPr>
        <w:t xml:space="preserve"> </w:t>
      </w:r>
      <w:r w:rsidRPr="00705E45">
        <w:rPr>
          <w:rFonts w:asciiTheme="minorHAnsi" w:hAnsiTheme="minorHAnsi" w:cs="Arial"/>
          <w:sz w:val="24"/>
          <w:szCs w:val="24"/>
        </w:rPr>
        <w:t>Vocational Rehabilitation Services specialists with projects. New projects</w:t>
      </w:r>
      <w:r>
        <w:rPr>
          <w:rFonts w:asciiTheme="minorHAnsi" w:hAnsiTheme="minorHAnsi" w:cs="Arial"/>
          <w:sz w:val="24"/>
          <w:szCs w:val="24"/>
        </w:rPr>
        <w:t xml:space="preserve"> </w:t>
      </w:r>
      <w:r w:rsidRPr="00705E45">
        <w:rPr>
          <w:rFonts w:asciiTheme="minorHAnsi" w:hAnsiTheme="minorHAnsi" w:cs="Arial"/>
          <w:sz w:val="24"/>
          <w:szCs w:val="24"/>
        </w:rPr>
        <w:t>within the CoC will be scored based on a clear demonstration of how they will</w:t>
      </w:r>
      <w:r>
        <w:rPr>
          <w:rFonts w:asciiTheme="minorHAnsi" w:hAnsiTheme="minorHAnsi" w:cs="Arial"/>
          <w:sz w:val="24"/>
          <w:szCs w:val="24"/>
        </w:rPr>
        <w:t xml:space="preserve"> </w:t>
      </w:r>
      <w:r w:rsidRPr="00705E45">
        <w:rPr>
          <w:rFonts w:asciiTheme="minorHAnsi" w:hAnsiTheme="minorHAnsi" w:cs="Arial"/>
          <w:sz w:val="24"/>
          <w:szCs w:val="24"/>
        </w:rPr>
        <w:t>assist participants to increase their employment upon program exit.</w:t>
      </w:r>
    </w:p>
    <w:p w14:paraId="25F50826" w14:textId="77777777" w:rsidR="00DC3841" w:rsidRDefault="00DC3841" w:rsidP="00DC3841">
      <w:pPr>
        <w:contextualSpacing/>
        <w:rPr>
          <w:rFonts w:asciiTheme="minorHAnsi" w:hAnsiTheme="minorHAnsi" w:cs="Arial"/>
          <w:sz w:val="24"/>
          <w:szCs w:val="24"/>
        </w:rPr>
      </w:pPr>
    </w:p>
    <w:p w14:paraId="444670F2" w14:textId="77777777" w:rsidR="00DC3841" w:rsidRDefault="00DC3841" w:rsidP="00DC3841">
      <w:pPr>
        <w:contextualSpacing/>
        <w:rPr>
          <w:rFonts w:asciiTheme="minorHAnsi" w:hAnsiTheme="minorHAnsi" w:cs="Arial"/>
          <w:sz w:val="24"/>
          <w:szCs w:val="24"/>
        </w:rPr>
      </w:pPr>
      <w:r>
        <w:rPr>
          <w:rFonts w:asciiTheme="minorHAnsi" w:hAnsiTheme="minorHAnsi" w:cs="Arial"/>
          <w:sz w:val="24"/>
          <w:szCs w:val="24"/>
        </w:rPr>
        <w:t xml:space="preserve">The Supported Housing Fund (SHF) is a state-funded program providing tenant based housing assistance on a temporary and limited basis. The program is aimed towards supporting individuals who are experiencing mental illness as a barrier to housing. Through offering financial support to a variety of needs, the program is able to help individuals achieve a least restrictive housing environment possible. Some allowable SHF expenditures include: </w:t>
      </w:r>
    </w:p>
    <w:p w14:paraId="5D67D744" w14:textId="77777777" w:rsidR="00DC3841" w:rsidRDefault="00DC3841" w:rsidP="00A121EE">
      <w:pPr>
        <w:pStyle w:val="ListParagraph"/>
        <w:numPr>
          <w:ilvl w:val="0"/>
          <w:numId w:val="35"/>
        </w:numPr>
        <w:rPr>
          <w:rFonts w:asciiTheme="minorHAnsi" w:hAnsiTheme="minorHAnsi" w:cs="Arial"/>
          <w:sz w:val="24"/>
          <w:szCs w:val="24"/>
        </w:rPr>
      </w:pPr>
      <w:r>
        <w:rPr>
          <w:rFonts w:asciiTheme="minorHAnsi" w:hAnsiTheme="minorHAnsi" w:cs="Arial"/>
          <w:sz w:val="24"/>
          <w:szCs w:val="24"/>
        </w:rPr>
        <w:t>Temporary rental payment (first/last month’s rent or limited rental assistance)</w:t>
      </w:r>
    </w:p>
    <w:p w14:paraId="73BA465C" w14:textId="77777777" w:rsidR="00DC3841" w:rsidRDefault="00DC3841" w:rsidP="00A121EE">
      <w:pPr>
        <w:pStyle w:val="ListParagraph"/>
        <w:numPr>
          <w:ilvl w:val="0"/>
          <w:numId w:val="35"/>
        </w:numPr>
        <w:rPr>
          <w:rFonts w:asciiTheme="minorHAnsi" w:hAnsiTheme="minorHAnsi" w:cs="Arial"/>
          <w:sz w:val="24"/>
          <w:szCs w:val="24"/>
        </w:rPr>
      </w:pPr>
      <w:r>
        <w:rPr>
          <w:rFonts w:asciiTheme="minorHAnsi" w:hAnsiTheme="minorHAnsi" w:cs="Arial"/>
          <w:sz w:val="24"/>
          <w:szCs w:val="24"/>
        </w:rPr>
        <w:t>Housing and utility deposits/bills</w:t>
      </w:r>
    </w:p>
    <w:p w14:paraId="4C2A1E86" w14:textId="77777777" w:rsidR="00DC3841" w:rsidRDefault="00DC3841" w:rsidP="00A121EE">
      <w:pPr>
        <w:pStyle w:val="ListParagraph"/>
        <w:numPr>
          <w:ilvl w:val="0"/>
          <w:numId w:val="35"/>
        </w:numPr>
        <w:rPr>
          <w:rFonts w:asciiTheme="minorHAnsi" w:hAnsiTheme="minorHAnsi" w:cs="Arial"/>
          <w:sz w:val="24"/>
          <w:szCs w:val="24"/>
        </w:rPr>
      </w:pPr>
      <w:r>
        <w:rPr>
          <w:rFonts w:asciiTheme="minorHAnsi" w:hAnsiTheme="minorHAnsi" w:cs="Arial"/>
          <w:sz w:val="24"/>
          <w:szCs w:val="24"/>
        </w:rPr>
        <w:t>Moving expenses</w:t>
      </w:r>
    </w:p>
    <w:p w14:paraId="06E1D220" w14:textId="77777777" w:rsidR="00DC3841" w:rsidRDefault="00DC3841" w:rsidP="00A121EE">
      <w:pPr>
        <w:pStyle w:val="ListParagraph"/>
        <w:numPr>
          <w:ilvl w:val="0"/>
          <w:numId w:val="35"/>
        </w:numPr>
        <w:rPr>
          <w:rFonts w:asciiTheme="minorHAnsi" w:hAnsiTheme="minorHAnsi" w:cs="Arial"/>
          <w:sz w:val="24"/>
          <w:szCs w:val="24"/>
        </w:rPr>
      </w:pPr>
      <w:r>
        <w:rPr>
          <w:rFonts w:asciiTheme="minorHAnsi" w:hAnsiTheme="minorHAnsi" w:cs="Arial"/>
          <w:sz w:val="24"/>
          <w:szCs w:val="24"/>
        </w:rPr>
        <w:t>Minor home repair</w:t>
      </w:r>
    </w:p>
    <w:p w14:paraId="2046C821" w14:textId="77777777" w:rsidR="00DC3841" w:rsidRDefault="00DC3841" w:rsidP="00A121EE">
      <w:pPr>
        <w:pStyle w:val="ListParagraph"/>
        <w:numPr>
          <w:ilvl w:val="0"/>
          <w:numId w:val="35"/>
        </w:numPr>
        <w:rPr>
          <w:rFonts w:asciiTheme="minorHAnsi" w:hAnsiTheme="minorHAnsi" w:cs="Arial"/>
          <w:sz w:val="24"/>
          <w:szCs w:val="24"/>
        </w:rPr>
      </w:pPr>
      <w:r>
        <w:rPr>
          <w:rFonts w:asciiTheme="minorHAnsi" w:hAnsiTheme="minorHAnsi" w:cs="Arial"/>
          <w:sz w:val="24"/>
          <w:szCs w:val="24"/>
        </w:rPr>
        <w:t>Application fees</w:t>
      </w:r>
    </w:p>
    <w:p w14:paraId="56785DCC" w14:textId="77777777" w:rsidR="00DC3841" w:rsidRPr="00712026" w:rsidRDefault="00DC3841" w:rsidP="00DC3841">
      <w:pPr>
        <w:rPr>
          <w:rFonts w:asciiTheme="minorHAnsi" w:hAnsiTheme="minorHAnsi" w:cs="Arial"/>
          <w:sz w:val="24"/>
          <w:szCs w:val="24"/>
        </w:rPr>
      </w:pPr>
      <w:r>
        <w:rPr>
          <w:rFonts w:asciiTheme="minorHAnsi" w:hAnsiTheme="minorHAnsi" w:cs="Arial"/>
          <w:sz w:val="24"/>
          <w:szCs w:val="24"/>
        </w:rPr>
        <w:t xml:space="preserve">For a full list of allowable expenditures and non-allowable expenditures please see the State of Kansas Community Services and Programs Commission’s </w:t>
      </w:r>
      <w:hyperlink r:id="rId26" w:history="1">
        <w:r w:rsidRPr="00712026">
          <w:rPr>
            <w:rStyle w:val="Hyperlink"/>
            <w:rFonts w:asciiTheme="minorHAnsi" w:hAnsiTheme="minorHAnsi" w:cs="Arial"/>
            <w:sz w:val="24"/>
            <w:szCs w:val="24"/>
          </w:rPr>
          <w:t>website</w:t>
        </w:r>
      </w:hyperlink>
      <w:r>
        <w:rPr>
          <w:rFonts w:asciiTheme="minorHAnsi" w:hAnsiTheme="minorHAnsi" w:cs="Arial"/>
          <w:sz w:val="24"/>
          <w:szCs w:val="24"/>
        </w:rPr>
        <w:t xml:space="preserve">. </w:t>
      </w:r>
    </w:p>
    <w:p w14:paraId="62B343B5" w14:textId="77777777" w:rsidR="00DC3841" w:rsidRDefault="00DC3841" w:rsidP="00DC3841">
      <w:pPr>
        <w:contextualSpacing/>
        <w:rPr>
          <w:rFonts w:asciiTheme="minorHAnsi" w:hAnsiTheme="minorHAnsi" w:cs="Arial"/>
          <w:sz w:val="24"/>
          <w:szCs w:val="24"/>
        </w:rPr>
      </w:pPr>
      <w:r>
        <w:rPr>
          <w:rFonts w:asciiTheme="minorHAnsi" w:hAnsiTheme="minorHAnsi" w:cs="Arial"/>
          <w:sz w:val="24"/>
          <w:szCs w:val="24"/>
        </w:rPr>
        <w:t xml:space="preserve">Interim Housing (IH) grants are short-term project-based housing providing immediate housing for: homeless persons living in the community, persons leaving a state hospital, persons leaving a nursing facility for mental health or any other state-funded hospital or system of care setting. As of 2014, there were ten IH providers across the state. For a list of locations please see the State of Kansas Community Services and Programs Commission’s </w:t>
      </w:r>
      <w:hyperlink r:id="rId27" w:history="1">
        <w:r w:rsidRPr="00712026">
          <w:rPr>
            <w:rStyle w:val="Hyperlink"/>
            <w:rFonts w:asciiTheme="minorHAnsi" w:hAnsiTheme="minorHAnsi" w:cs="Arial"/>
            <w:sz w:val="24"/>
            <w:szCs w:val="24"/>
          </w:rPr>
          <w:t>website</w:t>
        </w:r>
      </w:hyperlink>
      <w:r>
        <w:rPr>
          <w:rFonts w:asciiTheme="minorHAnsi" w:hAnsiTheme="minorHAnsi" w:cs="Arial"/>
          <w:sz w:val="24"/>
          <w:szCs w:val="24"/>
        </w:rPr>
        <w:t>.</w:t>
      </w:r>
    </w:p>
    <w:p w14:paraId="1239667A" w14:textId="77777777" w:rsidR="00DC3841" w:rsidRPr="00FB58AC" w:rsidRDefault="00DC3841" w:rsidP="00DC3841">
      <w:pPr>
        <w:spacing w:line="204" w:lineRule="auto"/>
        <w:rPr>
          <w:rFonts w:asciiTheme="minorHAnsi" w:hAnsiTheme="minorHAnsi"/>
          <w:sz w:val="24"/>
          <w:highlight w:val="cyan"/>
        </w:rPr>
      </w:pPr>
    </w:p>
    <w:p w14:paraId="3F1D0321" w14:textId="77777777" w:rsidR="00DC3841" w:rsidRDefault="00DC3841" w:rsidP="00DC3841">
      <w:pPr>
        <w:spacing w:line="204" w:lineRule="auto"/>
        <w:rPr>
          <w:rFonts w:asciiTheme="minorHAnsi" w:hAnsiTheme="minorHAnsi"/>
          <w:b/>
          <w:sz w:val="24"/>
        </w:rPr>
      </w:pPr>
      <w:r>
        <w:rPr>
          <w:rFonts w:asciiTheme="minorHAnsi" w:hAnsiTheme="minorHAnsi"/>
          <w:b/>
          <w:sz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14:paraId="570DD44A" w14:textId="77777777" w:rsidR="00DC3841" w:rsidRPr="00640EBD" w:rsidRDefault="00DC3841" w:rsidP="00DC3841">
      <w:pPr>
        <w:autoSpaceDE w:val="0"/>
        <w:autoSpaceDN w:val="0"/>
        <w:adjustRightInd w:val="0"/>
        <w:spacing w:after="0"/>
        <w:rPr>
          <w:rFonts w:asciiTheme="minorHAnsi" w:hAnsiTheme="minorHAnsi" w:cs="Arial"/>
          <w:sz w:val="24"/>
          <w:szCs w:val="24"/>
        </w:rPr>
      </w:pPr>
      <w:r w:rsidRPr="00640EBD">
        <w:rPr>
          <w:rFonts w:asciiTheme="minorHAnsi" w:hAnsiTheme="minorHAnsi" w:cs="Arial"/>
          <w:sz w:val="24"/>
          <w:szCs w:val="24"/>
        </w:rPr>
        <w:t>KSHC has led effort</w:t>
      </w:r>
      <w:r>
        <w:rPr>
          <w:rFonts w:asciiTheme="minorHAnsi" w:hAnsiTheme="minorHAnsi" w:cs="Arial"/>
          <w:sz w:val="24"/>
          <w:szCs w:val="24"/>
        </w:rPr>
        <w:t>s</w:t>
      </w:r>
      <w:r w:rsidRPr="00640EBD">
        <w:rPr>
          <w:rFonts w:asciiTheme="minorHAnsi" w:hAnsiTheme="minorHAnsi" w:cs="Arial"/>
          <w:sz w:val="24"/>
          <w:szCs w:val="24"/>
        </w:rPr>
        <w:t xml:space="preserve"> to improve regional coordination activities and assisted</w:t>
      </w:r>
      <w:r>
        <w:rPr>
          <w:rFonts w:asciiTheme="minorHAnsi" w:hAnsiTheme="minorHAnsi" w:cs="Arial"/>
          <w:sz w:val="24"/>
          <w:szCs w:val="24"/>
        </w:rPr>
        <w:t xml:space="preserve"> </w:t>
      </w:r>
      <w:r w:rsidRPr="00640EBD">
        <w:rPr>
          <w:rFonts w:asciiTheme="minorHAnsi" w:hAnsiTheme="minorHAnsi" w:cs="Arial"/>
          <w:sz w:val="24"/>
          <w:szCs w:val="24"/>
        </w:rPr>
        <w:t xml:space="preserve">with strategic planning in each of the </w:t>
      </w:r>
      <w:r>
        <w:rPr>
          <w:rFonts w:asciiTheme="minorHAnsi" w:hAnsiTheme="minorHAnsi" w:cs="Arial"/>
          <w:sz w:val="24"/>
          <w:szCs w:val="24"/>
        </w:rPr>
        <w:t xml:space="preserve">Kansas </w:t>
      </w:r>
      <w:r w:rsidRPr="00640EBD">
        <w:rPr>
          <w:rFonts w:asciiTheme="minorHAnsi" w:hAnsiTheme="minorHAnsi" w:cs="Arial"/>
          <w:sz w:val="24"/>
          <w:szCs w:val="24"/>
        </w:rPr>
        <w:t xml:space="preserve">regions. </w:t>
      </w:r>
      <w:r>
        <w:rPr>
          <w:rFonts w:asciiTheme="minorHAnsi" w:hAnsiTheme="minorHAnsi" w:cs="Arial"/>
          <w:sz w:val="24"/>
          <w:szCs w:val="24"/>
        </w:rPr>
        <w:t>Because of increased coordination, a</w:t>
      </w:r>
      <w:r w:rsidRPr="00640EBD">
        <w:rPr>
          <w:rFonts w:asciiTheme="minorHAnsi" w:hAnsiTheme="minorHAnsi" w:cs="Arial"/>
          <w:sz w:val="24"/>
          <w:szCs w:val="24"/>
        </w:rPr>
        <w:t>gencies are communicating</w:t>
      </w:r>
      <w:r>
        <w:rPr>
          <w:rFonts w:asciiTheme="minorHAnsi" w:hAnsiTheme="minorHAnsi" w:cs="Arial"/>
          <w:sz w:val="24"/>
          <w:szCs w:val="24"/>
        </w:rPr>
        <w:t xml:space="preserve"> better</w:t>
      </w:r>
      <w:r w:rsidRPr="00640EBD">
        <w:rPr>
          <w:rFonts w:asciiTheme="minorHAnsi" w:hAnsiTheme="minorHAnsi" w:cs="Arial"/>
          <w:sz w:val="24"/>
          <w:szCs w:val="24"/>
        </w:rPr>
        <w:t xml:space="preserve"> regarding their needs and sharing</w:t>
      </w:r>
      <w:r>
        <w:rPr>
          <w:rFonts w:asciiTheme="minorHAnsi" w:hAnsiTheme="minorHAnsi" w:cs="Arial"/>
          <w:sz w:val="24"/>
          <w:szCs w:val="24"/>
        </w:rPr>
        <w:t xml:space="preserve"> programmatic</w:t>
      </w:r>
      <w:r w:rsidRPr="00640EBD">
        <w:rPr>
          <w:rFonts w:asciiTheme="minorHAnsi" w:hAnsiTheme="minorHAnsi" w:cs="Arial"/>
          <w:sz w:val="24"/>
          <w:szCs w:val="24"/>
        </w:rPr>
        <w:t xml:space="preserve"> information</w:t>
      </w:r>
      <w:r>
        <w:rPr>
          <w:rFonts w:asciiTheme="minorHAnsi" w:hAnsiTheme="minorHAnsi" w:cs="Arial"/>
          <w:sz w:val="24"/>
          <w:szCs w:val="24"/>
        </w:rPr>
        <w:t>. This increased</w:t>
      </w:r>
      <w:r w:rsidRPr="00640EBD">
        <w:rPr>
          <w:rFonts w:asciiTheme="minorHAnsi" w:hAnsiTheme="minorHAnsi" w:cs="Arial"/>
          <w:sz w:val="24"/>
          <w:szCs w:val="24"/>
        </w:rPr>
        <w:t xml:space="preserve"> collaboration has led more homeless</w:t>
      </w:r>
      <w:r>
        <w:rPr>
          <w:rFonts w:asciiTheme="minorHAnsi" w:hAnsiTheme="minorHAnsi" w:cs="Arial"/>
          <w:sz w:val="24"/>
          <w:szCs w:val="24"/>
        </w:rPr>
        <w:t xml:space="preserve"> </w:t>
      </w:r>
      <w:r w:rsidRPr="00640EBD">
        <w:rPr>
          <w:rFonts w:asciiTheme="minorHAnsi" w:hAnsiTheme="minorHAnsi" w:cs="Arial"/>
          <w:sz w:val="24"/>
          <w:szCs w:val="24"/>
        </w:rPr>
        <w:t>referr</w:t>
      </w:r>
      <w:r>
        <w:rPr>
          <w:rFonts w:asciiTheme="minorHAnsi" w:hAnsiTheme="minorHAnsi" w:cs="Arial"/>
          <w:sz w:val="24"/>
          <w:szCs w:val="24"/>
        </w:rPr>
        <w:t>als</w:t>
      </w:r>
      <w:r w:rsidRPr="00640EBD">
        <w:rPr>
          <w:rFonts w:asciiTheme="minorHAnsi" w:hAnsiTheme="minorHAnsi" w:cs="Arial"/>
          <w:sz w:val="24"/>
          <w:szCs w:val="24"/>
        </w:rPr>
        <w:t xml:space="preserve"> to appropriate services. </w:t>
      </w:r>
      <w:r>
        <w:rPr>
          <w:rFonts w:asciiTheme="minorHAnsi" w:hAnsiTheme="minorHAnsi" w:cs="Arial"/>
          <w:sz w:val="24"/>
          <w:szCs w:val="24"/>
        </w:rPr>
        <w:t>Data from the 2016</w:t>
      </w:r>
      <w:r w:rsidRPr="00640EBD">
        <w:rPr>
          <w:rFonts w:asciiTheme="minorHAnsi" w:hAnsiTheme="minorHAnsi" w:cs="Arial"/>
          <w:sz w:val="24"/>
          <w:szCs w:val="24"/>
        </w:rPr>
        <w:t xml:space="preserve"> and</w:t>
      </w:r>
      <w:r>
        <w:rPr>
          <w:rFonts w:asciiTheme="minorHAnsi" w:hAnsiTheme="minorHAnsi" w:cs="Arial"/>
          <w:sz w:val="24"/>
          <w:szCs w:val="24"/>
        </w:rPr>
        <w:t xml:space="preserve"> </w:t>
      </w:r>
      <w:r w:rsidRPr="00640EBD">
        <w:rPr>
          <w:rFonts w:asciiTheme="minorHAnsi" w:hAnsiTheme="minorHAnsi" w:cs="Arial"/>
          <w:sz w:val="24"/>
          <w:szCs w:val="24"/>
        </w:rPr>
        <w:t>201</w:t>
      </w:r>
      <w:r>
        <w:rPr>
          <w:rFonts w:asciiTheme="minorHAnsi" w:hAnsiTheme="minorHAnsi" w:cs="Arial"/>
          <w:sz w:val="24"/>
          <w:szCs w:val="24"/>
        </w:rPr>
        <w:t xml:space="preserve">7 Point in Time (PIT) Counts indicate a decrease in </w:t>
      </w:r>
      <w:r w:rsidRPr="00640EBD">
        <w:rPr>
          <w:rFonts w:asciiTheme="minorHAnsi" w:hAnsiTheme="minorHAnsi" w:cs="Arial"/>
          <w:sz w:val="24"/>
          <w:szCs w:val="24"/>
        </w:rPr>
        <w:t>the number of</w:t>
      </w:r>
      <w:r>
        <w:rPr>
          <w:rFonts w:asciiTheme="minorHAnsi" w:hAnsiTheme="minorHAnsi" w:cs="Arial"/>
          <w:sz w:val="24"/>
          <w:szCs w:val="24"/>
        </w:rPr>
        <w:t xml:space="preserve"> </w:t>
      </w:r>
      <w:r w:rsidRPr="00640EBD">
        <w:rPr>
          <w:rFonts w:asciiTheme="minorHAnsi" w:hAnsiTheme="minorHAnsi" w:cs="Arial"/>
          <w:sz w:val="24"/>
          <w:szCs w:val="24"/>
        </w:rPr>
        <w:t>chronically homeless persons</w:t>
      </w:r>
      <w:r>
        <w:rPr>
          <w:rFonts w:asciiTheme="minorHAnsi" w:hAnsiTheme="minorHAnsi" w:cs="Arial"/>
          <w:sz w:val="24"/>
          <w:szCs w:val="24"/>
        </w:rPr>
        <w:t xml:space="preserve"> overall and a larger portion of those chronically homeless persons are sheltered</w:t>
      </w:r>
      <w:r w:rsidRPr="00640EBD">
        <w:rPr>
          <w:rFonts w:asciiTheme="minorHAnsi" w:hAnsiTheme="minorHAnsi" w:cs="Arial"/>
          <w:sz w:val="24"/>
          <w:szCs w:val="24"/>
        </w:rPr>
        <w:t xml:space="preserve">. This </w:t>
      </w:r>
      <w:r>
        <w:rPr>
          <w:rFonts w:asciiTheme="minorHAnsi" w:hAnsiTheme="minorHAnsi" w:cs="Arial"/>
          <w:sz w:val="24"/>
          <w:szCs w:val="24"/>
        </w:rPr>
        <w:t xml:space="preserve">demonstrates that as a Continuum, </w:t>
      </w:r>
      <w:r w:rsidRPr="00640EBD">
        <w:rPr>
          <w:rFonts w:asciiTheme="minorHAnsi" w:hAnsiTheme="minorHAnsi" w:cs="Arial"/>
          <w:sz w:val="24"/>
          <w:szCs w:val="24"/>
        </w:rPr>
        <w:t>age</w:t>
      </w:r>
      <w:r>
        <w:rPr>
          <w:rFonts w:asciiTheme="minorHAnsi" w:hAnsiTheme="minorHAnsi" w:cs="Arial"/>
          <w:sz w:val="24"/>
          <w:szCs w:val="24"/>
        </w:rPr>
        <w:t xml:space="preserve">ncies are </w:t>
      </w:r>
      <w:r w:rsidRPr="00640EBD">
        <w:rPr>
          <w:rFonts w:asciiTheme="minorHAnsi" w:hAnsiTheme="minorHAnsi" w:cs="Arial"/>
          <w:sz w:val="24"/>
          <w:szCs w:val="24"/>
        </w:rPr>
        <w:t>identifying</w:t>
      </w:r>
      <w:r>
        <w:rPr>
          <w:rFonts w:asciiTheme="minorHAnsi" w:hAnsiTheme="minorHAnsi" w:cs="Arial"/>
          <w:sz w:val="24"/>
          <w:szCs w:val="24"/>
        </w:rPr>
        <w:t xml:space="preserve"> </w:t>
      </w:r>
      <w:r w:rsidRPr="00640EBD">
        <w:rPr>
          <w:rFonts w:asciiTheme="minorHAnsi" w:hAnsiTheme="minorHAnsi" w:cs="Arial"/>
          <w:sz w:val="24"/>
          <w:szCs w:val="24"/>
        </w:rPr>
        <w:t>chronically homeless persons in unsheltered settings and helping them access</w:t>
      </w:r>
      <w:r>
        <w:rPr>
          <w:rFonts w:asciiTheme="minorHAnsi" w:hAnsiTheme="minorHAnsi" w:cs="Arial"/>
          <w:sz w:val="24"/>
          <w:szCs w:val="24"/>
        </w:rPr>
        <w:t xml:space="preserve"> </w:t>
      </w:r>
      <w:r w:rsidRPr="00640EBD">
        <w:rPr>
          <w:rFonts w:asciiTheme="minorHAnsi" w:hAnsiTheme="minorHAnsi" w:cs="Arial"/>
          <w:sz w:val="24"/>
          <w:szCs w:val="24"/>
        </w:rPr>
        <w:t>appropriate services.</w:t>
      </w:r>
    </w:p>
    <w:p w14:paraId="489609C7" w14:textId="77777777" w:rsidR="00DC3841" w:rsidRDefault="00DC3841" w:rsidP="00DC3841">
      <w:pPr>
        <w:autoSpaceDE w:val="0"/>
        <w:autoSpaceDN w:val="0"/>
        <w:adjustRightInd w:val="0"/>
        <w:spacing w:after="0"/>
        <w:rPr>
          <w:rFonts w:asciiTheme="minorHAnsi" w:hAnsiTheme="minorHAnsi" w:cs="Arial"/>
          <w:sz w:val="24"/>
          <w:szCs w:val="24"/>
        </w:rPr>
      </w:pPr>
    </w:p>
    <w:p w14:paraId="3F01EA8A" w14:textId="77777777" w:rsidR="00DC3841" w:rsidRDefault="00DC3841" w:rsidP="00DC3841">
      <w:pPr>
        <w:autoSpaceDE w:val="0"/>
        <w:autoSpaceDN w:val="0"/>
        <w:adjustRightInd w:val="0"/>
        <w:spacing w:after="0"/>
        <w:rPr>
          <w:rFonts w:asciiTheme="minorHAnsi" w:hAnsiTheme="minorHAnsi" w:cs="Arial"/>
          <w:sz w:val="24"/>
          <w:szCs w:val="24"/>
        </w:rPr>
      </w:pPr>
      <w:r>
        <w:rPr>
          <w:rFonts w:asciiTheme="minorHAnsi" w:hAnsiTheme="minorHAnsi" w:cs="Arial"/>
          <w:sz w:val="24"/>
          <w:szCs w:val="24"/>
        </w:rPr>
        <w:t>T</w:t>
      </w:r>
      <w:r w:rsidRPr="00FD58BD">
        <w:rPr>
          <w:rFonts w:asciiTheme="minorHAnsi" w:hAnsiTheme="minorHAnsi" w:cs="Arial"/>
          <w:sz w:val="24"/>
          <w:szCs w:val="24"/>
        </w:rPr>
        <w:t>he B</w:t>
      </w:r>
      <w:r>
        <w:rPr>
          <w:rFonts w:asciiTheme="minorHAnsi" w:hAnsiTheme="minorHAnsi" w:cs="Arial"/>
          <w:sz w:val="24"/>
          <w:szCs w:val="24"/>
        </w:rPr>
        <w:t>alance of State (BoS)</w:t>
      </w:r>
      <w:r w:rsidRPr="00FD58BD">
        <w:rPr>
          <w:rFonts w:asciiTheme="minorHAnsi" w:hAnsiTheme="minorHAnsi" w:cs="Arial"/>
          <w:sz w:val="24"/>
          <w:szCs w:val="24"/>
        </w:rPr>
        <w:t xml:space="preserve"> C</w:t>
      </w:r>
      <w:r>
        <w:rPr>
          <w:rFonts w:asciiTheme="minorHAnsi" w:hAnsiTheme="minorHAnsi" w:cs="Arial"/>
          <w:sz w:val="24"/>
          <w:szCs w:val="24"/>
        </w:rPr>
        <w:t>ontinuum of Care (C</w:t>
      </w:r>
      <w:r w:rsidRPr="00FD58BD">
        <w:rPr>
          <w:rFonts w:asciiTheme="minorHAnsi" w:hAnsiTheme="minorHAnsi" w:cs="Arial"/>
          <w:sz w:val="24"/>
          <w:szCs w:val="24"/>
        </w:rPr>
        <w:t>oC</w:t>
      </w:r>
      <w:r>
        <w:rPr>
          <w:rFonts w:asciiTheme="minorHAnsi" w:hAnsiTheme="minorHAnsi" w:cs="Arial"/>
          <w:sz w:val="24"/>
          <w:szCs w:val="24"/>
        </w:rPr>
        <w:t>)</w:t>
      </w:r>
      <w:r w:rsidRPr="00FD58BD">
        <w:rPr>
          <w:rFonts w:asciiTheme="minorHAnsi" w:hAnsiTheme="minorHAnsi" w:cs="Arial"/>
          <w:sz w:val="24"/>
          <w:szCs w:val="24"/>
        </w:rPr>
        <w:t>, has worked closely with the Veterans</w:t>
      </w:r>
      <w:r>
        <w:rPr>
          <w:rFonts w:asciiTheme="minorHAnsi" w:hAnsiTheme="minorHAnsi" w:cs="Arial"/>
          <w:sz w:val="24"/>
          <w:szCs w:val="24"/>
        </w:rPr>
        <w:t xml:space="preserve"> </w:t>
      </w:r>
      <w:r w:rsidRPr="00FD58BD">
        <w:rPr>
          <w:rFonts w:asciiTheme="minorHAnsi" w:hAnsiTheme="minorHAnsi" w:cs="Arial"/>
          <w:sz w:val="24"/>
          <w:szCs w:val="24"/>
        </w:rPr>
        <w:t>Administration (VA) to address the needs of homeless Veterans. The Kansas</w:t>
      </w:r>
      <w:r>
        <w:rPr>
          <w:rFonts w:asciiTheme="minorHAnsi" w:hAnsiTheme="minorHAnsi" w:cs="Arial"/>
          <w:sz w:val="24"/>
          <w:szCs w:val="24"/>
        </w:rPr>
        <w:t xml:space="preserve"> </w:t>
      </w:r>
      <w:r w:rsidRPr="00FD58BD">
        <w:rPr>
          <w:rFonts w:asciiTheme="minorHAnsi" w:hAnsiTheme="minorHAnsi" w:cs="Arial"/>
          <w:sz w:val="24"/>
          <w:szCs w:val="24"/>
        </w:rPr>
        <w:t>Statewide Homeless Coalition has an individual from the VA on its Board of</w:t>
      </w:r>
      <w:r>
        <w:rPr>
          <w:rFonts w:asciiTheme="minorHAnsi" w:hAnsiTheme="minorHAnsi" w:cs="Arial"/>
          <w:sz w:val="24"/>
          <w:szCs w:val="24"/>
        </w:rPr>
        <w:t xml:space="preserve"> </w:t>
      </w:r>
      <w:r w:rsidRPr="00FD58BD">
        <w:rPr>
          <w:rFonts w:asciiTheme="minorHAnsi" w:hAnsiTheme="minorHAnsi" w:cs="Arial"/>
          <w:sz w:val="24"/>
          <w:szCs w:val="24"/>
        </w:rPr>
        <w:t>Directors</w:t>
      </w:r>
      <w:r>
        <w:rPr>
          <w:rFonts w:asciiTheme="minorHAnsi" w:hAnsiTheme="minorHAnsi" w:cs="Arial"/>
          <w:sz w:val="24"/>
          <w:szCs w:val="24"/>
        </w:rPr>
        <w:t xml:space="preserve">. </w:t>
      </w:r>
      <w:r w:rsidRPr="00FD58BD">
        <w:rPr>
          <w:rFonts w:asciiTheme="minorHAnsi" w:hAnsiTheme="minorHAnsi" w:cs="Arial"/>
          <w:sz w:val="24"/>
          <w:szCs w:val="24"/>
        </w:rPr>
        <w:t>This individual works full-time for the VA</w:t>
      </w:r>
      <w:r>
        <w:rPr>
          <w:rFonts w:asciiTheme="minorHAnsi" w:hAnsiTheme="minorHAnsi" w:cs="Arial"/>
          <w:sz w:val="24"/>
          <w:szCs w:val="24"/>
        </w:rPr>
        <w:t xml:space="preserve"> </w:t>
      </w:r>
      <w:r w:rsidRPr="00FD58BD">
        <w:rPr>
          <w:rFonts w:asciiTheme="minorHAnsi" w:hAnsiTheme="minorHAnsi" w:cs="Arial"/>
          <w:sz w:val="24"/>
          <w:szCs w:val="24"/>
        </w:rPr>
        <w:t>providing services to Veterans and their families affected by homelessness. In</w:t>
      </w:r>
      <w:r>
        <w:rPr>
          <w:rFonts w:asciiTheme="minorHAnsi" w:hAnsiTheme="minorHAnsi" w:cs="Arial"/>
          <w:sz w:val="24"/>
          <w:szCs w:val="24"/>
        </w:rPr>
        <w:t xml:space="preserve"> the last three </w:t>
      </w:r>
      <w:r w:rsidRPr="00FD58BD">
        <w:rPr>
          <w:rFonts w:asciiTheme="minorHAnsi" w:hAnsiTheme="minorHAnsi" w:cs="Arial"/>
          <w:sz w:val="24"/>
          <w:szCs w:val="24"/>
        </w:rPr>
        <w:t>years the VA has awarded funding from their Grant Per Diem program</w:t>
      </w:r>
      <w:r>
        <w:rPr>
          <w:rFonts w:asciiTheme="minorHAnsi" w:hAnsiTheme="minorHAnsi" w:cs="Arial"/>
          <w:sz w:val="24"/>
          <w:szCs w:val="24"/>
        </w:rPr>
        <w:t xml:space="preserve"> </w:t>
      </w:r>
      <w:r w:rsidRPr="00FD58BD">
        <w:rPr>
          <w:rFonts w:asciiTheme="minorHAnsi" w:hAnsiTheme="minorHAnsi" w:cs="Arial"/>
          <w:sz w:val="24"/>
          <w:szCs w:val="24"/>
        </w:rPr>
        <w:t xml:space="preserve">to the cities of Emporia and Leavenworth. </w:t>
      </w:r>
    </w:p>
    <w:p w14:paraId="478F8267" w14:textId="77777777" w:rsidR="00DC3841" w:rsidRDefault="00DC3841" w:rsidP="00DC3841">
      <w:pPr>
        <w:autoSpaceDE w:val="0"/>
        <w:autoSpaceDN w:val="0"/>
        <w:adjustRightInd w:val="0"/>
        <w:spacing w:after="0"/>
        <w:rPr>
          <w:rFonts w:asciiTheme="minorHAnsi" w:hAnsiTheme="minorHAnsi" w:cs="Arial"/>
          <w:sz w:val="24"/>
          <w:szCs w:val="24"/>
        </w:rPr>
      </w:pPr>
    </w:p>
    <w:p w14:paraId="678A9430" w14:textId="77777777" w:rsidR="00DC3841" w:rsidRPr="00FD58BD" w:rsidRDefault="00DC3841" w:rsidP="00DC3841">
      <w:pPr>
        <w:autoSpaceDE w:val="0"/>
        <w:autoSpaceDN w:val="0"/>
        <w:adjustRightInd w:val="0"/>
        <w:spacing w:after="0"/>
        <w:rPr>
          <w:rFonts w:asciiTheme="minorHAnsi" w:hAnsiTheme="minorHAnsi" w:cs="Arial"/>
          <w:sz w:val="24"/>
          <w:szCs w:val="24"/>
        </w:rPr>
      </w:pPr>
      <w:r w:rsidRPr="00FD58BD">
        <w:rPr>
          <w:rFonts w:asciiTheme="minorHAnsi" w:hAnsiTheme="minorHAnsi" w:cs="Arial"/>
          <w:sz w:val="24"/>
          <w:szCs w:val="24"/>
        </w:rPr>
        <w:t>Additionally, the VA has</w:t>
      </w:r>
      <w:r>
        <w:rPr>
          <w:rFonts w:asciiTheme="minorHAnsi" w:hAnsiTheme="minorHAnsi" w:cs="Arial"/>
          <w:sz w:val="24"/>
          <w:szCs w:val="24"/>
        </w:rPr>
        <w:t xml:space="preserve"> </w:t>
      </w:r>
      <w:r w:rsidRPr="00FD58BD">
        <w:rPr>
          <w:rFonts w:asciiTheme="minorHAnsi" w:hAnsiTheme="minorHAnsi" w:cs="Arial"/>
          <w:sz w:val="24"/>
          <w:szCs w:val="24"/>
        </w:rPr>
        <w:t>expanded the permanent housing options available to veterans through the</w:t>
      </w:r>
      <w:r>
        <w:rPr>
          <w:rFonts w:asciiTheme="minorHAnsi" w:hAnsiTheme="minorHAnsi" w:cs="Arial"/>
          <w:sz w:val="24"/>
          <w:szCs w:val="24"/>
        </w:rPr>
        <w:t xml:space="preserve"> </w:t>
      </w:r>
      <w:r w:rsidRPr="00FD58BD">
        <w:rPr>
          <w:rFonts w:asciiTheme="minorHAnsi" w:hAnsiTheme="minorHAnsi" w:cs="Arial"/>
          <w:sz w:val="24"/>
          <w:szCs w:val="24"/>
        </w:rPr>
        <w:t>creation of the HUD Veterans Assisted Supported Housing (HUD VASH)</w:t>
      </w:r>
      <w:r>
        <w:rPr>
          <w:rFonts w:asciiTheme="minorHAnsi" w:hAnsiTheme="minorHAnsi" w:cs="Arial"/>
          <w:sz w:val="24"/>
          <w:szCs w:val="24"/>
        </w:rPr>
        <w:t xml:space="preserve"> vouchers.  </w:t>
      </w:r>
      <w:r w:rsidRPr="00FD58BD">
        <w:rPr>
          <w:rFonts w:asciiTheme="minorHAnsi" w:hAnsiTheme="minorHAnsi" w:cs="Arial"/>
          <w:sz w:val="24"/>
          <w:szCs w:val="24"/>
        </w:rPr>
        <w:t>BoS service providers work with the</w:t>
      </w:r>
      <w:r>
        <w:rPr>
          <w:rFonts w:asciiTheme="minorHAnsi" w:hAnsiTheme="minorHAnsi" w:cs="Arial"/>
          <w:sz w:val="24"/>
          <w:szCs w:val="24"/>
        </w:rPr>
        <w:t xml:space="preserve"> </w:t>
      </w:r>
      <w:r w:rsidRPr="00FD58BD">
        <w:rPr>
          <w:rFonts w:asciiTheme="minorHAnsi" w:hAnsiTheme="minorHAnsi" w:cs="Arial"/>
          <w:sz w:val="24"/>
          <w:szCs w:val="24"/>
        </w:rPr>
        <w:t>Colmery O'Neil VA in Topeka, the Robert J. Dole VA in Wichita, and the Dwight</w:t>
      </w:r>
      <w:r>
        <w:rPr>
          <w:rFonts w:asciiTheme="minorHAnsi" w:hAnsiTheme="minorHAnsi" w:cs="Arial"/>
          <w:sz w:val="24"/>
          <w:szCs w:val="24"/>
        </w:rPr>
        <w:t xml:space="preserve"> </w:t>
      </w:r>
      <w:r w:rsidRPr="00FD58BD">
        <w:rPr>
          <w:rFonts w:asciiTheme="minorHAnsi" w:hAnsiTheme="minorHAnsi" w:cs="Arial"/>
          <w:sz w:val="24"/>
          <w:szCs w:val="24"/>
        </w:rPr>
        <w:t>D. Eisenhower VA in Leavenworth to obtain supportive services for Veterans in</w:t>
      </w:r>
      <w:r>
        <w:rPr>
          <w:rFonts w:asciiTheme="minorHAnsi" w:hAnsiTheme="minorHAnsi" w:cs="Arial"/>
          <w:sz w:val="24"/>
          <w:szCs w:val="24"/>
        </w:rPr>
        <w:t xml:space="preserve"> </w:t>
      </w:r>
      <w:r w:rsidRPr="00FD58BD">
        <w:rPr>
          <w:rFonts w:asciiTheme="minorHAnsi" w:hAnsiTheme="minorHAnsi" w:cs="Arial"/>
          <w:sz w:val="24"/>
          <w:szCs w:val="24"/>
        </w:rPr>
        <w:t>these housing units. These activities are consistent with the CoC's goal of</w:t>
      </w:r>
      <w:r>
        <w:rPr>
          <w:rFonts w:asciiTheme="minorHAnsi" w:hAnsiTheme="minorHAnsi" w:cs="Arial"/>
          <w:sz w:val="24"/>
          <w:szCs w:val="24"/>
        </w:rPr>
        <w:t xml:space="preserve"> </w:t>
      </w:r>
      <w:r w:rsidRPr="00FD58BD">
        <w:rPr>
          <w:rFonts w:asciiTheme="minorHAnsi" w:hAnsiTheme="minorHAnsi" w:cs="Arial"/>
          <w:sz w:val="24"/>
          <w:szCs w:val="24"/>
        </w:rPr>
        <w:t>working with the VA to obtain the resources needed to serve this target</w:t>
      </w:r>
      <w:r>
        <w:rPr>
          <w:rFonts w:asciiTheme="minorHAnsi" w:hAnsiTheme="minorHAnsi" w:cs="Arial"/>
          <w:sz w:val="24"/>
          <w:szCs w:val="24"/>
        </w:rPr>
        <w:t xml:space="preserve"> </w:t>
      </w:r>
      <w:r w:rsidRPr="00FD58BD">
        <w:rPr>
          <w:rFonts w:asciiTheme="minorHAnsi" w:hAnsiTheme="minorHAnsi" w:cs="Arial"/>
          <w:sz w:val="24"/>
          <w:szCs w:val="24"/>
        </w:rPr>
        <w:t>population. CoC future efforts will be to continue to work with the VA to utilize</w:t>
      </w:r>
      <w:r>
        <w:rPr>
          <w:rFonts w:asciiTheme="minorHAnsi" w:hAnsiTheme="minorHAnsi" w:cs="Arial"/>
          <w:sz w:val="24"/>
          <w:szCs w:val="24"/>
        </w:rPr>
        <w:t xml:space="preserve"> </w:t>
      </w:r>
      <w:r w:rsidRPr="00FD58BD">
        <w:rPr>
          <w:rFonts w:asciiTheme="minorHAnsi" w:hAnsiTheme="minorHAnsi" w:cs="Arial"/>
          <w:sz w:val="24"/>
          <w:szCs w:val="24"/>
        </w:rPr>
        <w:t>the HUD VASH program and to obtain additional transitional and permanent</w:t>
      </w:r>
      <w:r>
        <w:rPr>
          <w:rFonts w:asciiTheme="minorHAnsi" w:hAnsiTheme="minorHAnsi" w:cs="Arial"/>
          <w:sz w:val="24"/>
          <w:szCs w:val="24"/>
        </w:rPr>
        <w:t xml:space="preserve"> </w:t>
      </w:r>
      <w:r w:rsidRPr="00FD58BD">
        <w:rPr>
          <w:rFonts w:asciiTheme="minorHAnsi" w:hAnsiTheme="minorHAnsi" w:cs="Arial"/>
          <w:sz w:val="24"/>
          <w:szCs w:val="24"/>
        </w:rPr>
        <w:t>housing opportunities in a number of rural communities where, historically, the</w:t>
      </w:r>
      <w:r>
        <w:rPr>
          <w:rFonts w:asciiTheme="minorHAnsi" w:hAnsiTheme="minorHAnsi" w:cs="Arial"/>
          <w:sz w:val="24"/>
          <w:szCs w:val="24"/>
        </w:rPr>
        <w:t xml:space="preserve"> </w:t>
      </w:r>
      <w:r w:rsidRPr="00FD58BD">
        <w:rPr>
          <w:rFonts w:asciiTheme="minorHAnsi" w:hAnsiTheme="minorHAnsi" w:cs="Arial"/>
          <w:sz w:val="24"/>
          <w:szCs w:val="24"/>
        </w:rPr>
        <w:t>VA has not provided housing services.</w:t>
      </w:r>
    </w:p>
    <w:p w14:paraId="4A63EF6C" w14:textId="77777777" w:rsidR="00DC3841" w:rsidRDefault="00DC3841" w:rsidP="00DC3841">
      <w:pPr>
        <w:pStyle w:val="Body"/>
        <w:rPr>
          <w:rFonts w:ascii="Arial" w:hAnsi="Arial" w:cs="Arial"/>
          <w:sz w:val="24"/>
          <w:szCs w:val="24"/>
          <w:lang w:eastAsia="ko-KR"/>
        </w:rPr>
      </w:pPr>
    </w:p>
    <w:p w14:paraId="76E4D0FB" w14:textId="77777777" w:rsidR="00DC3841" w:rsidRDefault="00DC3841" w:rsidP="00DC3841">
      <w:pPr>
        <w:autoSpaceDE w:val="0"/>
        <w:autoSpaceDN w:val="0"/>
        <w:adjustRightInd w:val="0"/>
        <w:spacing w:after="0"/>
        <w:rPr>
          <w:rFonts w:asciiTheme="minorHAnsi" w:hAnsiTheme="minorHAnsi" w:cs="Arial"/>
          <w:sz w:val="24"/>
          <w:szCs w:val="24"/>
        </w:rPr>
      </w:pPr>
      <w:r w:rsidRPr="00FD58BD">
        <w:rPr>
          <w:rFonts w:asciiTheme="minorHAnsi" w:hAnsiTheme="minorHAnsi" w:cs="Arial"/>
          <w:sz w:val="24"/>
          <w:szCs w:val="24"/>
        </w:rPr>
        <w:t>Outreach efforts by the CoC to connect with the Veterans Administration and</w:t>
      </w:r>
      <w:r>
        <w:rPr>
          <w:rFonts w:asciiTheme="minorHAnsi" w:hAnsiTheme="minorHAnsi" w:cs="Arial"/>
          <w:sz w:val="24"/>
          <w:szCs w:val="24"/>
        </w:rPr>
        <w:t xml:space="preserve"> </w:t>
      </w:r>
      <w:r w:rsidRPr="00FD58BD">
        <w:rPr>
          <w:rFonts w:asciiTheme="minorHAnsi" w:hAnsiTheme="minorHAnsi" w:cs="Arial"/>
          <w:sz w:val="24"/>
          <w:szCs w:val="24"/>
        </w:rPr>
        <w:t>VASH program have been successful. HUD VASH vouchers are now being</w:t>
      </w:r>
      <w:r>
        <w:rPr>
          <w:rFonts w:asciiTheme="minorHAnsi" w:hAnsiTheme="minorHAnsi" w:cs="Arial"/>
          <w:sz w:val="24"/>
          <w:szCs w:val="24"/>
        </w:rPr>
        <w:t xml:space="preserve"> </w:t>
      </w:r>
      <w:r w:rsidRPr="00FD58BD">
        <w:rPr>
          <w:rFonts w:asciiTheme="minorHAnsi" w:hAnsiTheme="minorHAnsi" w:cs="Arial"/>
          <w:sz w:val="24"/>
          <w:szCs w:val="24"/>
        </w:rPr>
        <w:t>utilized in several counties in the BoS. There is a Veterans hospital that includes a 202</w:t>
      </w:r>
      <w:r>
        <w:rPr>
          <w:rFonts w:asciiTheme="minorHAnsi" w:hAnsiTheme="minorHAnsi" w:cs="Arial"/>
          <w:sz w:val="24"/>
          <w:szCs w:val="24"/>
        </w:rPr>
        <w:t>-</w:t>
      </w:r>
      <w:r w:rsidRPr="00FD58BD">
        <w:rPr>
          <w:rFonts w:asciiTheme="minorHAnsi" w:hAnsiTheme="minorHAnsi" w:cs="Arial"/>
          <w:sz w:val="24"/>
          <w:szCs w:val="24"/>
        </w:rPr>
        <w:t>bed domiciliary, and two large military bases within the BoS. The need for</w:t>
      </w:r>
      <w:r>
        <w:rPr>
          <w:rFonts w:asciiTheme="minorHAnsi" w:hAnsiTheme="minorHAnsi" w:cs="Arial"/>
          <w:sz w:val="24"/>
          <w:szCs w:val="24"/>
        </w:rPr>
        <w:t xml:space="preserve"> </w:t>
      </w:r>
      <w:r w:rsidRPr="00FD58BD">
        <w:rPr>
          <w:rFonts w:asciiTheme="minorHAnsi" w:hAnsiTheme="minorHAnsi" w:cs="Arial"/>
          <w:sz w:val="24"/>
          <w:szCs w:val="24"/>
        </w:rPr>
        <w:t xml:space="preserve">permanent housing for Veterans is great throughout the BoS and </w:t>
      </w:r>
      <w:r>
        <w:rPr>
          <w:rFonts w:asciiTheme="minorHAnsi" w:hAnsiTheme="minorHAnsi" w:cs="Arial"/>
          <w:sz w:val="24"/>
          <w:szCs w:val="24"/>
        </w:rPr>
        <w:t>the Continuum will</w:t>
      </w:r>
      <w:r w:rsidRPr="00FD58BD">
        <w:rPr>
          <w:rFonts w:asciiTheme="minorHAnsi" w:hAnsiTheme="minorHAnsi" w:cs="Arial"/>
          <w:sz w:val="24"/>
          <w:szCs w:val="24"/>
        </w:rPr>
        <w:t xml:space="preserve"> continue to</w:t>
      </w:r>
      <w:r>
        <w:rPr>
          <w:rFonts w:asciiTheme="minorHAnsi" w:hAnsiTheme="minorHAnsi" w:cs="Arial"/>
          <w:sz w:val="24"/>
          <w:szCs w:val="24"/>
        </w:rPr>
        <w:t xml:space="preserve"> </w:t>
      </w:r>
      <w:r w:rsidRPr="00FD58BD">
        <w:rPr>
          <w:rFonts w:asciiTheme="minorHAnsi" w:hAnsiTheme="minorHAnsi" w:cs="Arial"/>
          <w:sz w:val="24"/>
          <w:szCs w:val="24"/>
        </w:rPr>
        <w:t>advocate for additional vouchers.</w:t>
      </w:r>
    </w:p>
    <w:p w14:paraId="433229B7" w14:textId="77777777" w:rsidR="00DC3841" w:rsidRDefault="00DC3841" w:rsidP="00DC3841">
      <w:pPr>
        <w:autoSpaceDE w:val="0"/>
        <w:autoSpaceDN w:val="0"/>
        <w:adjustRightInd w:val="0"/>
        <w:spacing w:after="0"/>
        <w:rPr>
          <w:rFonts w:asciiTheme="minorHAnsi" w:hAnsiTheme="minorHAnsi" w:cs="Arial"/>
          <w:sz w:val="24"/>
          <w:szCs w:val="24"/>
        </w:rPr>
      </w:pPr>
    </w:p>
    <w:p w14:paraId="7677271F" w14:textId="77777777" w:rsidR="00DC3841" w:rsidRPr="007E227D" w:rsidRDefault="00DC3841" w:rsidP="00DC3841">
      <w:pPr>
        <w:spacing w:line="204" w:lineRule="auto"/>
        <w:rPr>
          <w:rFonts w:asciiTheme="minorHAnsi" w:hAnsiTheme="minorHAnsi"/>
          <w:sz w:val="24"/>
        </w:rPr>
      </w:pPr>
      <w:r>
        <w:rPr>
          <w:rFonts w:asciiTheme="minorHAnsi" w:hAnsiTheme="minorHAnsi" w:cs="Arial"/>
          <w:sz w:val="24"/>
          <w:szCs w:val="24"/>
        </w:rPr>
        <w:t>No data is available for unaccompanied youth.</w:t>
      </w:r>
    </w:p>
    <w:p w14:paraId="06F9834E" w14:textId="77777777" w:rsidR="00DC3841" w:rsidRDefault="00DC3841" w:rsidP="00DC3841">
      <w:pPr>
        <w:spacing w:line="204" w:lineRule="auto"/>
        <w:rPr>
          <w:rFonts w:asciiTheme="minorHAnsi" w:hAnsiTheme="minorHAnsi"/>
          <w:b/>
          <w:sz w:val="24"/>
        </w:rPr>
      </w:pPr>
    </w:p>
    <w:p w14:paraId="2D2F0BF9" w14:textId="77777777" w:rsidR="00DC3841" w:rsidRPr="00276B2B" w:rsidRDefault="00DC3841" w:rsidP="00DC3841">
      <w:pPr>
        <w:pStyle w:val="Heading2"/>
        <w:shd w:val="clear" w:color="auto" w:fill="95B3D7" w:themeFill="accent1" w:themeFillTint="99"/>
        <w:rPr>
          <w:rFonts w:ascii="Calibri" w:hAnsi="Calibri"/>
          <w:i w:val="0"/>
        </w:rPr>
      </w:pPr>
      <w:bookmarkStart w:id="39" w:name="_Toc524603024"/>
      <w:r>
        <w:rPr>
          <w:rFonts w:ascii="Calibri" w:hAnsi="Calibri"/>
          <w:i w:val="0"/>
        </w:rPr>
        <w:t xml:space="preserve">MA-35 </w:t>
      </w:r>
      <w:r>
        <w:rPr>
          <w:rFonts w:asciiTheme="minorHAnsi" w:hAnsiTheme="minorHAnsi"/>
          <w:i w:val="0"/>
        </w:rPr>
        <w:t>Special Needs Facilities and Services – 91.310(c)</w:t>
      </w:r>
      <w:bookmarkEnd w:id="39"/>
    </w:p>
    <w:p w14:paraId="00EB119F" w14:textId="77777777" w:rsidR="00DC3841" w:rsidRDefault="00DC3841" w:rsidP="00DC3841">
      <w:pPr>
        <w:keepNext/>
        <w:widowControl w:val="0"/>
        <w:spacing w:line="240" w:lineRule="auto"/>
        <w:contextualSpacing/>
        <w:rPr>
          <w:rFonts w:asciiTheme="minorHAnsi" w:hAnsiTheme="minorHAnsi"/>
          <w:b/>
          <w:sz w:val="24"/>
        </w:rPr>
      </w:pPr>
    </w:p>
    <w:p w14:paraId="550FC326" w14:textId="77777777" w:rsidR="00DC3841" w:rsidRDefault="00DC3841" w:rsidP="00DC3841">
      <w:pPr>
        <w:keepNext/>
        <w:widowControl w:val="0"/>
        <w:spacing w:line="240" w:lineRule="auto"/>
        <w:contextualSpacing/>
        <w:rPr>
          <w:rFonts w:asciiTheme="minorHAnsi" w:hAnsiTheme="minorHAnsi"/>
          <w:b/>
          <w:i/>
          <w:sz w:val="24"/>
        </w:rPr>
      </w:pPr>
      <w:r>
        <w:rPr>
          <w:rFonts w:asciiTheme="minorHAnsi" w:hAnsiTheme="minorHAnsi"/>
          <w:b/>
          <w:sz w:val="24"/>
        </w:rPr>
        <w:t>Table 14 – HOPWA Assistance Baseline Table</w:t>
      </w:r>
      <w:r>
        <w:rPr>
          <w:rFonts w:asciiTheme="minorHAnsi" w:hAnsiTheme="minorHAnsi"/>
          <w:i/>
        </w:rPr>
        <w:t xml:space="preserve"> </w:t>
      </w:r>
    </w:p>
    <w:tbl>
      <w:tblPr>
        <w:tblStyle w:val="GridTable4-Accent1"/>
        <w:tblW w:w="5001" w:type="pct"/>
        <w:tblLook w:val="04A0" w:firstRow="1" w:lastRow="0" w:firstColumn="1" w:lastColumn="0" w:noHBand="0" w:noVBand="1"/>
      </w:tblPr>
      <w:tblGrid>
        <w:gridCol w:w="3564"/>
        <w:gridCol w:w="5788"/>
      </w:tblGrid>
      <w:tr w:rsidR="00DC3841" w14:paraId="409C8D5B"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Pr>
          <w:p w14:paraId="58BE6019" w14:textId="09DF97B7" w:rsidR="00DC3841" w:rsidRDefault="00DC3841" w:rsidP="007C520D">
            <w:pPr>
              <w:keepNext/>
              <w:widowControl w:val="0"/>
              <w:spacing w:after="0" w:line="240" w:lineRule="auto"/>
              <w:contextualSpacing/>
              <w:rPr>
                <w:rFonts w:asciiTheme="minorHAnsi" w:hAnsiTheme="minorHAnsi"/>
                <w:b w:val="0"/>
              </w:rPr>
            </w:pPr>
            <w:r>
              <w:rPr>
                <w:rFonts w:asciiTheme="minorHAnsi" w:hAnsiTheme="minorHAnsi"/>
                <w:b w:val="0"/>
              </w:rPr>
              <w:t>Type of HO</w:t>
            </w:r>
            <w:r w:rsidR="007124A2">
              <w:rPr>
                <w:rFonts w:asciiTheme="minorHAnsi" w:hAnsiTheme="minorHAnsi"/>
                <w:b w:val="0"/>
              </w:rPr>
              <w:t>P</w:t>
            </w:r>
            <w:r>
              <w:rPr>
                <w:rFonts w:asciiTheme="minorHAnsi" w:hAnsiTheme="minorHAnsi"/>
                <w:b w:val="0"/>
              </w:rPr>
              <w:t>WA Assistance</w:t>
            </w:r>
          </w:p>
        </w:tc>
        <w:tc>
          <w:tcPr>
            <w:tcW w:w="5937" w:type="dxa"/>
          </w:tcPr>
          <w:p w14:paraId="1A79757A"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Number of Units Designated or Available for People with HIV/AIDS and their families</w:t>
            </w:r>
          </w:p>
        </w:tc>
      </w:tr>
      <w:tr w:rsidR="00DC3841" w14:paraId="1FC04866"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E7B333" w14:textId="77777777" w:rsidR="00DC3841" w:rsidRDefault="00DC3841" w:rsidP="007C520D">
            <w:pPr>
              <w:spacing w:beforeAutospacing="1" w:afterAutospacing="1"/>
            </w:pPr>
            <w:r>
              <w:rPr>
                <w:color w:val="000000"/>
              </w:rPr>
              <w:t>TBRA</w:t>
            </w:r>
          </w:p>
        </w:tc>
        <w:tc>
          <w:tcPr>
            <w:tcW w:w="0" w:type="auto"/>
          </w:tcPr>
          <w:p w14:paraId="63D28EE1" w14:textId="4CCDD7CE" w:rsidR="00DC3841" w:rsidRDefault="00540DD9"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150</w:t>
            </w:r>
          </w:p>
        </w:tc>
      </w:tr>
      <w:tr w:rsidR="00DC3841" w14:paraId="4766DA4D"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2EA631CB" w14:textId="77777777" w:rsidR="00DC3841" w:rsidRDefault="00DC3841" w:rsidP="007C520D">
            <w:pPr>
              <w:spacing w:beforeAutospacing="1" w:afterAutospacing="1"/>
            </w:pPr>
            <w:r>
              <w:rPr>
                <w:color w:val="000000"/>
              </w:rPr>
              <w:t>PH in facilities</w:t>
            </w:r>
          </w:p>
        </w:tc>
        <w:tc>
          <w:tcPr>
            <w:tcW w:w="0" w:type="auto"/>
          </w:tcPr>
          <w:p w14:paraId="38D1103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7B23E959"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D1A625" w14:textId="77777777" w:rsidR="00DC3841" w:rsidRDefault="00DC3841" w:rsidP="007C520D">
            <w:pPr>
              <w:spacing w:beforeAutospacing="1" w:afterAutospacing="1"/>
            </w:pPr>
            <w:r>
              <w:rPr>
                <w:color w:val="000000"/>
              </w:rPr>
              <w:t>STRMU</w:t>
            </w:r>
          </w:p>
        </w:tc>
        <w:tc>
          <w:tcPr>
            <w:tcW w:w="0" w:type="auto"/>
          </w:tcPr>
          <w:p w14:paraId="38DFC20B" w14:textId="678B907C" w:rsidR="00DC3841" w:rsidRDefault="00540DD9"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300</w:t>
            </w:r>
          </w:p>
        </w:tc>
      </w:tr>
      <w:tr w:rsidR="00DC3841" w14:paraId="76E31FE9"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2BBBF4DE" w14:textId="77777777" w:rsidR="00DC3841" w:rsidRDefault="00DC3841" w:rsidP="007C520D">
            <w:pPr>
              <w:spacing w:beforeAutospacing="1" w:afterAutospacing="1"/>
            </w:pPr>
            <w:r>
              <w:rPr>
                <w:color w:val="000000"/>
              </w:rPr>
              <w:t>ST or TH facilities</w:t>
            </w:r>
          </w:p>
        </w:tc>
        <w:tc>
          <w:tcPr>
            <w:tcW w:w="0" w:type="auto"/>
          </w:tcPr>
          <w:p w14:paraId="64ADB419" w14:textId="333E1E0E" w:rsidR="00DC3841" w:rsidRDefault="00540DD9"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150</w:t>
            </w:r>
          </w:p>
        </w:tc>
      </w:tr>
      <w:tr w:rsidR="00DC3841" w14:paraId="08F1BAC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4C1F04" w14:textId="77777777" w:rsidR="00DC3841" w:rsidRDefault="00DC3841" w:rsidP="007C520D">
            <w:pPr>
              <w:spacing w:beforeAutospacing="1" w:afterAutospacing="1"/>
            </w:pPr>
            <w:r>
              <w:rPr>
                <w:color w:val="000000"/>
              </w:rPr>
              <w:t>PH placement</w:t>
            </w:r>
          </w:p>
        </w:tc>
        <w:tc>
          <w:tcPr>
            <w:tcW w:w="0" w:type="auto"/>
          </w:tcPr>
          <w:p w14:paraId="3D4E893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w:t>
            </w:r>
          </w:p>
        </w:tc>
      </w:tr>
    </w:tbl>
    <w:p w14:paraId="3C972196" w14:textId="29EB0E63" w:rsidR="00DC3841" w:rsidRDefault="00DC3841" w:rsidP="00DC3841">
      <w:pPr>
        <w:keepNext/>
        <w:widowControl w:val="0"/>
        <w:spacing w:after="0" w:line="240" w:lineRule="auto"/>
        <w:rPr>
          <w:rFonts w:asciiTheme="minorHAnsi" w:hAnsiTheme="minorHAnsi"/>
          <w:b/>
          <w:vanish/>
          <w:sz w:val="20"/>
        </w:rPr>
      </w:pPr>
      <w:r w:rsidRPr="0045467C">
        <w:rPr>
          <w:rFonts w:asciiTheme="minorHAnsi" w:hAnsiTheme="minorHAnsi"/>
          <w:i/>
          <w:sz w:val="18"/>
        </w:rPr>
        <w:t xml:space="preserve">Source: HOPWA </w:t>
      </w:r>
      <w:r w:rsidR="00540DD9">
        <w:rPr>
          <w:rFonts w:asciiTheme="minorHAnsi" w:hAnsiTheme="minorHAnsi"/>
          <w:i/>
          <w:sz w:val="18"/>
        </w:rPr>
        <w:t xml:space="preserve"> </w:t>
      </w:r>
      <w:r w:rsidRPr="0045467C">
        <w:rPr>
          <w:rFonts w:asciiTheme="minorHAnsi" w:hAnsiTheme="minorHAnsi"/>
          <w:i/>
          <w:sz w:val="18"/>
        </w:rPr>
        <w:t>CAPER and HOPWA Beneficiary Verification Worksheet</w:t>
      </w:r>
    </w:p>
    <w:p w14:paraId="0CF0414D" w14:textId="77777777" w:rsidR="00DC3841" w:rsidRDefault="00DC3841" w:rsidP="00DC3841">
      <w:pPr>
        <w:rPr>
          <w:rFonts w:asciiTheme="minorHAnsi" w:hAnsiTheme="minorHAnsi"/>
          <w:b/>
          <w:vanish/>
          <w:sz w:val="16"/>
        </w:rPr>
      </w:pPr>
    </w:p>
    <w:p w14:paraId="7805D739" w14:textId="77777777" w:rsidR="00DC3841" w:rsidRDefault="00DC3841" w:rsidP="00DC3841">
      <w:pPr>
        <w:rPr>
          <w:rFonts w:asciiTheme="minorHAnsi" w:hAnsiTheme="minorHAnsi"/>
        </w:rPr>
      </w:pPr>
    </w:p>
    <w:p w14:paraId="131EA503" w14:textId="77777777" w:rsidR="00DC3841" w:rsidRDefault="00DC3841" w:rsidP="00DC3841">
      <w:pPr>
        <w:spacing w:line="240" w:lineRule="auto"/>
        <w:rPr>
          <w:rFonts w:asciiTheme="minorHAnsi" w:hAnsiTheme="minorHAnsi"/>
          <w:b/>
          <w:sz w:val="24"/>
        </w:rPr>
      </w:pPr>
      <w:r>
        <w:rPr>
          <w:rFonts w:asciiTheme="minorHAnsi" w:hAnsiTheme="minorHAnsi"/>
          <w:b/>
          <w:sz w:val="24"/>
        </w:rPr>
        <w:t>To the extent information is available, describe the facilities and services that assist persons who are not homeless but who require supportive housing, and programs for ensuring that persons returning from mental and physical health institutions receive appropriate supportive housing</w:t>
      </w:r>
    </w:p>
    <w:p w14:paraId="19AD2EF2" w14:textId="77777777" w:rsidR="00DC3841" w:rsidRPr="00CE7D80" w:rsidRDefault="00DC3841" w:rsidP="00DC3841">
      <w:pPr>
        <w:pStyle w:val="Body"/>
        <w:rPr>
          <w:sz w:val="24"/>
          <w:szCs w:val="24"/>
        </w:rPr>
      </w:pPr>
      <w:r>
        <w:rPr>
          <w:sz w:val="24"/>
          <w:szCs w:val="24"/>
        </w:rPr>
        <w:t>See section</w:t>
      </w:r>
      <w:r w:rsidRPr="00CE7D80">
        <w:rPr>
          <w:sz w:val="24"/>
          <w:szCs w:val="24"/>
        </w:rPr>
        <w:t xml:space="preserve"> SP-60</w:t>
      </w:r>
      <w:r>
        <w:rPr>
          <w:sz w:val="24"/>
          <w:szCs w:val="24"/>
        </w:rPr>
        <w:t xml:space="preserve"> of this Consolidated Plan for details on this prompt</w:t>
      </w:r>
      <w:r w:rsidRPr="00CE7D80">
        <w:rPr>
          <w:sz w:val="24"/>
          <w:szCs w:val="24"/>
        </w:rPr>
        <w:t>.</w:t>
      </w:r>
    </w:p>
    <w:p w14:paraId="23EEBF00" w14:textId="77777777" w:rsidR="00DC3841" w:rsidRPr="00483815" w:rsidRDefault="00DC3841" w:rsidP="00DC3841">
      <w:pPr>
        <w:rPr>
          <w:sz w:val="24"/>
          <w:szCs w:val="24"/>
        </w:rPr>
      </w:pPr>
      <w:r w:rsidRPr="00D31F95">
        <w:rPr>
          <w:sz w:val="24"/>
          <w:szCs w:val="24"/>
        </w:rPr>
        <w:t>In addition, the HOME Tenant Based Rental Assistance (TBRA) program funds are made available for TBRA activities to local housing authorities and other non-profit organizations for income eligible families, the elderly, and persons with disabilities.</w:t>
      </w:r>
      <w:r>
        <w:rPr>
          <w:sz w:val="24"/>
          <w:szCs w:val="24"/>
        </w:rPr>
        <w:t xml:space="preserve">  </w:t>
      </w:r>
    </w:p>
    <w:p w14:paraId="1922289C" w14:textId="77777777" w:rsidR="00DC3841" w:rsidRDefault="00DC3841" w:rsidP="00DC3841">
      <w:pPr>
        <w:rPr>
          <w:rFonts w:asciiTheme="minorHAnsi" w:hAnsiTheme="minorHAnsi"/>
          <w:b/>
          <w:sz w:val="24"/>
        </w:rPr>
      </w:pPr>
      <w:r>
        <w:rPr>
          <w:rFonts w:asciiTheme="minorHAnsi" w:hAnsiTheme="minorHAnsi"/>
          <w:b/>
          <w:sz w:val="24"/>
        </w:rPr>
        <w:t>Describe programs for ensuring that persons returning from mental and physical health institutions receive appropriate supportive housing</w:t>
      </w:r>
    </w:p>
    <w:p w14:paraId="4E7CB8B2" w14:textId="77777777" w:rsidR="00DC3841" w:rsidRPr="00052AD7" w:rsidRDefault="00DC3841" w:rsidP="00DC3841">
      <w:pPr>
        <w:rPr>
          <w:rFonts w:asciiTheme="minorHAnsi" w:hAnsiTheme="minorHAnsi"/>
          <w:sz w:val="24"/>
        </w:rPr>
      </w:pPr>
      <w:r>
        <w:rPr>
          <w:rFonts w:asciiTheme="minorHAnsi" w:hAnsiTheme="minorHAnsi"/>
          <w:sz w:val="24"/>
        </w:rPr>
        <w:t>The Interim Housing (IH) program is outlined above. For more information see</w:t>
      </w:r>
      <w:r w:rsidRPr="00052AD7">
        <w:rPr>
          <w:rFonts w:asciiTheme="minorHAnsi" w:hAnsiTheme="minorHAnsi" w:cs="Arial"/>
          <w:sz w:val="24"/>
          <w:szCs w:val="24"/>
        </w:rPr>
        <w:t xml:space="preserve"> </w:t>
      </w:r>
      <w:r>
        <w:rPr>
          <w:rFonts w:asciiTheme="minorHAnsi" w:hAnsiTheme="minorHAnsi" w:cs="Arial"/>
          <w:sz w:val="24"/>
          <w:szCs w:val="24"/>
        </w:rPr>
        <w:t xml:space="preserve">the State of Kansas Community Services and Programs Commission’s </w:t>
      </w:r>
      <w:hyperlink r:id="rId28" w:history="1">
        <w:r w:rsidRPr="00712026">
          <w:rPr>
            <w:rStyle w:val="Hyperlink"/>
            <w:rFonts w:asciiTheme="minorHAnsi" w:hAnsiTheme="minorHAnsi" w:cs="Arial"/>
            <w:sz w:val="24"/>
            <w:szCs w:val="24"/>
          </w:rPr>
          <w:t>website</w:t>
        </w:r>
      </w:hyperlink>
      <w:r>
        <w:rPr>
          <w:rFonts w:asciiTheme="minorHAnsi" w:hAnsiTheme="minorHAnsi" w:cs="Arial"/>
          <w:sz w:val="24"/>
          <w:szCs w:val="24"/>
        </w:rPr>
        <w:t xml:space="preserve">. Also see the SP-60 Homelessness Strategy. </w:t>
      </w:r>
    </w:p>
    <w:p w14:paraId="21C65E35" w14:textId="77777777" w:rsidR="00DC3841" w:rsidRDefault="00DC3841" w:rsidP="00DC3841">
      <w:pPr>
        <w:rPr>
          <w:rFonts w:asciiTheme="minorHAnsi" w:hAnsiTheme="minorHAnsi"/>
          <w:b/>
          <w:sz w:val="24"/>
        </w:rPr>
      </w:pPr>
      <w:r>
        <w:rPr>
          <w:rFonts w:asciiTheme="minorHAnsi" w:hAnsiTheme="minorHAnsi"/>
          <w:b/>
          <w:sz w:val="24"/>
        </w:rPr>
        <w:t xml:space="preserve">Specify the activities that the jurisdiction plans to undertake during the next year to address the housing and supportive services needs identified in accordance with 91.215(e) with respect to persons who are not homeless but have other special needs. </w:t>
      </w:r>
      <w:r>
        <w:rPr>
          <w:rFonts w:asciiTheme="minorHAnsi" w:hAnsiTheme="minorHAnsi"/>
          <w:b/>
          <w:sz w:val="24"/>
          <w:szCs w:val="24"/>
        </w:rPr>
        <w:t xml:space="preserve"> </w:t>
      </w:r>
      <w:r>
        <w:rPr>
          <w:rFonts w:asciiTheme="minorHAnsi" w:hAnsiTheme="minorHAnsi"/>
          <w:b/>
          <w:sz w:val="24"/>
        </w:rPr>
        <w:t>Link to one-year goals. 91.315(e)</w:t>
      </w:r>
    </w:p>
    <w:p w14:paraId="5218CD0D" w14:textId="77777777" w:rsidR="00DC3841" w:rsidRPr="0010086B" w:rsidRDefault="00DC3841" w:rsidP="00DC3841">
      <w:pPr>
        <w:rPr>
          <w:i/>
          <w:sz w:val="24"/>
          <w:szCs w:val="24"/>
          <w:u w:val="single"/>
        </w:rPr>
      </w:pPr>
      <w:r w:rsidRPr="0010086B">
        <w:rPr>
          <w:i/>
          <w:sz w:val="24"/>
          <w:szCs w:val="24"/>
          <w:u w:val="single"/>
        </w:rPr>
        <w:t>CDBG:</w:t>
      </w:r>
    </w:p>
    <w:p w14:paraId="1C7F5599" w14:textId="77777777" w:rsidR="00DC3841" w:rsidRPr="00232D05" w:rsidRDefault="00DC3841" w:rsidP="00A121EE">
      <w:pPr>
        <w:pStyle w:val="ListParagraph"/>
        <w:numPr>
          <w:ilvl w:val="0"/>
          <w:numId w:val="11"/>
        </w:numPr>
        <w:spacing w:after="0" w:line="240" w:lineRule="auto"/>
        <w:rPr>
          <w:sz w:val="24"/>
          <w:szCs w:val="24"/>
        </w:rPr>
      </w:pPr>
      <w:r w:rsidRPr="00232D05">
        <w:rPr>
          <w:sz w:val="24"/>
          <w:szCs w:val="24"/>
        </w:rPr>
        <w:t>Urgent Needs- Provides funding for housing damage caused by disasters</w:t>
      </w:r>
    </w:p>
    <w:p w14:paraId="5C039B4F" w14:textId="77777777" w:rsidR="00DC3841" w:rsidRPr="00232D05" w:rsidRDefault="00DC3841" w:rsidP="00A121EE">
      <w:pPr>
        <w:pStyle w:val="ListParagraph"/>
        <w:numPr>
          <w:ilvl w:val="0"/>
          <w:numId w:val="11"/>
        </w:numPr>
        <w:spacing w:after="0" w:line="240" w:lineRule="auto"/>
        <w:rPr>
          <w:sz w:val="24"/>
          <w:szCs w:val="24"/>
        </w:rPr>
      </w:pPr>
      <w:r w:rsidRPr="00232D05">
        <w:rPr>
          <w:sz w:val="24"/>
          <w:szCs w:val="24"/>
        </w:rPr>
        <w:t>Housing Rehabilitation Program- Provides housing grants for rehabilitation of both owner-occupied and renter-occupied units</w:t>
      </w:r>
    </w:p>
    <w:p w14:paraId="1169FF8B" w14:textId="77777777" w:rsidR="00DC3841" w:rsidRPr="0010086B" w:rsidRDefault="00DC3841" w:rsidP="00DC3841">
      <w:pPr>
        <w:pStyle w:val="ListParagraph"/>
        <w:spacing w:after="0" w:line="240" w:lineRule="auto"/>
        <w:rPr>
          <w:sz w:val="24"/>
          <w:szCs w:val="24"/>
        </w:rPr>
      </w:pPr>
    </w:p>
    <w:p w14:paraId="2A7D22CE" w14:textId="55F69FD8" w:rsidR="00DC3841" w:rsidRDefault="00DC3841" w:rsidP="00DC3841">
      <w:pPr>
        <w:spacing w:after="0"/>
        <w:rPr>
          <w:sz w:val="24"/>
          <w:szCs w:val="24"/>
        </w:rPr>
      </w:pPr>
      <w:r w:rsidRPr="0010086B">
        <w:rPr>
          <w:sz w:val="24"/>
          <w:szCs w:val="24"/>
        </w:rPr>
        <w:t xml:space="preserve">The one-year goals for CDBG housing programs includes: </w:t>
      </w:r>
      <w:r w:rsidR="002817D8">
        <w:rPr>
          <w:sz w:val="24"/>
          <w:szCs w:val="24"/>
        </w:rPr>
        <w:t>10</w:t>
      </w:r>
      <w:r w:rsidRPr="0010086B">
        <w:rPr>
          <w:sz w:val="24"/>
          <w:szCs w:val="24"/>
        </w:rPr>
        <w:t xml:space="preserve">  rental units</w:t>
      </w:r>
      <w:r>
        <w:rPr>
          <w:sz w:val="24"/>
          <w:szCs w:val="24"/>
        </w:rPr>
        <w:t xml:space="preserve"> rehabilitated,</w:t>
      </w:r>
      <w:r w:rsidRPr="0010086B">
        <w:rPr>
          <w:sz w:val="24"/>
          <w:szCs w:val="24"/>
        </w:rPr>
        <w:t xml:space="preserve"> </w:t>
      </w:r>
      <w:r w:rsidR="002817D8">
        <w:rPr>
          <w:sz w:val="24"/>
          <w:szCs w:val="24"/>
        </w:rPr>
        <w:t>25</w:t>
      </w:r>
      <w:r>
        <w:rPr>
          <w:sz w:val="24"/>
          <w:szCs w:val="24"/>
        </w:rPr>
        <w:t xml:space="preserve"> owner units rehabilitated, and </w:t>
      </w:r>
      <w:r w:rsidR="002817D8">
        <w:rPr>
          <w:sz w:val="24"/>
          <w:szCs w:val="24"/>
        </w:rPr>
        <w:t>20</w:t>
      </w:r>
      <w:r>
        <w:rPr>
          <w:sz w:val="24"/>
          <w:szCs w:val="24"/>
        </w:rPr>
        <w:t xml:space="preserve"> unsuitable housing units demolished. </w:t>
      </w:r>
    </w:p>
    <w:p w14:paraId="1DAD123A" w14:textId="77777777" w:rsidR="00DC3841" w:rsidRPr="0010086B" w:rsidRDefault="00DC3841" w:rsidP="00DC3841">
      <w:pPr>
        <w:spacing w:after="0"/>
        <w:rPr>
          <w:i/>
          <w:sz w:val="24"/>
          <w:szCs w:val="24"/>
          <w:u w:val="single"/>
        </w:rPr>
      </w:pPr>
    </w:p>
    <w:p w14:paraId="13A1094C" w14:textId="77777777" w:rsidR="00DC3841" w:rsidRPr="0010086B" w:rsidRDefault="00DC3841" w:rsidP="00DC3841">
      <w:pPr>
        <w:spacing w:after="0" w:line="240" w:lineRule="auto"/>
        <w:rPr>
          <w:i/>
          <w:sz w:val="24"/>
          <w:szCs w:val="24"/>
          <w:u w:val="single"/>
        </w:rPr>
      </w:pPr>
      <w:r w:rsidRPr="0010086B">
        <w:rPr>
          <w:i/>
          <w:sz w:val="24"/>
          <w:szCs w:val="24"/>
          <w:u w:val="single"/>
        </w:rPr>
        <w:t>HOME</w:t>
      </w:r>
    </w:p>
    <w:p w14:paraId="23EE745D" w14:textId="77777777" w:rsidR="00DC3841" w:rsidRPr="00232D05" w:rsidRDefault="00DC3841" w:rsidP="00A121EE">
      <w:pPr>
        <w:pStyle w:val="ListParagraph"/>
        <w:numPr>
          <w:ilvl w:val="0"/>
          <w:numId w:val="12"/>
        </w:numPr>
        <w:spacing w:after="0" w:line="240" w:lineRule="auto"/>
        <w:rPr>
          <w:rFonts w:asciiTheme="minorHAnsi" w:hAnsiTheme="minorHAnsi" w:cstheme="minorHAnsi"/>
          <w:sz w:val="24"/>
          <w:szCs w:val="24"/>
        </w:rPr>
      </w:pPr>
      <w:r w:rsidRPr="00232D05">
        <w:rPr>
          <w:rFonts w:asciiTheme="minorHAnsi" w:hAnsiTheme="minorHAnsi" w:cstheme="minorHAnsi"/>
          <w:sz w:val="24"/>
          <w:szCs w:val="24"/>
        </w:rPr>
        <w:t>HOME Rental Development- Includes the acquisition of existing rental units and the construction of new rental units</w:t>
      </w:r>
    </w:p>
    <w:p w14:paraId="0DF2DFC4" w14:textId="77777777" w:rsidR="00DC3841" w:rsidRPr="00232D05" w:rsidRDefault="00DC3841" w:rsidP="00A121EE">
      <w:pPr>
        <w:pStyle w:val="ListParagraph"/>
        <w:numPr>
          <w:ilvl w:val="0"/>
          <w:numId w:val="12"/>
        </w:numPr>
        <w:spacing w:after="0" w:line="240" w:lineRule="auto"/>
        <w:rPr>
          <w:rFonts w:asciiTheme="minorHAnsi" w:hAnsiTheme="minorHAnsi" w:cstheme="minorHAnsi"/>
          <w:sz w:val="24"/>
          <w:szCs w:val="24"/>
        </w:rPr>
      </w:pPr>
      <w:r w:rsidRPr="00232D05">
        <w:rPr>
          <w:rFonts w:asciiTheme="minorHAnsi" w:hAnsiTheme="minorHAnsi" w:cstheme="minorHAnsi"/>
          <w:sz w:val="24"/>
          <w:szCs w:val="24"/>
        </w:rPr>
        <w:t>Tenant Based Rental Assistance (TBRA)- Rental assistance provided to low-income and special needs populations</w:t>
      </w:r>
    </w:p>
    <w:p w14:paraId="397F1CB9" w14:textId="77777777" w:rsidR="00DC3841" w:rsidRPr="00232D05" w:rsidRDefault="00DC3841" w:rsidP="00A121EE">
      <w:pPr>
        <w:pStyle w:val="ListParagraph"/>
        <w:numPr>
          <w:ilvl w:val="0"/>
          <w:numId w:val="12"/>
        </w:numPr>
        <w:rPr>
          <w:rFonts w:asciiTheme="minorHAnsi" w:hAnsiTheme="minorHAnsi" w:cstheme="minorHAnsi"/>
          <w:sz w:val="24"/>
          <w:szCs w:val="24"/>
        </w:rPr>
      </w:pPr>
      <w:r w:rsidRPr="00232D05">
        <w:rPr>
          <w:rFonts w:asciiTheme="minorHAnsi" w:hAnsiTheme="minorHAnsi" w:cstheme="minorHAnsi"/>
          <w:sz w:val="24"/>
          <w:szCs w:val="24"/>
        </w:rPr>
        <w:t>First Time Homebuyer Program- Provides down payment assistance and reduced first mortgage loans</w:t>
      </w:r>
    </w:p>
    <w:p w14:paraId="5C7DB9BA" w14:textId="09558371" w:rsidR="00DC3841" w:rsidRPr="0010086B" w:rsidRDefault="00DC3841" w:rsidP="00DC3841">
      <w:pPr>
        <w:spacing w:after="0"/>
        <w:rPr>
          <w:sz w:val="24"/>
          <w:szCs w:val="24"/>
        </w:rPr>
      </w:pPr>
      <w:r w:rsidRPr="0010086B">
        <w:rPr>
          <w:sz w:val="24"/>
          <w:szCs w:val="24"/>
        </w:rPr>
        <w:t>The one-year goal for HO</w:t>
      </w:r>
      <w:r>
        <w:rPr>
          <w:sz w:val="24"/>
          <w:szCs w:val="24"/>
        </w:rPr>
        <w:t>ME housing programs includes:</w:t>
      </w:r>
      <w:r w:rsidR="001446FD">
        <w:rPr>
          <w:sz w:val="24"/>
          <w:szCs w:val="24"/>
        </w:rPr>
        <w:t>750</w:t>
      </w:r>
      <w:r>
        <w:rPr>
          <w:sz w:val="24"/>
          <w:szCs w:val="24"/>
        </w:rPr>
        <w:t xml:space="preserve"> TBRA units, 4</w:t>
      </w:r>
      <w:r w:rsidRPr="0010086B">
        <w:rPr>
          <w:sz w:val="24"/>
          <w:szCs w:val="24"/>
        </w:rPr>
        <w:t xml:space="preserve"> rental units rehabilitated, 36 new</w:t>
      </w:r>
      <w:r>
        <w:rPr>
          <w:sz w:val="24"/>
          <w:szCs w:val="24"/>
        </w:rPr>
        <w:t xml:space="preserve"> rental units constructed, and 75</w:t>
      </w:r>
      <w:r w:rsidRPr="0010086B">
        <w:rPr>
          <w:sz w:val="24"/>
          <w:szCs w:val="24"/>
        </w:rPr>
        <w:t xml:space="preserve"> households in total assisted</w:t>
      </w:r>
      <w:r>
        <w:rPr>
          <w:sz w:val="24"/>
          <w:szCs w:val="24"/>
        </w:rPr>
        <w:t xml:space="preserve"> through the First Time Homebuyer Program</w:t>
      </w:r>
      <w:r w:rsidRPr="0010086B">
        <w:rPr>
          <w:sz w:val="24"/>
          <w:szCs w:val="24"/>
        </w:rPr>
        <w:t>.</w:t>
      </w:r>
    </w:p>
    <w:p w14:paraId="5E4AEA36" w14:textId="77777777" w:rsidR="00DC3841" w:rsidRPr="0010086B" w:rsidRDefault="00DC3841" w:rsidP="00DC3841">
      <w:pPr>
        <w:spacing w:after="0" w:line="240" w:lineRule="auto"/>
        <w:rPr>
          <w:sz w:val="24"/>
          <w:szCs w:val="24"/>
        </w:rPr>
      </w:pPr>
    </w:p>
    <w:p w14:paraId="7B080B0E" w14:textId="77777777" w:rsidR="00DC3841" w:rsidRPr="0010086B" w:rsidRDefault="00DC3841" w:rsidP="00DC3841">
      <w:pPr>
        <w:spacing w:after="0" w:line="240" w:lineRule="auto"/>
        <w:rPr>
          <w:i/>
          <w:sz w:val="24"/>
          <w:szCs w:val="24"/>
          <w:u w:val="single"/>
        </w:rPr>
      </w:pPr>
      <w:r w:rsidRPr="0010086B">
        <w:rPr>
          <w:i/>
          <w:sz w:val="24"/>
          <w:szCs w:val="24"/>
          <w:u w:val="single"/>
        </w:rPr>
        <w:t>ESG</w:t>
      </w:r>
    </w:p>
    <w:p w14:paraId="7E9D186F" w14:textId="77777777" w:rsidR="00DC3841" w:rsidRPr="00232D05" w:rsidRDefault="00DC3841" w:rsidP="00A121EE">
      <w:pPr>
        <w:pStyle w:val="ListParagraph"/>
        <w:numPr>
          <w:ilvl w:val="0"/>
          <w:numId w:val="13"/>
        </w:numPr>
        <w:spacing w:after="0" w:line="240" w:lineRule="auto"/>
        <w:rPr>
          <w:sz w:val="24"/>
          <w:szCs w:val="24"/>
        </w:rPr>
      </w:pPr>
      <w:r w:rsidRPr="00232D05">
        <w:rPr>
          <w:sz w:val="24"/>
          <w:szCs w:val="24"/>
        </w:rPr>
        <w:t>Emergency Shelters</w:t>
      </w:r>
    </w:p>
    <w:p w14:paraId="6BBF605E" w14:textId="77777777" w:rsidR="00DC3841" w:rsidRPr="00232D05" w:rsidRDefault="00DC3841" w:rsidP="00A121EE">
      <w:pPr>
        <w:pStyle w:val="ListParagraph"/>
        <w:numPr>
          <w:ilvl w:val="0"/>
          <w:numId w:val="13"/>
        </w:numPr>
        <w:spacing w:after="0" w:line="240" w:lineRule="auto"/>
        <w:rPr>
          <w:sz w:val="24"/>
          <w:szCs w:val="24"/>
        </w:rPr>
      </w:pPr>
      <w:r w:rsidRPr="00232D05">
        <w:rPr>
          <w:sz w:val="24"/>
          <w:szCs w:val="24"/>
        </w:rPr>
        <w:t>Street Outreach</w:t>
      </w:r>
    </w:p>
    <w:p w14:paraId="27E0F4B4" w14:textId="77777777" w:rsidR="00DC3841" w:rsidRPr="00232D05" w:rsidRDefault="00DC3841" w:rsidP="00A121EE">
      <w:pPr>
        <w:pStyle w:val="ListParagraph"/>
        <w:numPr>
          <w:ilvl w:val="0"/>
          <w:numId w:val="13"/>
        </w:numPr>
        <w:spacing w:after="0" w:line="240" w:lineRule="auto"/>
        <w:rPr>
          <w:sz w:val="24"/>
          <w:szCs w:val="24"/>
        </w:rPr>
      </w:pPr>
      <w:r w:rsidRPr="00232D05">
        <w:rPr>
          <w:sz w:val="24"/>
          <w:szCs w:val="24"/>
        </w:rPr>
        <w:t>Homeless Prevention</w:t>
      </w:r>
    </w:p>
    <w:p w14:paraId="7C186F49" w14:textId="77777777" w:rsidR="00DC3841" w:rsidRPr="00232D05" w:rsidRDefault="00DC3841" w:rsidP="00A121EE">
      <w:pPr>
        <w:pStyle w:val="ListParagraph"/>
        <w:numPr>
          <w:ilvl w:val="0"/>
          <w:numId w:val="13"/>
        </w:numPr>
        <w:spacing w:after="0" w:line="240" w:lineRule="auto"/>
        <w:rPr>
          <w:sz w:val="24"/>
          <w:szCs w:val="24"/>
        </w:rPr>
      </w:pPr>
      <w:r w:rsidRPr="00232D05">
        <w:rPr>
          <w:sz w:val="24"/>
          <w:szCs w:val="24"/>
        </w:rPr>
        <w:t>Rapid Rehousing</w:t>
      </w:r>
    </w:p>
    <w:p w14:paraId="507231D0" w14:textId="77777777" w:rsidR="00DC3841" w:rsidRPr="0010086B" w:rsidRDefault="00DC3841" w:rsidP="00DC3841">
      <w:pPr>
        <w:spacing w:after="0" w:line="240" w:lineRule="auto"/>
        <w:rPr>
          <w:sz w:val="24"/>
          <w:szCs w:val="24"/>
        </w:rPr>
      </w:pPr>
    </w:p>
    <w:p w14:paraId="47EDE0CA" w14:textId="77777777" w:rsidR="00DC3841" w:rsidRPr="0010086B" w:rsidRDefault="00DC3841" w:rsidP="00DC3841">
      <w:pPr>
        <w:spacing w:after="0"/>
        <w:rPr>
          <w:sz w:val="24"/>
          <w:szCs w:val="24"/>
        </w:rPr>
      </w:pPr>
      <w:r w:rsidRPr="0010086B">
        <w:rPr>
          <w:sz w:val="24"/>
          <w:szCs w:val="24"/>
        </w:rPr>
        <w:t>The one-year goal for ESG housing programs includes: In to</w:t>
      </w:r>
      <w:r>
        <w:rPr>
          <w:sz w:val="24"/>
          <w:szCs w:val="24"/>
        </w:rPr>
        <w:t>tal 3,375 Households assisted and 1,000 homeless prevention cases.</w:t>
      </w:r>
    </w:p>
    <w:p w14:paraId="0BD57243" w14:textId="77777777" w:rsidR="00DC3841" w:rsidRPr="0010086B" w:rsidRDefault="00DC3841" w:rsidP="00DC3841">
      <w:pPr>
        <w:spacing w:after="0" w:line="240" w:lineRule="auto"/>
        <w:rPr>
          <w:sz w:val="24"/>
          <w:szCs w:val="24"/>
        </w:rPr>
      </w:pPr>
    </w:p>
    <w:p w14:paraId="168D35C1" w14:textId="77777777" w:rsidR="00DC3841" w:rsidRPr="00232D05" w:rsidRDefault="00DC3841" w:rsidP="00DC3841">
      <w:pPr>
        <w:spacing w:after="0" w:line="240" w:lineRule="auto"/>
        <w:rPr>
          <w:sz w:val="24"/>
          <w:szCs w:val="24"/>
          <w:u w:val="single"/>
        </w:rPr>
      </w:pPr>
      <w:r w:rsidRPr="0010086B">
        <w:rPr>
          <w:i/>
          <w:sz w:val="24"/>
          <w:szCs w:val="24"/>
          <w:u w:val="single"/>
        </w:rPr>
        <w:t>HOPWA</w:t>
      </w:r>
    </w:p>
    <w:p w14:paraId="4253F68B" w14:textId="77777777" w:rsidR="00DC3841" w:rsidRPr="00232D05" w:rsidRDefault="00DC3841" w:rsidP="00A121EE">
      <w:pPr>
        <w:pStyle w:val="ListParagraph"/>
        <w:numPr>
          <w:ilvl w:val="0"/>
          <w:numId w:val="14"/>
        </w:numPr>
        <w:spacing w:after="0" w:line="240" w:lineRule="auto"/>
        <w:rPr>
          <w:sz w:val="24"/>
          <w:szCs w:val="24"/>
        </w:rPr>
      </w:pPr>
      <w:r w:rsidRPr="00232D05">
        <w:rPr>
          <w:sz w:val="24"/>
          <w:szCs w:val="24"/>
        </w:rPr>
        <w:t>Short Term Rent, Mortgage and Utilities (STRMU)</w:t>
      </w:r>
    </w:p>
    <w:p w14:paraId="2A260CA3" w14:textId="77777777" w:rsidR="00DC3841" w:rsidRPr="00232D05" w:rsidRDefault="00DC3841" w:rsidP="00A121EE">
      <w:pPr>
        <w:pStyle w:val="ListParagraph"/>
        <w:numPr>
          <w:ilvl w:val="0"/>
          <w:numId w:val="14"/>
        </w:numPr>
        <w:spacing w:after="0" w:line="240" w:lineRule="auto"/>
        <w:rPr>
          <w:sz w:val="24"/>
          <w:szCs w:val="24"/>
        </w:rPr>
      </w:pPr>
      <w:r w:rsidRPr="00232D05">
        <w:rPr>
          <w:sz w:val="24"/>
          <w:szCs w:val="24"/>
        </w:rPr>
        <w:t>Monitor TBRA</w:t>
      </w:r>
    </w:p>
    <w:p w14:paraId="10BF9066" w14:textId="77777777" w:rsidR="00DC3841" w:rsidRPr="00232D05" w:rsidRDefault="00DC3841" w:rsidP="00A121EE">
      <w:pPr>
        <w:pStyle w:val="ListParagraph"/>
        <w:numPr>
          <w:ilvl w:val="0"/>
          <w:numId w:val="14"/>
        </w:numPr>
        <w:spacing w:after="0" w:line="240" w:lineRule="auto"/>
        <w:rPr>
          <w:sz w:val="24"/>
          <w:szCs w:val="24"/>
        </w:rPr>
      </w:pPr>
      <w:r w:rsidRPr="00232D05">
        <w:rPr>
          <w:sz w:val="24"/>
          <w:szCs w:val="24"/>
        </w:rPr>
        <w:t>Transitional Emergency Housing</w:t>
      </w:r>
    </w:p>
    <w:p w14:paraId="201361F6" w14:textId="77777777" w:rsidR="00DC3841" w:rsidRPr="00232D05" w:rsidRDefault="00DC3841" w:rsidP="00A121EE">
      <w:pPr>
        <w:pStyle w:val="ListParagraph"/>
        <w:numPr>
          <w:ilvl w:val="0"/>
          <w:numId w:val="14"/>
        </w:numPr>
        <w:spacing w:after="0" w:line="240" w:lineRule="auto"/>
        <w:rPr>
          <w:sz w:val="24"/>
          <w:szCs w:val="24"/>
        </w:rPr>
      </w:pPr>
      <w:r w:rsidRPr="00232D05">
        <w:rPr>
          <w:sz w:val="24"/>
          <w:szCs w:val="24"/>
        </w:rPr>
        <w:t>Housing Coordination</w:t>
      </w:r>
    </w:p>
    <w:p w14:paraId="22A1EA18" w14:textId="77777777" w:rsidR="00DC3841" w:rsidRPr="00232D05" w:rsidRDefault="00DC3841" w:rsidP="00A121EE">
      <w:pPr>
        <w:pStyle w:val="ListParagraph"/>
        <w:numPr>
          <w:ilvl w:val="0"/>
          <w:numId w:val="14"/>
        </w:numPr>
        <w:spacing w:after="0" w:line="240" w:lineRule="auto"/>
        <w:rPr>
          <w:sz w:val="24"/>
          <w:szCs w:val="24"/>
        </w:rPr>
      </w:pPr>
      <w:r w:rsidRPr="00232D05">
        <w:rPr>
          <w:sz w:val="24"/>
          <w:szCs w:val="24"/>
        </w:rPr>
        <w:t>Supportive Services: Nutritional supplements, mental health, drug/ alcohol Counseling, and transportation</w:t>
      </w:r>
    </w:p>
    <w:p w14:paraId="389E5863" w14:textId="77777777" w:rsidR="00DC3841" w:rsidRPr="0010086B" w:rsidRDefault="00DC3841" w:rsidP="00DC3841">
      <w:pPr>
        <w:spacing w:after="0" w:line="240" w:lineRule="auto"/>
        <w:ind w:left="360"/>
        <w:rPr>
          <w:sz w:val="24"/>
          <w:szCs w:val="24"/>
        </w:rPr>
      </w:pPr>
    </w:p>
    <w:p w14:paraId="2DB19440" w14:textId="77777777" w:rsidR="00DC3841" w:rsidRDefault="00DC3841" w:rsidP="00DC3841">
      <w:pPr>
        <w:rPr>
          <w:sz w:val="24"/>
          <w:szCs w:val="24"/>
        </w:rPr>
      </w:pPr>
      <w:r w:rsidRPr="0010086B">
        <w:rPr>
          <w:sz w:val="24"/>
          <w:szCs w:val="24"/>
        </w:rPr>
        <w:t xml:space="preserve">The one-year goal for HOPWA </w:t>
      </w:r>
      <w:r>
        <w:rPr>
          <w:sz w:val="24"/>
          <w:szCs w:val="24"/>
        </w:rPr>
        <w:t>housing programs includes: 25</w:t>
      </w:r>
      <w:r w:rsidRPr="0010086B">
        <w:rPr>
          <w:sz w:val="24"/>
          <w:szCs w:val="24"/>
        </w:rPr>
        <w:t>0 households receiving rental assistance, 15</w:t>
      </w:r>
      <w:r>
        <w:rPr>
          <w:sz w:val="24"/>
          <w:szCs w:val="24"/>
        </w:rPr>
        <w:t>0</w:t>
      </w:r>
      <w:r w:rsidRPr="0010086B">
        <w:rPr>
          <w:sz w:val="24"/>
          <w:szCs w:val="24"/>
        </w:rPr>
        <w:t xml:space="preserve"> households prevented from homelessness. Overall, the HOPWA programs one-year go</w:t>
      </w:r>
      <w:r>
        <w:rPr>
          <w:sz w:val="24"/>
          <w:szCs w:val="24"/>
        </w:rPr>
        <w:t>al is to provide assistance to 2</w:t>
      </w:r>
      <w:r w:rsidRPr="0010086B">
        <w:rPr>
          <w:sz w:val="24"/>
          <w:szCs w:val="24"/>
        </w:rPr>
        <w:t>,2</w:t>
      </w:r>
      <w:r>
        <w:rPr>
          <w:sz w:val="24"/>
          <w:szCs w:val="24"/>
        </w:rPr>
        <w:t>2</w:t>
      </w:r>
      <w:r w:rsidRPr="0010086B">
        <w:rPr>
          <w:sz w:val="24"/>
          <w:szCs w:val="24"/>
        </w:rPr>
        <w:t>5 persons.</w:t>
      </w:r>
    </w:p>
    <w:p w14:paraId="10911D44" w14:textId="77777777" w:rsidR="00DC3841" w:rsidRDefault="00DC3841" w:rsidP="00DC3841">
      <w:pPr>
        <w:rPr>
          <w:rFonts w:asciiTheme="minorHAnsi" w:hAnsiTheme="minorHAnsi"/>
          <w:i/>
          <w:sz w:val="24"/>
          <w:szCs w:val="24"/>
          <w:u w:val="single"/>
        </w:rPr>
      </w:pPr>
      <w:r w:rsidRPr="00CE38DE">
        <w:rPr>
          <w:rFonts w:asciiTheme="minorHAnsi" w:hAnsiTheme="minorHAnsi"/>
          <w:i/>
          <w:sz w:val="24"/>
          <w:szCs w:val="24"/>
          <w:u w:val="single"/>
        </w:rPr>
        <w:t>HTF</w:t>
      </w:r>
    </w:p>
    <w:p w14:paraId="2A1C6E28" w14:textId="77777777" w:rsidR="00DC3841" w:rsidRDefault="00DC3841" w:rsidP="00A121EE">
      <w:pPr>
        <w:pStyle w:val="ListParagraph"/>
        <w:numPr>
          <w:ilvl w:val="0"/>
          <w:numId w:val="45"/>
        </w:numPr>
        <w:rPr>
          <w:rFonts w:asciiTheme="minorHAnsi" w:hAnsiTheme="minorHAnsi"/>
          <w:sz w:val="24"/>
          <w:szCs w:val="24"/>
        </w:rPr>
      </w:pPr>
      <w:r>
        <w:rPr>
          <w:rFonts w:asciiTheme="minorHAnsi" w:hAnsiTheme="minorHAnsi"/>
          <w:sz w:val="24"/>
          <w:szCs w:val="24"/>
        </w:rPr>
        <w:t>Grants to increase and preserve affordable housing</w:t>
      </w:r>
    </w:p>
    <w:p w14:paraId="1FBAADB4" w14:textId="77777777" w:rsidR="00DC3841" w:rsidRPr="003C7E93" w:rsidRDefault="00DC3841" w:rsidP="00DC3841">
      <w:pPr>
        <w:rPr>
          <w:rFonts w:asciiTheme="minorHAnsi" w:hAnsiTheme="minorHAnsi"/>
          <w:sz w:val="24"/>
          <w:szCs w:val="24"/>
        </w:rPr>
      </w:pPr>
      <w:r>
        <w:rPr>
          <w:rFonts w:asciiTheme="minorHAnsi" w:hAnsiTheme="minorHAnsi"/>
          <w:sz w:val="24"/>
          <w:szCs w:val="24"/>
        </w:rPr>
        <w:t xml:space="preserve">The one-year goal for the HTF program includes: 10 rental units constructed and 5 rental units rehabilitated. </w:t>
      </w:r>
    </w:p>
    <w:p w14:paraId="5461E30C" w14:textId="77777777" w:rsidR="00DC3841" w:rsidRDefault="00DC3841" w:rsidP="00DC3841">
      <w:pPr>
        <w:rPr>
          <w:rFonts w:asciiTheme="minorHAnsi" w:hAnsiTheme="minorHAnsi"/>
        </w:rPr>
      </w:pPr>
    </w:p>
    <w:p w14:paraId="4A503660" w14:textId="77777777" w:rsidR="00DC3841" w:rsidRPr="00276B2B" w:rsidRDefault="00DC3841" w:rsidP="00DC3841">
      <w:pPr>
        <w:pStyle w:val="Heading2"/>
        <w:shd w:val="clear" w:color="auto" w:fill="95B3D7" w:themeFill="accent1" w:themeFillTint="99"/>
        <w:rPr>
          <w:rFonts w:ascii="Calibri" w:hAnsi="Calibri"/>
          <w:i w:val="0"/>
        </w:rPr>
      </w:pPr>
      <w:bookmarkStart w:id="40" w:name="_Toc524603025"/>
      <w:r>
        <w:rPr>
          <w:rFonts w:ascii="Calibri" w:hAnsi="Calibri"/>
          <w:i w:val="0"/>
        </w:rPr>
        <w:t xml:space="preserve">MA-40 </w:t>
      </w:r>
      <w:r>
        <w:rPr>
          <w:rFonts w:asciiTheme="minorHAnsi" w:hAnsiTheme="minorHAnsi"/>
          <w:i w:val="0"/>
        </w:rPr>
        <w:t>Barriers to Affordable Housing – 91.310(d)</w:t>
      </w:r>
      <w:bookmarkEnd w:id="40"/>
    </w:p>
    <w:p w14:paraId="0242D3C0" w14:textId="77777777" w:rsidR="00DC3841" w:rsidRDefault="00DC3841" w:rsidP="00DC3841">
      <w:pPr>
        <w:rPr>
          <w:b/>
          <w:sz w:val="24"/>
          <w:szCs w:val="24"/>
        </w:rPr>
      </w:pPr>
      <w:r>
        <w:rPr>
          <w:b/>
          <w:sz w:val="24"/>
          <w:szCs w:val="24"/>
        </w:rPr>
        <w:t>Describe any negative effects of public policies on affordable housing and residential investment.</w:t>
      </w:r>
    </w:p>
    <w:p w14:paraId="58C21C2E" w14:textId="11DA0E7C" w:rsidR="00DC3841" w:rsidRPr="004C5F00" w:rsidRDefault="00DC3841" w:rsidP="00DC3841">
      <w:pPr>
        <w:pStyle w:val="Body"/>
        <w:rPr>
          <w:sz w:val="24"/>
          <w:szCs w:val="24"/>
        </w:rPr>
      </w:pPr>
      <w:r w:rsidRPr="004C5F00">
        <w:rPr>
          <w:sz w:val="24"/>
          <w:szCs w:val="24"/>
        </w:rPr>
        <w:t xml:space="preserve">The State of Kansas </w:t>
      </w:r>
      <w:r w:rsidR="000B657D">
        <w:rPr>
          <w:sz w:val="24"/>
          <w:szCs w:val="24"/>
        </w:rPr>
        <w:t xml:space="preserve">is in the process of updating </w:t>
      </w:r>
      <w:r w:rsidRPr="004C5F00">
        <w:rPr>
          <w:sz w:val="24"/>
          <w:szCs w:val="24"/>
        </w:rPr>
        <w:t xml:space="preserve"> its Analysis of Impediments to Fair Housing Choice (AI) in </w:t>
      </w:r>
      <w:r>
        <w:rPr>
          <w:sz w:val="24"/>
          <w:szCs w:val="24"/>
        </w:rPr>
        <w:t>2018</w:t>
      </w:r>
      <w:r w:rsidRPr="004C5F00">
        <w:rPr>
          <w:sz w:val="24"/>
          <w:szCs w:val="24"/>
        </w:rPr>
        <w:t>.  Th</w:t>
      </w:r>
      <w:r>
        <w:rPr>
          <w:sz w:val="24"/>
          <w:szCs w:val="24"/>
        </w:rPr>
        <w:t>is</w:t>
      </w:r>
      <w:r w:rsidRPr="004C5F00">
        <w:rPr>
          <w:sz w:val="24"/>
          <w:szCs w:val="24"/>
        </w:rPr>
        <w:t xml:space="preserve"> </w:t>
      </w:r>
      <w:r w:rsidR="000B657D">
        <w:rPr>
          <w:sz w:val="24"/>
          <w:szCs w:val="24"/>
        </w:rPr>
        <w:t xml:space="preserve">will </w:t>
      </w:r>
      <w:r w:rsidRPr="004C5F00">
        <w:rPr>
          <w:sz w:val="24"/>
          <w:szCs w:val="24"/>
        </w:rPr>
        <w:t xml:space="preserve">provide an update to the </w:t>
      </w:r>
      <w:r>
        <w:rPr>
          <w:sz w:val="24"/>
          <w:szCs w:val="24"/>
        </w:rPr>
        <w:t>previous</w:t>
      </w:r>
      <w:r w:rsidRPr="004C5F00">
        <w:rPr>
          <w:sz w:val="24"/>
          <w:szCs w:val="24"/>
        </w:rPr>
        <w:t xml:space="preserve"> AI document</w:t>
      </w:r>
      <w:r>
        <w:rPr>
          <w:sz w:val="24"/>
          <w:szCs w:val="24"/>
        </w:rPr>
        <w:t>, last revised</w:t>
      </w:r>
      <w:r w:rsidRPr="004C5F00">
        <w:rPr>
          <w:sz w:val="24"/>
          <w:szCs w:val="24"/>
        </w:rPr>
        <w:t xml:space="preserve"> </w:t>
      </w:r>
      <w:r>
        <w:rPr>
          <w:sz w:val="24"/>
          <w:szCs w:val="24"/>
        </w:rPr>
        <w:t>in 2011</w:t>
      </w:r>
      <w:r w:rsidRPr="004C5F00">
        <w:rPr>
          <w:sz w:val="24"/>
          <w:szCs w:val="24"/>
        </w:rPr>
        <w:t xml:space="preserve">.  </w:t>
      </w:r>
    </w:p>
    <w:p w14:paraId="29BFE9BB" w14:textId="76FB4E07" w:rsidR="00DC3841" w:rsidRPr="004C5F00" w:rsidRDefault="00DC3841" w:rsidP="00DC3841">
      <w:pPr>
        <w:pStyle w:val="Body"/>
        <w:rPr>
          <w:sz w:val="24"/>
          <w:szCs w:val="24"/>
        </w:rPr>
      </w:pPr>
      <w:r w:rsidRPr="004C5F00">
        <w:rPr>
          <w:sz w:val="24"/>
          <w:szCs w:val="24"/>
        </w:rPr>
        <w:t xml:space="preserve">The following is a summary of the identified barriers to affordable housing in the </w:t>
      </w:r>
      <w:r w:rsidR="000B657D">
        <w:rPr>
          <w:sz w:val="24"/>
          <w:szCs w:val="24"/>
        </w:rPr>
        <w:t xml:space="preserve">2018 draft </w:t>
      </w:r>
      <w:r w:rsidRPr="004C5F00">
        <w:rPr>
          <w:sz w:val="24"/>
          <w:szCs w:val="24"/>
        </w:rPr>
        <w:t>AI:</w:t>
      </w:r>
    </w:p>
    <w:p w14:paraId="42766D52" w14:textId="756A5D52" w:rsidR="00DC3841" w:rsidRPr="005815AA" w:rsidRDefault="00DC3841" w:rsidP="00A121EE">
      <w:pPr>
        <w:pStyle w:val="Body"/>
        <w:numPr>
          <w:ilvl w:val="0"/>
          <w:numId w:val="7"/>
        </w:numPr>
        <w:rPr>
          <w:sz w:val="24"/>
          <w:szCs w:val="24"/>
        </w:rPr>
      </w:pPr>
      <w:r w:rsidRPr="005815AA">
        <w:rPr>
          <w:sz w:val="24"/>
          <w:szCs w:val="24"/>
        </w:rPr>
        <w:t>Most housing and service providers feel that a significant share of fair housing violations</w:t>
      </w:r>
      <w:r>
        <w:rPr>
          <w:sz w:val="24"/>
          <w:szCs w:val="24"/>
        </w:rPr>
        <w:t xml:space="preserve"> </w:t>
      </w:r>
      <w:r w:rsidRPr="005815AA">
        <w:rPr>
          <w:sz w:val="24"/>
          <w:szCs w:val="24"/>
        </w:rPr>
        <w:t xml:space="preserve">in the </w:t>
      </w:r>
      <w:r w:rsidR="00556755">
        <w:rPr>
          <w:sz w:val="24"/>
          <w:szCs w:val="24"/>
        </w:rPr>
        <w:t>state</w:t>
      </w:r>
      <w:r w:rsidRPr="005815AA">
        <w:rPr>
          <w:sz w:val="24"/>
          <w:szCs w:val="24"/>
        </w:rPr>
        <w:t xml:space="preserve"> </w:t>
      </w:r>
      <w:r>
        <w:rPr>
          <w:sz w:val="24"/>
          <w:szCs w:val="24"/>
        </w:rPr>
        <w:t>are</w:t>
      </w:r>
      <w:r w:rsidRPr="005815AA">
        <w:rPr>
          <w:sz w:val="24"/>
          <w:szCs w:val="24"/>
        </w:rPr>
        <w:t xml:space="preserve"> unreported.</w:t>
      </w:r>
      <w:r>
        <w:rPr>
          <w:sz w:val="24"/>
          <w:szCs w:val="24"/>
        </w:rPr>
        <w:t xml:space="preserve"> </w:t>
      </w:r>
    </w:p>
    <w:p w14:paraId="544CBA14" w14:textId="77777777" w:rsidR="00DC3841" w:rsidRPr="005815AA" w:rsidRDefault="00DC3841" w:rsidP="00A121EE">
      <w:pPr>
        <w:pStyle w:val="Body"/>
        <w:numPr>
          <w:ilvl w:val="0"/>
          <w:numId w:val="7"/>
        </w:numPr>
        <w:rPr>
          <w:sz w:val="24"/>
          <w:szCs w:val="24"/>
        </w:rPr>
      </w:pPr>
      <w:r>
        <w:rPr>
          <w:sz w:val="24"/>
          <w:szCs w:val="24"/>
        </w:rPr>
        <w:t xml:space="preserve">This lack of </w:t>
      </w:r>
      <w:r w:rsidRPr="005815AA">
        <w:rPr>
          <w:sz w:val="24"/>
          <w:szCs w:val="24"/>
        </w:rPr>
        <w:t xml:space="preserve">reporting is largely due to lack of knowledge </w:t>
      </w:r>
      <w:r>
        <w:rPr>
          <w:sz w:val="24"/>
          <w:szCs w:val="24"/>
        </w:rPr>
        <w:t>of</w:t>
      </w:r>
      <w:r w:rsidRPr="005815AA">
        <w:rPr>
          <w:sz w:val="24"/>
          <w:szCs w:val="24"/>
        </w:rPr>
        <w:t xml:space="preserve"> fair housing rights and how to</w:t>
      </w:r>
      <w:r>
        <w:rPr>
          <w:sz w:val="24"/>
          <w:szCs w:val="24"/>
        </w:rPr>
        <w:t xml:space="preserve"> </w:t>
      </w:r>
      <w:r w:rsidRPr="005815AA">
        <w:rPr>
          <w:sz w:val="24"/>
          <w:szCs w:val="24"/>
        </w:rPr>
        <w:t>file complaints. Fear of retribution and apathy were also cited as reasons for not</w:t>
      </w:r>
      <w:r>
        <w:rPr>
          <w:sz w:val="24"/>
          <w:szCs w:val="24"/>
        </w:rPr>
        <w:t xml:space="preserve"> </w:t>
      </w:r>
      <w:r w:rsidRPr="005815AA">
        <w:rPr>
          <w:sz w:val="24"/>
          <w:szCs w:val="24"/>
        </w:rPr>
        <w:t>reporting.</w:t>
      </w:r>
      <w:r>
        <w:rPr>
          <w:sz w:val="24"/>
          <w:szCs w:val="24"/>
        </w:rPr>
        <w:t xml:space="preserve">  Many housing and service providers seemed to be unaware of protections by gender or family status. </w:t>
      </w:r>
    </w:p>
    <w:p w14:paraId="1E8B828F" w14:textId="4DB513FC" w:rsidR="00DC3841" w:rsidRDefault="00DC3841" w:rsidP="00A121EE">
      <w:pPr>
        <w:pStyle w:val="Body"/>
        <w:numPr>
          <w:ilvl w:val="0"/>
          <w:numId w:val="7"/>
        </w:numPr>
        <w:rPr>
          <w:sz w:val="24"/>
          <w:szCs w:val="24"/>
        </w:rPr>
      </w:pPr>
      <w:r w:rsidRPr="005815AA">
        <w:rPr>
          <w:sz w:val="24"/>
          <w:szCs w:val="24"/>
        </w:rPr>
        <w:t>Current violations are most likely to impact persons with disabilities and, in Southwest</w:t>
      </w:r>
      <w:r>
        <w:rPr>
          <w:sz w:val="24"/>
          <w:szCs w:val="24"/>
        </w:rPr>
        <w:t xml:space="preserve"> </w:t>
      </w:r>
      <w:r w:rsidRPr="005815AA">
        <w:rPr>
          <w:sz w:val="24"/>
          <w:szCs w:val="24"/>
        </w:rPr>
        <w:t>Kansas, large Hispanic families. Violations may include refusal to make reasonable</w:t>
      </w:r>
      <w:r>
        <w:rPr>
          <w:sz w:val="24"/>
          <w:szCs w:val="24"/>
        </w:rPr>
        <w:t xml:space="preserve"> </w:t>
      </w:r>
      <w:r w:rsidRPr="005815AA">
        <w:rPr>
          <w:sz w:val="24"/>
          <w:szCs w:val="24"/>
        </w:rPr>
        <w:t>accommodations for persons with disabilities and refusal to rent on the basis of national</w:t>
      </w:r>
      <w:r>
        <w:rPr>
          <w:sz w:val="24"/>
          <w:szCs w:val="24"/>
        </w:rPr>
        <w:t xml:space="preserve"> </w:t>
      </w:r>
      <w:r w:rsidRPr="005815AA">
        <w:rPr>
          <w:sz w:val="24"/>
          <w:szCs w:val="24"/>
        </w:rPr>
        <w:t>origin or family size. Concentrated ownership of ren</w:t>
      </w:r>
      <w:r>
        <w:rPr>
          <w:sz w:val="24"/>
          <w:szCs w:val="24"/>
        </w:rPr>
        <w:t xml:space="preserve">tal units in some parts of the </w:t>
      </w:r>
      <w:r w:rsidR="00556755">
        <w:rPr>
          <w:sz w:val="24"/>
          <w:szCs w:val="24"/>
        </w:rPr>
        <w:t>state</w:t>
      </w:r>
      <w:r>
        <w:rPr>
          <w:sz w:val="24"/>
          <w:szCs w:val="24"/>
        </w:rPr>
        <w:t xml:space="preserve"> </w:t>
      </w:r>
      <w:r w:rsidRPr="005815AA">
        <w:rPr>
          <w:sz w:val="24"/>
          <w:szCs w:val="24"/>
        </w:rPr>
        <w:t>creates a dynamic where potential complainants are easily intimidated.</w:t>
      </w:r>
      <w:r>
        <w:rPr>
          <w:sz w:val="24"/>
          <w:szCs w:val="24"/>
        </w:rPr>
        <w:t xml:space="preserve">  Additionally, a survey found a lack of group homes in certain areas and a lack of accessible housing for people with disabilities.</w:t>
      </w:r>
    </w:p>
    <w:p w14:paraId="691C7400" w14:textId="77777777" w:rsidR="00DC3841" w:rsidRPr="005815AA" w:rsidRDefault="00DC3841" w:rsidP="00A121EE">
      <w:pPr>
        <w:pStyle w:val="Body"/>
        <w:numPr>
          <w:ilvl w:val="0"/>
          <w:numId w:val="7"/>
        </w:numPr>
        <w:rPr>
          <w:sz w:val="24"/>
          <w:szCs w:val="24"/>
        </w:rPr>
      </w:pPr>
      <w:r>
        <w:rPr>
          <w:sz w:val="24"/>
          <w:szCs w:val="24"/>
        </w:rPr>
        <w:t>The most common protected classes for complaints were people with physical disabilities and national origin (note: this data is statewide, including entitlement areas).</w:t>
      </w:r>
    </w:p>
    <w:p w14:paraId="039B0BDB" w14:textId="77777777" w:rsidR="00DC3841" w:rsidRPr="001E33EE" w:rsidRDefault="00DC3841" w:rsidP="00A121EE">
      <w:pPr>
        <w:pStyle w:val="Body"/>
        <w:numPr>
          <w:ilvl w:val="0"/>
          <w:numId w:val="7"/>
        </w:numPr>
        <w:rPr>
          <w:sz w:val="24"/>
          <w:szCs w:val="24"/>
        </w:rPr>
      </w:pPr>
      <w:r w:rsidRPr="005815AA">
        <w:rPr>
          <w:sz w:val="24"/>
          <w:szCs w:val="24"/>
        </w:rPr>
        <w:t>Predatory lending was seen as a concern. The most common forms of predatory lending</w:t>
      </w:r>
      <w:r>
        <w:rPr>
          <w:sz w:val="24"/>
          <w:szCs w:val="24"/>
        </w:rPr>
        <w:t xml:space="preserve"> </w:t>
      </w:r>
      <w:r w:rsidRPr="005815AA">
        <w:rPr>
          <w:sz w:val="24"/>
          <w:szCs w:val="24"/>
        </w:rPr>
        <w:t>were reported to be lenders making unaffordable loans, repeated inducements for</w:t>
      </w:r>
      <w:r>
        <w:rPr>
          <w:sz w:val="24"/>
          <w:szCs w:val="24"/>
        </w:rPr>
        <w:t xml:space="preserve"> </w:t>
      </w:r>
      <w:r w:rsidRPr="005815AA">
        <w:rPr>
          <w:sz w:val="24"/>
          <w:szCs w:val="24"/>
        </w:rPr>
        <w:t>refinancing so that lenders could earn points on transactions, and payday/title loans.</w:t>
      </w:r>
      <w:r>
        <w:rPr>
          <w:sz w:val="24"/>
          <w:szCs w:val="24"/>
        </w:rPr>
        <w:t xml:space="preserve">  </w:t>
      </w:r>
      <w:r w:rsidRPr="001E33EE">
        <w:rPr>
          <w:rFonts w:cs="Calibri"/>
          <w:sz w:val="24"/>
          <w:szCs w:val="24"/>
          <w:lang w:eastAsia="ko-KR"/>
        </w:rPr>
        <w:t>A review of the data lead to three primary</w:t>
      </w:r>
      <w:r>
        <w:rPr>
          <w:rFonts w:cs="Calibri"/>
          <w:sz w:val="24"/>
          <w:szCs w:val="24"/>
          <w:lang w:eastAsia="ko-KR"/>
        </w:rPr>
        <w:t xml:space="preserve"> </w:t>
      </w:r>
      <w:r w:rsidRPr="001E33EE">
        <w:rPr>
          <w:rFonts w:cs="Calibri"/>
          <w:sz w:val="24"/>
          <w:szCs w:val="24"/>
          <w:lang w:eastAsia="ko-KR"/>
        </w:rPr>
        <w:t>conclusions:</w:t>
      </w:r>
    </w:p>
    <w:p w14:paraId="6E227A97" w14:textId="77777777" w:rsidR="00DC3841" w:rsidRPr="001E33EE" w:rsidRDefault="00DC3841" w:rsidP="00A121EE">
      <w:pPr>
        <w:pStyle w:val="Body"/>
        <w:numPr>
          <w:ilvl w:val="1"/>
          <w:numId w:val="7"/>
        </w:numPr>
        <w:rPr>
          <w:sz w:val="24"/>
          <w:szCs w:val="24"/>
        </w:rPr>
      </w:pPr>
      <w:r w:rsidRPr="001E33EE">
        <w:rPr>
          <w:rFonts w:cs="Calibri"/>
          <w:sz w:val="24"/>
          <w:szCs w:val="24"/>
          <w:lang w:eastAsia="ko-KR"/>
        </w:rPr>
        <w:t>Regardless of race, gender or income, the most common reason for loan denials is poor</w:t>
      </w:r>
      <w:r>
        <w:rPr>
          <w:rFonts w:cs="Calibri"/>
          <w:sz w:val="24"/>
          <w:szCs w:val="24"/>
          <w:lang w:eastAsia="ko-KR"/>
        </w:rPr>
        <w:t xml:space="preserve"> </w:t>
      </w:r>
      <w:r w:rsidRPr="001E33EE">
        <w:rPr>
          <w:rFonts w:cs="Calibri"/>
          <w:sz w:val="24"/>
          <w:szCs w:val="24"/>
          <w:lang w:eastAsia="ko-KR"/>
        </w:rPr>
        <w:t>c</w:t>
      </w:r>
      <w:r>
        <w:rPr>
          <w:rFonts w:cs="Calibri"/>
          <w:sz w:val="24"/>
          <w:szCs w:val="24"/>
          <w:lang w:eastAsia="ko-KR"/>
        </w:rPr>
        <w:t>redit history, followed by debt-to-</w:t>
      </w:r>
      <w:r w:rsidRPr="001E33EE">
        <w:rPr>
          <w:rFonts w:cs="Calibri"/>
          <w:sz w:val="24"/>
          <w:szCs w:val="24"/>
          <w:lang w:eastAsia="ko-KR"/>
        </w:rPr>
        <w:t>income ratios;</w:t>
      </w:r>
    </w:p>
    <w:p w14:paraId="3BC5EF3D" w14:textId="77777777" w:rsidR="00DC3841" w:rsidRDefault="00DC3841" w:rsidP="00A121EE">
      <w:pPr>
        <w:pStyle w:val="Body"/>
        <w:numPr>
          <w:ilvl w:val="1"/>
          <w:numId w:val="7"/>
        </w:numPr>
      </w:pPr>
      <w:r w:rsidRPr="001E33EE">
        <w:rPr>
          <w:rFonts w:cs="Calibri"/>
          <w:sz w:val="24"/>
          <w:szCs w:val="24"/>
          <w:lang w:eastAsia="ko-KR"/>
        </w:rPr>
        <w:t>African‐Americans and Hispanics have less success in applying for loans than other</w:t>
      </w:r>
      <w:r>
        <w:rPr>
          <w:rFonts w:cs="Calibri"/>
          <w:sz w:val="24"/>
          <w:szCs w:val="24"/>
          <w:lang w:eastAsia="ko-KR"/>
        </w:rPr>
        <w:t xml:space="preserve"> </w:t>
      </w:r>
      <w:r w:rsidRPr="001E33EE">
        <w:rPr>
          <w:rFonts w:cs="Calibri"/>
          <w:sz w:val="24"/>
          <w:szCs w:val="24"/>
          <w:lang w:eastAsia="ko-KR"/>
        </w:rPr>
        <w:t xml:space="preserve">races. </w:t>
      </w:r>
      <w:r w:rsidRPr="00232442">
        <w:rPr>
          <w:rFonts w:cs="Calibri"/>
          <w:sz w:val="24"/>
          <w:szCs w:val="24"/>
          <w:lang w:eastAsia="ko-KR"/>
        </w:rPr>
        <w:t>Native Americans have varying degrees of success compared to other races depending on income levels and loan types</w:t>
      </w:r>
      <w:r>
        <w:rPr>
          <w:rFonts w:cs="Calibri"/>
          <w:sz w:val="24"/>
          <w:szCs w:val="24"/>
          <w:lang w:eastAsia="ko-KR"/>
        </w:rPr>
        <w:t>,</w:t>
      </w:r>
      <w:r w:rsidRPr="00232442">
        <w:rPr>
          <w:rFonts w:cs="Calibri"/>
          <w:sz w:val="24"/>
          <w:szCs w:val="24"/>
          <w:lang w:eastAsia="ko-KR"/>
        </w:rPr>
        <w:t xml:space="preserve"> and </w:t>
      </w:r>
      <w:r>
        <w:rPr>
          <w:rFonts w:cs="Calibri"/>
          <w:sz w:val="24"/>
          <w:szCs w:val="24"/>
          <w:lang w:eastAsia="ko-KR"/>
        </w:rPr>
        <w:t>d</w:t>
      </w:r>
      <w:r w:rsidRPr="00232442">
        <w:rPr>
          <w:rFonts w:cs="Calibri"/>
          <w:sz w:val="24"/>
          <w:szCs w:val="24"/>
          <w:lang w:eastAsia="ko-KR"/>
        </w:rPr>
        <w:t>enial rates decline as incomes rise, but gender has no impact on loan approval or</w:t>
      </w:r>
      <w:r w:rsidRPr="00232442">
        <w:rPr>
          <w:sz w:val="24"/>
          <w:szCs w:val="24"/>
        </w:rPr>
        <w:t xml:space="preserve"> </w:t>
      </w:r>
      <w:r w:rsidRPr="00232442">
        <w:rPr>
          <w:rFonts w:cs="Calibri"/>
          <w:sz w:val="24"/>
          <w:szCs w:val="24"/>
          <w:lang w:eastAsia="ko-KR"/>
        </w:rPr>
        <w:t>denial.</w:t>
      </w:r>
    </w:p>
    <w:p w14:paraId="3377BEB8" w14:textId="77777777" w:rsidR="00DC3841" w:rsidRDefault="00DC3841" w:rsidP="00DC3841">
      <w:pPr>
        <w:rPr>
          <w:rFonts w:asciiTheme="minorHAnsi" w:hAnsiTheme="minorHAnsi"/>
        </w:rPr>
      </w:pPr>
    </w:p>
    <w:p w14:paraId="13DC5E3B" w14:textId="77777777" w:rsidR="00DC3841" w:rsidRPr="001C16E7" w:rsidRDefault="00DC3841" w:rsidP="00DC3841">
      <w:pPr>
        <w:pStyle w:val="Heading2"/>
        <w:shd w:val="clear" w:color="auto" w:fill="95B3D7" w:themeFill="accent1" w:themeFillTint="99"/>
        <w:rPr>
          <w:rFonts w:ascii="Calibri" w:hAnsi="Calibri"/>
          <w:i w:val="0"/>
        </w:rPr>
      </w:pPr>
      <w:bookmarkStart w:id="41" w:name="_Toc524603026"/>
      <w:r>
        <w:rPr>
          <w:rFonts w:ascii="Calibri" w:hAnsi="Calibri"/>
          <w:i w:val="0"/>
        </w:rPr>
        <w:t xml:space="preserve">MA-45 </w:t>
      </w:r>
      <w:r>
        <w:rPr>
          <w:rFonts w:asciiTheme="minorHAnsi" w:hAnsiTheme="minorHAnsi"/>
          <w:i w:val="0"/>
        </w:rPr>
        <w:t>Non-Housing Community Development Assets -91.315(f)</w:t>
      </w:r>
      <w:bookmarkEnd w:id="41"/>
    </w:p>
    <w:p w14:paraId="0817B88E" w14:textId="77777777" w:rsidR="00DC3841" w:rsidRDefault="00DC3841" w:rsidP="00DC3841">
      <w:pPr>
        <w:keepNext/>
        <w:widowControl w:val="0"/>
        <w:rPr>
          <w:rFonts w:asciiTheme="minorHAnsi" w:hAnsiTheme="minorHAnsi"/>
          <w:b/>
          <w:sz w:val="24"/>
        </w:rPr>
      </w:pPr>
      <w:r>
        <w:rPr>
          <w:rFonts w:asciiTheme="minorHAnsi" w:hAnsiTheme="minorHAnsi"/>
          <w:b/>
          <w:sz w:val="24"/>
        </w:rPr>
        <w:t>Economic Development Market Analysis</w:t>
      </w:r>
    </w:p>
    <w:p w14:paraId="110FDF21" w14:textId="77777777" w:rsidR="00DC3841" w:rsidRPr="00056010" w:rsidRDefault="00DC3841" w:rsidP="00DC3841">
      <w:pPr>
        <w:keepNext/>
        <w:widowControl w:val="0"/>
        <w:rPr>
          <w:rFonts w:asciiTheme="minorHAnsi" w:hAnsiTheme="minorHAnsi"/>
          <w:sz w:val="24"/>
        </w:rPr>
      </w:pPr>
      <w:r>
        <w:rPr>
          <w:rFonts w:asciiTheme="minorHAnsi" w:hAnsiTheme="minorHAnsi"/>
          <w:sz w:val="24"/>
        </w:rPr>
        <w:t xml:space="preserve">The following tables outline the HUD provided data points that are pertinent to the economic development in Kansas. </w:t>
      </w:r>
    </w:p>
    <w:p w14:paraId="28EFA9AA" w14:textId="77777777"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15 – Business Activity</w:t>
      </w:r>
    </w:p>
    <w:tbl>
      <w:tblPr>
        <w:tblStyle w:val="GridTable4-Accent1"/>
        <w:tblW w:w="4889" w:type="pct"/>
        <w:tblLook w:val="04E0" w:firstRow="1" w:lastRow="1" w:firstColumn="1" w:lastColumn="0" w:noHBand="0" w:noVBand="1"/>
      </w:tblPr>
      <w:tblGrid>
        <w:gridCol w:w="3325"/>
        <w:gridCol w:w="1260"/>
        <w:gridCol w:w="1260"/>
        <w:gridCol w:w="1163"/>
        <w:gridCol w:w="977"/>
        <w:gridCol w:w="1157"/>
      </w:tblGrid>
      <w:tr w:rsidR="00DC3841" w14:paraId="6978BD40" w14:textId="77777777" w:rsidTr="007C520D">
        <w:trPr>
          <w:cnfStyle w:val="100000000000" w:firstRow="1" w:lastRow="0" w:firstColumn="0" w:lastColumn="0" w:oddVBand="0" w:evenVBand="0" w:oddHBand="0"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3325" w:type="dxa"/>
          </w:tcPr>
          <w:p w14:paraId="0D4CACD6" w14:textId="77777777" w:rsidR="00DC3841" w:rsidRPr="00A24BDC" w:rsidRDefault="00DC3841" w:rsidP="007C520D">
            <w:pPr>
              <w:keepNext/>
              <w:widowControl w:val="0"/>
              <w:spacing w:after="0" w:line="240" w:lineRule="auto"/>
              <w:jc w:val="center"/>
              <w:rPr>
                <w:rFonts w:asciiTheme="minorHAnsi" w:hAnsiTheme="minorHAnsi"/>
              </w:rPr>
            </w:pPr>
            <w:r w:rsidRPr="00A24BDC">
              <w:rPr>
                <w:rFonts w:asciiTheme="minorHAnsi" w:hAnsiTheme="minorHAnsi"/>
              </w:rPr>
              <w:t>Business by Sector</w:t>
            </w:r>
          </w:p>
        </w:tc>
        <w:tc>
          <w:tcPr>
            <w:tcW w:w="1260" w:type="dxa"/>
          </w:tcPr>
          <w:p w14:paraId="518F4B8F"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Number of Workers</w:t>
            </w:r>
          </w:p>
        </w:tc>
        <w:tc>
          <w:tcPr>
            <w:tcW w:w="1260" w:type="dxa"/>
          </w:tcPr>
          <w:p w14:paraId="0152812C"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Number of Jobs</w:t>
            </w:r>
          </w:p>
        </w:tc>
        <w:tc>
          <w:tcPr>
            <w:tcW w:w="1163" w:type="dxa"/>
          </w:tcPr>
          <w:p w14:paraId="55322EC1"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Share of Workers</w:t>
            </w:r>
          </w:p>
          <w:p w14:paraId="01387DAE"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w:t>
            </w:r>
          </w:p>
        </w:tc>
        <w:tc>
          <w:tcPr>
            <w:tcW w:w="977" w:type="dxa"/>
          </w:tcPr>
          <w:p w14:paraId="6F3A39CD"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Share of Jobs</w:t>
            </w:r>
          </w:p>
          <w:p w14:paraId="27C85327"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w:t>
            </w:r>
          </w:p>
        </w:tc>
        <w:tc>
          <w:tcPr>
            <w:tcW w:w="1157" w:type="dxa"/>
          </w:tcPr>
          <w:p w14:paraId="4B2AD0EA"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Jobs less workers</w:t>
            </w:r>
          </w:p>
          <w:p w14:paraId="449D815E" w14:textId="77777777" w:rsidR="00DC3841" w:rsidRPr="00A24BDC"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24BDC">
              <w:rPr>
                <w:rFonts w:asciiTheme="minorHAnsi" w:hAnsiTheme="minorHAnsi"/>
              </w:rPr>
              <w:t>%</w:t>
            </w:r>
          </w:p>
        </w:tc>
      </w:tr>
      <w:tr w:rsidR="00DC3841" w14:paraId="38BF374F" w14:textId="77777777" w:rsidTr="007C520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25" w:type="dxa"/>
          </w:tcPr>
          <w:p w14:paraId="580132BD" w14:textId="77777777" w:rsidR="00DC3841" w:rsidRDefault="00DC3841" w:rsidP="007C520D">
            <w:pPr>
              <w:spacing w:beforeAutospacing="1" w:afterAutospacing="1"/>
            </w:pPr>
            <w:r>
              <w:rPr>
                <w:color w:val="000000"/>
              </w:rPr>
              <w:t>Agriculture, Mining, Oil &amp; Gas Extraction</w:t>
            </w:r>
          </w:p>
        </w:tc>
        <w:tc>
          <w:tcPr>
            <w:tcW w:w="1260" w:type="dxa"/>
          </w:tcPr>
          <w:p w14:paraId="41046B7B"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20,995</w:t>
            </w:r>
          </w:p>
        </w:tc>
        <w:tc>
          <w:tcPr>
            <w:tcW w:w="1260" w:type="dxa"/>
          </w:tcPr>
          <w:p w14:paraId="619C19F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20,517</w:t>
            </w:r>
          </w:p>
        </w:tc>
        <w:tc>
          <w:tcPr>
            <w:tcW w:w="1163" w:type="dxa"/>
          </w:tcPr>
          <w:p w14:paraId="3C9CC8C3"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w:t>
            </w:r>
          </w:p>
        </w:tc>
        <w:tc>
          <w:tcPr>
            <w:tcW w:w="977" w:type="dxa"/>
          </w:tcPr>
          <w:p w14:paraId="65CEA4D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w:t>
            </w:r>
          </w:p>
        </w:tc>
        <w:tc>
          <w:tcPr>
            <w:tcW w:w="1157" w:type="dxa"/>
          </w:tcPr>
          <w:p w14:paraId="4397FC8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w:t>
            </w:r>
          </w:p>
        </w:tc>
      </w:tr>
      <w:tr w:rsidR="00DC3841" w14:paraId="26075D4B" w14:textId="77777777" w:rsidTr="007C520D">
        <w:trPr>
          <w:trHeight w:val="614"/>
        </w:trPr>
        <w:tc>
          <w:tcPr>
            <w:cnfStyle w:val="001000000000" w:firstRow="0" w:lastRow="0" w:firstColumn="1" w:lastColumn="0" w:oddVBand="0" w:evenVBand="0" w:oddHBand="0" w:evenHBand="0" w:firstRowFirstColumn="0" w:firstRowLastColumn="0" w:lastRowFirstColumn="0" w:lastRowLastColumn="0"/>
            <w:tcW w:w="3325" w:type="dxa"/>
          </w:tcPr>
          <w:p w14:paraId="1AB9A5FF" w14:textId="77777777" w:rsidR="00DC3841" w:rsidRDefault="00DC3841" w:rsidP="007C520D">
            <w:pPr>
              <w:spacing w:beforeAutospacing="1" w:afterAutospacing="1"/>
            </w:pPr>
            <w:r>
              <w:rPr>
                <w:color w:val="000000"/>
              </w:rPr>
              <w:t>Arts, Entertainment, Accommodations</w:t>
            </w:r>
          </w:p>
        </w:tc>
        <w:tc>
          <w:tcPr>
            <w:tcW w:w="1260" w:type="dxa"/>
          </w:tcPr>
          <w:p w14:paraId="5F21E86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55,675</w:t>
            </w:r>
          </w:p>
        </w:tc>
        <w:tc>
          <w:tcPr>
            <w:tcW w:w="1260" w:type="dxa"/>
          </w:tcPr>
          <w:p w14:paraId="32DC825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44,464</w:t>
            </w:r>
          </w:p>
        </w:tc>
        <w:tc>
          <w:tcPr>
            <w:tcW w:w="1163" w:type="dxa"/>
          </w:tcPr>
          <w:p w14:paraId="5080364A"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10</w:t>
            </w:r>
          </w:p>
        </w:tc>
        <w:tc>
          <w:tcPr>
            <w:tcW w:w="977" w:type="dxa"/>
          </w:tcPr>
          <w:p w14:paraId="61AF9F0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10</w:t>
            </w:r>
          </w:p>
        </w:tc>
        <w:tc>
          <w:tcPr>
            <w:tcW w:w="1157" w:type="dxa"/>
          </w:tcPr>
          <w:p w14:paraId="2975C4B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0473FCBA" w14:textId="77777777" w:rsidTr="007C520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25" w:type="dxa"/>
          </w:tcPr>
          <w:p w14:paraId="0392D96C" w14:textId="77777777" w:rsidR="00DC3841" w:rsidRDefault="00DC3841" w:rsidP="007C520D">
            <w:pPr>
              <w:spacing w:beforeAutospacing="1" w:afterAutospacing="1"/>
            </w:pPr>
            <w:r>
              <w:rPr>
                <w:color w:val="000000"/>
              </w:rPr>
              <w:t>Construction</w:t>
            </w:r>
          </w:p>
        </w:tc>
        <w:tc>
          <w:tcPr>
            <w:tcW w:w="1260" w:type="dxa"/>
          </w:tcPr>
          <w:p w14:paraId="33ABA92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33,292</w:t>
            </w:r>
          </w:p>
        </w:tc>
        <w:tc>
          <w:tcPr>
            <w:tcW w:w="1260" w:type="dxa"/>
          </w:tcPr>
          <w:p w14:paraId="5B85EBE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27,942</w:t>
            </w:r>
          </w:p>
        </w:tc>
        <w:tc>
          <w:tcPr>
            <w:tcW w:w="1163" w:type="dxa"/>
          </w:tcPr>
          <w:p w14:paraId="3BB6E9F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6</w:t>
            </w:r>
          </w:p>
        </w:tc>
        <w:tc>
          <w:tcPr>
            <w:tcW w:w="977" w:type="dxa"/>
          </w:tcPr>
          <w:p w14:paraId="733B3AD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6</w:t>
            </w:r>
          </w:p>
        </w:tc>
        <w:tc>
          <w:tcPr>
            <w:tcW w:w="1157" w:type="dxa"/>
          </w:tcPr>
          <w:p w14:paraId="424C4EB3"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w:t>
            </w:r>
          </w:p>
        </w:tc>
      </w:tr>
      <w:tr w:rsidR="00DC3841" w14:paraId="7CF53F29" w14:textId="77777777" w:rsidTr="007C520D">
        <w:trPr>
          <w:trHeight w:val="614"/>
        </w:trPr>
        <w:tc>
          <w:tcPr>
            <w:cnfStyle w:val="001000000000" w:firstRow="0" w:lastRow="0" w:firstColumn="1" w:lastColumn="0" w:oddVBand="0" w:evenVBand="0" w:oddHBand="0" w:evenHBand="0" w:firstRowFirstColumn="0" w:firstRowLastColumn="0" w:lastRowFirstColumn="0" w:lastRowLastColumn="0"/>
            <w:tcW w:w="3325" w:type="dxa"/>
          </w:tcPr>
          <w:p w14:paraId="70B31AEC" w14:textId="77777777" w:rsidR="00DC3841" w:rsidRDefault="00DC3841" w:rsidP="007C520D">
            <w:pPr>
              <w:spacing w:beforeAutospacing="1" w:afterAutospacing="1"/>
            </w:pPr>
            <w:r>
              <w:rPr>
                <w:color w:val="000000"/>
              </w:rPr>
              <w:t>Education and Health Care Services</w:t>
            </w:r>
          </w:p>
        </w:tc>
        <w:tc>
          <w:tcPr>
            <w:tcW w:w="1260" w:type="dxa"/>
          </w:tcPr>
          <w:p w14:paraId="221CC825"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91,805</w:t>
            </w:r>
          </w:p>
        </w:tc>
        <w:tc>
          <w:tcPr>
            <w:tcW w:w="1260" w:type="dxa"/>
          </w:tcPr>
          <w:p w14:paraId="4537096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72,207</w:t>
            </w:r>
          </w:p>
        </w:tc>
        <w:tc>
          <w:tcPr>
            <w:tcW w:w="1163" w:type="dxa"/>
          </w:tcPr>
          <w:p w14:paraId="6B6FDB8D"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17</w:t>
            </w:r>
          </w:p>
        </w:tc>
        <w:tc>
          <w:tcPr>
            <w:tcW w:w="977" w:type="dxa"/>
          </w:tcPr>
          <w:p w14:paraId="3D46A017"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16</w:t>
            </w:r>
          </w:p>
        </w:tc>
        <w:tc>
          <w:tcPr>
            <w:tcW w:w="1157" w:type="dxa"/>
          </w:tcPr>
          <w:p w14:paraId="5978738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w:t>
            </w:r>
          </w:p>
        </w:tc>
      </w:tr>
      <w:tr w:rsidR="00DC3841" w14:paraId="0A485C57" w14:textId="77777777" w:rsidTr="007C520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25" w:type="dxa"/>
          </w:tcPr>
          <w:p w14:paraId="6784F36A" w14:textId="77777777" w:rsidR="00DC3841" w:rsidRDefault="00DC3841" w:rsidP="007C520D">
            <w:pPr>
              <w:spacing w:beforeAutospacing="1" w:afterAutospacing="1"/>
            </w:pPr>
            <w:r>
              <w:rPr>
                <w:color w:val="000000"/>
              </w:rPr>
              <w:t>Finance, Insurance, and Real Estate</w:t>
            </w:r>
          </w:p>
        </w:tc>
        <w:tc>
          <w:tcPr>
            <w:tcW w:w="1260" w:type="dxa"/>
          </w:tcPr>
          <w:p w14:paraId="727B1C8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27,919</w:t>
            </w:r>
          </w:p>
        </w:tc>
        <w:tc>
          <w:tcPr>
            <w:tcW w:w="1260" w:type="dxa"/>
          </w:tcPr>
          <w:p w14:paraId="7802138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18,972</w:t>
            </w:r>
          </w:p>
        </w:tc>
        <w:tc>
          <w:tcPr>
            <w:tcW w:w="1163" w:type="dxa"/>
          </w:tcPr>
          <w:p w14:paraId="02B4DE2B"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w:t>
            </w:r>
          </w:p>
        </w:tc>
        <w:tc>
          <w:tcPr>
            <w:tcW w:w="977" w:type="dxa"/>
          </w:tcPr>
          <w:p w14:paraId="6FBBD848"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w:t>
            </w:r>
          </w:p>
        </w:tc>
        <w:tc>
          <w:tcPr>
            <w:tcW w:w="1157" w:type="dxa"/>
          </w:tcPr>
          <w:p w14:paraId="146538F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w:t>
            </w:r>
          </w:p>
        </w:tc>
      </w:tr>
      <w:tr w:rsidR="00DC3841" w14:paraId="5132F7DF" w14:textId="77777777" w:rsidTr="007C520D">
        <w:trPr>
          <w:trHeight w:val="307"/>
        </w:trPr>
        <w:tc>
          <w:tcPr>
            <w:cnfStyle w:val="001000000000" w:firstRow="0" w:lastRow="0" w:firstColumn="1" w:lastColumn="0" w:oddVBand="0" w:evenVBand="0" w:oddHBand="0" w:evenHBand="0" w:firstRowFirstColumn="0" w:firstRowLastColumn="0" w:lastRowFirstColumn="0" w:lastRowLastColumn="0"/>
            <w:tcW w:w="3325" w:type="dxa"/>
          </w:tcPr>
          <w:p w14:paraId="150B36F2" w14:textId="77777777" w:rsidR="00DC3841" w:rsidRDefault="00DC3841" w:rsidP="007C520D">
            <w:pPr>
              <w:spacing w:beforeAutospacing="1" w:afterAutospacing="1"/>
            </w:pPr>
            <w:r>
              <w:rPr>
                <w:color w:val="000000"/>
              </w:rPr>
              <w:t>Information</w:t>
            </w:r>
          </w:p>
        </w:tc>
        <w:tc>
          <w:tcPr>
            <w:tcW w:w="1260" w:type="dxa"/>
          </w:tcPr>
          <w:p w14:paraId="6A47A46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8,832</w:t>
            </w:r>
          </w:p>
        </w:tc>
        <w:tc>
          <w:tcPr>
            <w:tcW w:w="1260" w:type="dxa"/>
          </w:tcPr>
          <w:p w14:paraId="5979D52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6,078</w:t>
            </w:r>
          </w:p>
        </w:tc>
        <w:tc>
          <w:tcPr>
            <w:tcW w:w="1163" w:type="dxa"/>
          </w:tcPr>
          <w:p w14:paraId="31F2668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w:t>
            </w:r>
          </w:p>
        </w:tc>
        <w:tc>
          <w:tcPr>
            <w:tcW w:w="977" w:type="dxa"/>
          </w:tcPr>
          <w:p w14:paraId="3B53EF1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w:t>
            </w:r>
          </w:p>
        </w:tc>
        <w:tc>
          <w:tcPr>
            <w:tcW w:w="1157" w:type="dxa"/>
          </w:tcPr>
          <w:p w14:paraId="1E08C32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0A479CF5" w14:textId="77777777" w:rsidTr="007C520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25" w:type="dxa"/>
          </w:tcPr>
          <w:p w14:paraId="2B5BFDE7" w14:textId="77777777" w:rsidR="00DC3841" w:rsidRDefault="00DC3841" w:rsidP="007C520D">
            <w:pPr>
              <w:spacing w:beforeAutospacing="1" w:afterAutospacing="1"/>
            </w:pPr>
            <w:r>
              <w:rPr>
                <w:color w:val="000000"/>
              </w:rPr>
              <w:t>Manufacturing</w:t>
            </w:r>
          </w:p>
        </w:tc>
        <w:tc>
          <w:tcPr>
            <w:tcW w:w="1260" w:type="dxa"/>
          </w:tcPr>
          <w:p w14:paraId="0328633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99,341</w:t>
            </w:r>
          </w:p>
        </w:tc>
        <w:tc>
          <w:tcPr>
            <w:tcW w:w="1260" w:type="dxa"/>
          </w:tcPr>
          <w:p w14:paraId="3F739FE2"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103,482</w:t>
            </w:r>
          </w:p>
        </w:tc>
        <w:tc>
          <w:tcPr>
            <w:tcW w:w="1163" w:type="dxa"/>
          </w:tcPr>
          <w:p w14:paraId="51C9659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19</w:t>
            </w:r>
          </w:p>
        </w:tc>
        <w:tc>
          <w:tcPr>
            <w:tcW w:w="977" w:type="dxa"/>
          </w:tcPr>
          <w:p w14:paraId="364B1D1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23</w:t>
            </w:r>
          </w:p>
        </w:tc>
        <w:tc>
          <w:tcPr>
            <w:tcW w:w="1157" w:type="dxa"/>
          </w:tcPr>
          <w:p w14:paraId="7AA7968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w:t>
            </w:r>
          </w:p>
        </w:tc>
      </w:tr>
      <w:tr w:rsidR="00DC3841" w14:paraId="2A759CB7" w14:textId="77777777" w:rsidTr="007C520D">
        <w:trPr>
          <w:trHeight w:val="307"/>
        </w:trPr>
        <w:tc>
          <w:tcPr>
            <w:cnfStyle w:val="001000000000" w:firstRow="0" w:lastRow="0" w:firstColumn="1" w:lastColumn="0" w:oddVBand="0" w:evenVBand="0" w:oddHBand="0" w:evenHBand="0" w:firstRowFirstColumn="0" w:firstRowLastColumn="0" w:lastRowFirstColumn="0" w:lastRowLastColumn="0"/>
            <w:tcW w:w="3325" w:type="dxa"/>
          </w:tcPr>
          <w:p w14:paraId="785D0EAF" w14:textId="77777777" w:rsidR="00DC3841" w:rsidRDefault="00DC3841" w:rsidP="007C520D">
            <w:pPr>
              <w:spacing w:beforeAutospacing="1" w:afterAutospacing="1"/>
            </w:pPr>
            <w:r>
              <w:rPr>
                <w:color w:val="000000"/>
              </w:rPr>
              <w:t>Other Services</w:t>
            </w:r>
          </w:p>
        </w:tc>
        <w:tc>
          <w:tcPr>
            <w:tcW w:w="1260" w:type="dxa"/>
          </w:tcPr>
          <w:p w14:paraId="25094BC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16,529</w:t>
            </w:r>
          </w:p>
        </w:tc>
        <w:tc>
          <w:tcPr>
            <w:tcW w:w="1260" w:type="dxa"/>
          </w:tcPr>
          <w:p w14:paraId="70ADFDF7"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12,273</w:t>
            </w:r>
          </w:p>
        </w:tc>
        <w:tc>
          <w:tcPr>
            <w:tcW w:w="1163" w:type="dxa"/>
          </w:tcPr>
          <w:p w14:paraId="5DF4EEA8"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3</w:t>
            </w:r>
          </w:p>
        </w:tc>
        <w:tc>
          <w:tcPr>
            <w:tcW w:w="977" w:type="dxa"/>
          </w:tcPr>
          <w:p w14:paraId="18747BAD"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3</w:t>
            </w:r>
          </w:p>
        </w:tc>
        <w:tc>
          <w:tcPr>
            <w:tcW w:w="1157" w:type="dxa"/>
          </w:tcPr>
          <w:p w14:paraId="47B94AC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41291587" w14:textId="77777777" w:rsidTr="007C520D">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3325" w:type="dxa"/>
          </w:tcPr>
          <w:p w14:paraId="7D09E0B5" w14:textId="77777777" w:rsidR="00DC3841" w:rsidRDefault="00DC3841" w:rsidP="007C520D">
            <w:pPr>
              <w:spacing w:beforeAutospacing="1" w:afterAutospacing="1"/>
            </w:pPr>
            <w:r>
              <w:rPr>
                <w:color w:val="000000"/>
              </w:rPr>
              <w:t>Professional, Scientific, Management Services</w:t>
            </w:r>
          </w:p>
        </w:tc>
        <w:tc>
          <w:tcPr>
            <w:tcW w:w="1260" w:type="dxa"/>
          </w:tcPr>
          <w:p w14:paraId="7EFE83D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29,119</w:t>
            </w:r>
          </w:p>
        </w:tc>
        <w:tc>
          <w:tcPr>
            <w:tcW w:w="1260" w:type="dxa"/>
          </w:tcPr>
          <w:p w14:paraId="05152508"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17,655</w:t>
            </w:r>
          </w:p>
        </w:tc>
        <w:tc>
          <w:tcPr>
            <w:tcW w:w="1163" w:type="dxa"/>
          </w:tcPr>
          <w:p w14:paraId="173A478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w:t>
            </w:r>
          </w:p>
        </w:tc>
        <w:tc>
          <w:tcPr>
            <w:tcW w:w="977" w:type="dxa"/>
          </w:tcPr>
          <w:p w14:paraId="31D5B7B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w:t>
            </w:r>
          </w:p>
        </w:tc>
        <w:tc>
          <w:tcPr>
            <w:tcW w:w="1157" w:type="dxa"/>
          </w:tcPr>
          <w:p w14:paraId="6EF4D1F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w:t>
            </w:r>
          </w:p>
        </w:tc>
      </w:tr>
      <w:tr w:rsidR="00DC3841" w14:paraId="3E30529A" w14:textId="77777777" w:rsidTr="007C520D">
        <w:trPr>
          <w:trHeight w:val="315"/>
        </w:trPr>
        <w:tc>
          <w:tcPr>
            <w:cnfStyle w:val="001000000000" w:firstRow="0" w:lastRow="0" w:firstColumn="1" w:lastColumn="0" w:oddVBand="0" w:evenVBand="0" w:oddHBand="0" w:evenHBand="0" w:firstRowFirstColumn="0" w:firstRowLastColumn="0" w:lastRowFirstColumn="0" w:lastRowLastColumn="0"/>
            <w:tcW w:w="3325" w:type="dxa"/>
          </w:tcPr>
          <w:p w14:paraId="602BB97A" w14:textId="77777777" w:rsidR="00DC3841" w:rsidRDefault="00DC3841" w:rsidP="007C520D">
            <w:pPr>
              <w:spacing w:beforeAutospacing="1" w:afterAutospacing="1"/>
            </w:pPr>
            <w:r>
              <w:rPr>
                <w:color w:val="000000"/>
              </w:rPr>
              <w:t>Public Administration</w:t>
            </w:r>
          </w:p>
        </w:tc>
        <w:tc>
          <w:tcPr>
            <w:tcW w:w="1260" w:type="dxa"/>
          </w:tcPr>
          <w:p w14:paraId="08776A9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c>
          <w:tcPr>
            <w:tcW w:w="1260" w:type="dxa"/>
          </w:tcPr>
          <w:p w14:paraId="6840101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c>
          <w:tcPr>
            <w:tcW w:w="1163" w:type="dxa"/>
          </w:tcPr>
          <w:p w14:paraId="7CB562B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c>
          <w:tcPr>
            <w:tcW w:w="977" w:type="dxa"/>
          </w:tcPr>
          <w:p w14:paraId="559A1BEB"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c>
          <w:tcPr>
            <w:tcW w:w="1157" w:type="dxa"/>
          </w:tcPr>
          <w:p w14:paraId="142DDAD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7A09C4E2" w14:textId="77777777" w:rsidTr="007C520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25" w:type="dxa"/>
          </w:tcPr>
          <w:p w14:paraId="5EDDAD25" w14:textId="77777777" w:rsidR="00DC3841" w:rsidRDefault="00DC3841" w:rsidP="007C520D">
            <w:pPr>
              <w:spacing w:beforeAutospacing="1" w:afterAutospacing="1"/>
            </w:pPr>
            <w:r>
              <w:rPr>
                <w:color w:val="000000"/>
              </w:rPr>
              <w:t>Retail Trade</w:t>
            </w:r>
          </w:p>
        </w:tc>
        <w:tc>
          <w:tcPr>
            <w:tcW w:w="1260" w:type="dxa"/>
          </w:tcPr>
          <w:p w14:paraId="79483E0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71,383</w:t>
            </w:r>
          </w:p>
        </w:tc>
        <w:tc>
          <w:tcPr>
            <w:tcW w:w="1260" w:type="dxa"/>
          </w:tcPr>
          <w:p w14:paraId="6381823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54,483</w:t>
            </w:r>
          </w:p>
        </w:tc>
        <w:tc>
          <w:tcPr>
            <w:tcW w:w="1163" w:type="dxa"/>
          </w:tcPr>
          <w:p w14:paraId="7A6D5DC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13</w:t>
            </w:r>
          </w:p>
        </w:tc>
        <w:tc>
          <w:tcPr>
            <w:tcW w:w="977" w:type="dxa"/>
          </w:tcPr>
          <w:p w14:paraId="50B4A24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12</w:t>
            </w:r>
          </w:p>
        </w:tc>
        <w:tc>
          <w:tcPr>
            <w:tcW w:w="1157" w:type="dxa"/>
          </w:tcPr>
          <w:p w14:paraId="3CC2036A"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w:t>
            </w:r>
          </w:p>
        </w:tc>
      </w:tr>
      <w:tr w:rsidR="00DC3841" w14:paraId="040BDF75" w14:textId="77777777" w:rsidTr="007C520D">
        <w:trPr>
          <w:trHeight w:val="323"/>
        </w:trPr>
        <w:tc>
          <w:tcPr>
            <w:cnfStyle w:val="001000000000" w:firstRow="0" w:lastRow="0" w:firstColumn="1" w:lastColumn="0" w:oddVBand="0" w:evenVBand="0" w:oddHBand="0" w:evenHBand="0" w:firstRowFirstColumn="0" w:firstRowLastColumn="0" w:lastRowFirstColumn="0" w:lastRowLastColumn="0"/>
            <w:tcW w:w="3325" w:type="dxa"/>
          </w:tcPr>
          <w:p w14:paraId="63D307F6" w14:textId="77777777" w:rsidR="00DC3841" w:rsidRDefault="00DC3841" w:rsidP="007C520D">
            <w:pPr>
              <w:spacing w:beforeAutospacing="1" w:afterAutospacing="1"/>
            </w:pPr>
            <w:r>
              <w:rPr>
                <w:color w:val="000000"/>
              </w:rPr>
              <w:t>Transportation and Warehousing</w:t>
            </w:r>
          </w:p>
        </w:tc>
        <w:tc>
          <w:tcPr>
            <w:tcW w:w="1260" w:type="dxa"/>
          </w:tcPr>
          <w:p w14:paraId="31E55DE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20,304</w:t>
            </w:r>
          </w:p>
        </w:tc>
        <w:tc>
          <w:tcPr>
            <w:tcW w:w="1260" w:type="dxa"/>
          </w:tcPr>
          <w:p w14:paraId="47514D13"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18,128</w:t>
            </w:r>
          </w:p>
        </w:tc>
        <w:tc>
          <w:tcPr>
            <w:tcW w:w="1163" w:type="dxa"/>
          </w:tcPr>
          <w:p w14:paraId="1506B50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w:t>
            </w:r>
          </w:p>
        </w:tc>
        <w:tc>
          <w:tcPr>
            <w:tcW w:w="977" w:type="dxa"/>
          </w:tcPr>
          <w:p w14:paraId="3D5BD9A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w:t>
            </w:r>
          </w:p>
        </w:tc>
        <w:tc>
          <w:tcPr>
            <w:tcW w:w="1157" w:type="dxa"/>
          </w:tcPr>
          <w:p w14:paraId="07B9F58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19143288" w14:textId="77777777" w:rsidTr="007C520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25" w:type="dxa"/>
          </w:tcPr>
          <w:p w14:paraId="56884892" w14:textId="77777777" w:rsidR="00DC3841" w:rsidRDefault="00DC3841" w:rsidP="007C520D">
            <w:pPr>
              <w:spacing w:beforeAutospacing="1" w:afterAutospacing="1"/>
            </w:pPr>
            <w:r>
              <w:rPr>
                <w:color w:val="000000"/>
              </w:rPr>
              <w:t>Wholesale Trade</w:t>
            </w:r>
          </w:p>
        </w:tc>
        <w:tc>
          <w:tcPr>
            <w:tcW w:w="1260" w:type="dxa"/>
          </w:tcPr>
          <w:p w14:paraId="4554E44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29,378</w:t>
            </w:r>
          </w:p>
        </w:tc>
        <w:tc>
          <w:tcPr>
            <w:tcW w:w="1260" w:type="dxa"/>
          </w:tcPr>
          <w:p w14:paraId="64C740F3"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26,018</w:t>
            </w:r>
          </w:p>
        </w:tc>
        <w:tc>
          <w:tcPr>
            <w:tcW w:w="1163" w:type="dxa"/>
          </w:tcPr>
          <w:p w14:paraId="4B13A87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w:t>
            </w:r>
          </w:p>
        </w:tc>
        <w:tc>
          <w:tcPr>
            <w:tcW w:w="977" w:type="dxa"/>
          </w:tcPr>
          <w:p w14:paraId="4C3265D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6</w:t>
            </w:r>
          </w:p>
        </w:tc>
        <w:tc>
          <w:tcPr>
            <w:tcW w:w="1157" w:type="dxa"/>
          </w:tcPr>
          <w:p w14:paraId="447A0B6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w:t>
            </w:r>
          </w:p>
        </w:tc>
      </w:tr>
      <w:tr w:rsidR="00DC3841" w14:paraId="5624951E" w14:textId="77777777" w:rsidTr="007C520D">
        <w:trPr>
          <w:cnfStyle w:val="010000000000" w:firstRow="0" w:lastRow="1"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25" w:type="dxa"/>
          </w:tcPr>
          <w:p w14:paraId="36E34327" w14:textId="77777777" w:rsidR="00DC3841" w:rsidRDefault="00DC3841" w:rsidP="007C520D">
            <w:pPr>
              <w:spacing w:beforeAutospacing="1" w:afterAutospacing="1"/>
            </w:pPr>
            <w:r>
              <w:rPr>
                <w:color w:val="000000"/>
              </w:rPr>
              <w:t>Total</w:t>
            </w:r>
          </w:p>
        </w:tc>
        <w:tc>
          <w:tcPr>
            <w:tcW w:w="1260" w:type="dxa"/>
          </w:tcPr>
          <w:p w14:paraId="47940E67"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color w:val="000000"/>
              </w:rPr>
              <w:t>504,572</w:t>
            </w:r>
          </w:p>
        </w:tc>
        <w:tc>
          <w:tcPr>
            <w:tcW w:w="1260" w:type="dxa"/>
          </w:tcPr>
          <w:p w14:paraId="15F95A17"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color w:val="000000"/>
              </w:rPr>
              <w:t>422,219</w:t>
            </w:r>
          </w:p>
        </w:tc>
        <w:tc>
          <w:tcPr>
            <w:tcW w:w="1163" w:type="dxa"/>
          </w:tcPr>
          <w:p w14:paraId="1A01E193"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color w:val="000000"/>
              </w:rPr>
              <w:t>--</w:t>
            </w:r>
          </w:p>
        </w:tc>
        <w:tc>
          <w:tcPr>
            <w:tcW w:w="977" w:type="dxa"/>
          </w:tcPr>
          <w:p w14:paraId="5537873D"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color w:val="000000"/>
              </w:rPr>
              <w:t>--</w:t>
            </w:r>
          </w:p>
        </w:tc>
        <w:tc>
          <w:tcPr>
            <w:tcW w:w="1157" w:type="dxa"/>
          </w:tcPr>
          <w:p w14:paraId="4E4C09E6" w14:textId="77777777" w:rsidR="00DC3841" w:rsidRDefault="00DC3841" w:rsidP="007C520D">
            <w:pPr>
              <w:spacing w:beforeAutospacing="1" w:afterAutospacing="1"/>
              <w:jc w:val="right"/>
              <w:cnfStyle w:val="010000000000" w:firstRow="0" w:lastRow="1" w:firstColumn="0" w:lastColumn="0" w:oddVBand="0" w:evenVBand="0" w:oddHBand="0" w:evenHBand="0" w:firstRowFirstColumn="0" w:firstRowLastColumn="0" w:lastRowFirstColumn="0" w:lastRowLastColumn="0"/>
            </w:pPr>
            <w:r>
              <w:rPr>
                <w:color w:val="000000"/>
              </w:rPr>
              <w:t>--</w:t>
            </w:r>
          </w:p>
        </w:tc>
      </w:tr>
    </w:tbl>
    <w:tbl>
      <w:tblPr>
        <w:tblW w:w="5000" w:type="pct"/>
        <w:tblInd w:w="115" w:type="dxa"/>
        <w:tblLook w:val="01E0" w:firstRow="1" w:lastRow="1" w:firstColumn="1" w:lastColumn="1" w:noHBand="0" w:noVBand="0"/>
      </w:tblPr>
      <w:tblGrid>
        <w:gridCol w:w="9360"/>
      </w:tblGrid>
      <w:tr w:rsidR="00DC3841" w14:paraId="57452B08" w14:textId="77777777" w:rsidTr="007C520D">
        <w:trPr>
          <w:cantSplit/>
        </w:trPr>
        <w:tc>
          <w:tcPr>
            <w:tcW w:w="13176" w:type="dxa"/>
          </w:tcPr>
          <w:p w14:paraId="54799490" w14:textId="77777777" w:rsidR="00DC3841" w:rsidRPr="004232E3" w:rsidRDefault="00DC3841" w:rsidP="007C520D">
            <w:pPr>
              <w:spacing w:after="0" w:line="240" w:lineRule="auto"/>
              <w:rPr>
                <w:rFonts w:asciiTheme="minorHAnsi" w:hAnsiTheme="minorHAnsi"/>
                <w:i/>
                <w:sz w:val="18"/>
              </w:rPr>
            </w:pPr>
            <w:r w:rsidRPr="00D94C4D">
              <w:rPr>
                <w:rFonts w:asciiTheme="minorHAnsi" w:hAnsiTheme="minorHAnsi"/>
                <w:i/>
                <w:sz w:val="18"/>
              </w:rPr>
              <w:t>Source: 2009-2013 ACS (Workers), 2013 Longitudinal Employer-Household Dynamics (Jobs)</w:t>
            </w:r>
          </w:p>
        </w:tc>
      </w:tr>
    </w:tbl>
    <w:p w14:paraId="1390C021" w14:textId="77777777" w:rsidR="00DC3841" w:rsidRDefault="00DC3841" w:rsidP="00DC3841">
      <w:pPr>
        <w:keepNext/>
        <w:widowControl w:val="0"/>
        <w:spacing w:after="0" w:line="240" w:lineRule="auto"/>
        <w:rPr>
          <w:rFonts w:asciiTheme="minorHAnsi" w:hAnsiTheme="minorHAnsi"/>
          <w:b/>
          <w:vanish/>
          <w:sz w:val="20"/>
        </w:rPr>
      </w:pPr>
    </w:p>
    <w:p w14:paraId="33276CE2" w14:textId="77777777" w:rsidR="00DC3841" w:rsidRDefault="00DC3841" w:rsidP="00DC3841">
      <w:pPr>
        <w:spacing w:line="240" w:lineRule="auto"/>
        <w:rPr>
          <w:rFonts w:asciiTheme="minorHAnsi" w:hAnsiTheme="minorHAnsi"/>
          <w:b/>
          <w:vanish/>
          <w:sz w:val="16"/>
        </w:rPr>
      </w:pPr>
    </w:p>
    <w:p w14:paraId="0A88EB1A" w14:textId="77777777" w:rsidR="00DC3841" w:rsidRDefault="00DC3841" w:rsidP="00DC3841">
      <w:pPr>
        <w:keepNext/>
        <w:widowControl w:val="0"/>
        <w:tabs>
          <w:tab w:val="left" w:pos="763"/>
        </w:tabs>
        <w:spacing w:line="240" w:lineRule="auto"/>
        <w:contextualSpacing/>
        <w:rPr>
          <w:rFonts w:asciiTheme="minorHAnsi" w:hAnsiTheme="minorHAnsi"/>
        </w:rPr>
      </w:pPr>
    </w:p>
    <w:p w14:paraId="41B0057C" w14:textId="77777777" w:rsidR="00DC3841" w:rsidRPr="004232E3" w:rsidRDefault="00DC3841" w:rsidP="00DC3841">
      <w:pPr>
        <w:keepNext/>
        <w:widowControl w:val="0"/>
        <w:tabs>
          <w:tab w:val="left" w:pos="763"/>
        </w:tabs>
        <w:spacing w:line="240" w:lineRule="auto"/>
        <w:contextualSpacing/>
        <w:rPr>
          <w:rFonts w:asciiTheme="minorHAnsi" w:hAnsiTheme="minorHAnsi"/>
        </w:rPr>
      </w:pPr>
      <w:r>
        <w:rPr>
          <w:rFonts w:asciiTheme="minorHAnsi" w:hAnsiTheme="minorHAnsi"/>
          <w:b/>
          <w:sz w:val="24"/>
        </w:rPr>
        <w:t>Table 16 – Labor Force</w:t>
      </w:r>
    </w:p>
    <w:tbl>
      <w:tblPr>
        <w:tblStyle w:val="GridTable4-Accent1"/>
        <w:tblW w:w="5001" w:type="pct"/>
        <w:tblLook w:val="04A0" w:firstRow="1" w:lastRow="0" w:firstColumn="1" w:lastColumn="0" w:noHBand="0" w:noVBand="1"/>
      </w:tblPr>
      <w:tblGrid>
        <w:gridCol w:w="4462"/>
        <w:gridCol w:w="4890"/>
      </w:tblGrid>
      <w:tr w:rsidR="00DC3841" w14:paraId="54C627E9" w14:textId="77777777" w:rsidTr="007C520D">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557" w:type="dxa"/>
          </w:tcPr>
          <w:p w14:paraId="18CF3300" w14:textId="77777777" w:rsidR="00DC3841" w:rsidRDefault="00DC3841" w:rsidP="007C520D">
            <w:pPr>
              <w:keepNext/>
              <w:widowControl w:val="0"/>
              <w:spacing w:after="0" w:line="240" w:lineRule="auto"/>
              <w:contextualSpacing/>
              <w:rPr>
                <w:rFonts w:asciiTheme="minorHAnsi" w:hAnsiTheme="minorHAnsi"/>
                <w:vanish/>
                <w:sz w:val="4"/>
              </w:rPr>
            </w:pPr>
          </w:p>
        </w:tc>
        <w:tc>
          <w:tcPr>
            <w:tcW w:w="5021" w:type="dxa"/>
          </w:tcPr>
          <w:p w14:paraId="5FE44F61"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vanish/>
                <w:sz w:val="4"/>
              </w:rPr>
            </w:pPr>
          </w:p>
        </w:tc>
      </w:tr>
      <w:tr w:rsidR="00DC3841" w14:paraId="72B9DA3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F5F028" w14:textId="77777777" w:rsidR="00DC3841" w:rsidRPr="00A24BDC" w:rsidRDefault="00DC3841" w:rsidP="007C520D">
            <w:pPr>
              <w:spacing w:afterAutospacing="1" w:line="240" w:lineRule="auto"/>
              <w:contextualSpacing/>
              <w:rPr>
                <w:b w:val="0"/>
              </w:rPr>
            </w:pPr>
            <w:r w:rsidRPr="00A24BDC">
              <w:rPr>
                <w:b w:val="0"/>
                <w:color w:val="000000"/>
              </w:rPr>
              <w:t>Total Population in the Civilian Labor Force</w:t>
            </w:r>
          </w:p>
        </w:tc>
        <w:tc>
          <w:tcPr>
            <w:tcW w:w="0" w:type="auto"/>
          </w:tcPr>
          <w:p w14:paraId="060B188F" w14:textId="77777777" w:rsidR="00DC3841" w:rsidRDefault="00DC3841" w:rsidP="007C520D">
            <w:pPr>
              <w:spacing w:afterAutospacing="1" w:line="240" w:lineRule="auto"/>
              <w:contextualSpacing/>
              <w:jc w:val="right"/>
              <w:cnfStyle w:val="000000100000" w:firstRow="0" w:lastRow="0" w:firstColumn="0" w:lastColumn="0" w:oddVBand="0" w:evenVBand="0" w:oddHBand="1" w:evenHBand="0" w:firstRowFirstColumn="0" w:firstRowLastColumn="0" w:lastRowFirstColumn="0" w:lastRowLastColumn="0"/>
            </w:pPr>
            <w:r>
              <w:rPr>
                <w:color w:val="000000"/>
              </w:rPr>
              <w:t>748,137</w:t>
            </w:r>
          </w:p>
        </w:tc>
      </w:tr>
      <w:tr w:rsidR="00DC3841" w14:paraId="3ACCF4D5"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5EF69AD8" w14:textId="77777777" w:rsidR="00DC3841" w:rsidRPr="00A24BDC" w:rsidRDefault="00DC3841" w:rsidP="007C520D">
            <w:pPr>
              <w:spacing w:beforeAutospacing="1" w:afterAutospacing="1"/>
              <w:rPr>
                <w:b w:val="0"/>
              </w:rPr>
            </w:pPr>
            <w:r w:rsidRPr="00A24BDC">
              <w:rPr>
                <w:b w:val="0"/>
                <w:color w:val="000000"/>
              </w:rPr>
              <w:t>Civilian Employed Population 16 years and over</w:t>
            </w:r>
          </w:p>
        </w:tc>
        <w:tc>
          <w:tcPr>
            <w:tcW w:w="0" w:type="auto"/>
          </w:tcPr>
          <w:p w14:paraId="359F495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701,608</w:t>
            </w:r>
          </w:p>
        </w:tc>
      </w:tr>
      <w:tr w:rsidR="00DC3841" w14:paraId="02C7ECF6"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D956A2" w14:textId="77777777" w:rsidR="00DC3841" w:rsidRPr="00A24BDC" w:rsidRDefault="00DC3841" w:rsidP="007C520D">
            <w:pPr>
              <w:spacing w:beforeAutospacing="1" w:afterAutospacing="1"/>
              <w:rPr>
                <w:b w:val="0"/>
              </w:rPr>
            </w:pPr>
            <w:r w:rsidRPr="00A24BDC">
              <w:rPr>
                <w:b w:val="0"/>
                <w:color w:val="000000"/>
              </w:rPr>
              <w:t>Unemployment Rate</w:t>
            </w:r>
          </w:p>
        </w:tc>
        <w:tc>
          <w:tcPr>
            <w:tcW w:w="0" w:type="auto"/>
          </w:tcPr>
          <w:p w14:paraId="23DD7B1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6.22</w:t>
            </w:r>
          </w:p>
        </w:tc>
      </w:tr>
      <w:tr w:rsidR="00DC3841" w14:paraId="0FE6C40F"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4ADA5768" w14:textId="77777777" w:rsidR="00DC3841" w:rsidRPr="00A24BDC" w:rsidRDefault="00DC3841" w:rsidP="007C520D">
            <w:pPr>
              <w:spacing w:beforeAutospacing="1" w:afterAutospacing="1"/>
              <w:rPr>
                <w:b w:val="0"/>
              </w:rPr>
            </w:pPr>
            <w:r w:rsidRPr="00A24BDC">
              <w:rPr>
                <w:b w:val="0"/>
                <w:color w:val="000000"/>
              </w:rPr>
              <w:t>Unemployment Rate for Ages 16-24</w:t>
            </w:r>
          </w:p>
        </w:tc>
        <w:tc>
          <w:tcPr>
            <w:tcW w:w="0" w:type="auto"/>
          </w:tcPr>
          <w:p w14:paraId="355819E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17.62</w:t>
            </w:r>
          </w:p>
        </w:tc>
      </w:tr>
      <w:tr w:rsidR="00DC3841" w14:paraId="618AC10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FC20B5" w14:textId="77777777" w:rsidR="00DC3841" w:rsidRPr="00A24BDC" w:rsidRDefault="00DC3841" w:rsidP="007C520D">
            <w:pPr>
              <w:spacing w:beforeAutospacing="1" w:afterAutospacing="1"/>
              <w:rPr>
                <w:b w:val="0"/>
              </w:rPr>
            </w:pPr>
            <w:r w:rsidRPr="00A24BDC">
              <w:rPr>
                <w:b w:val="0"/>
                <w:color w:val="000000"/>
              </w:rPr>
              <w:t>Unemployment Rate for Ages 25-65</w:t>
            </w:r>
          </w:p>
        </w:tc>
        <w:tc>
          <w:tcPr>
            <w:tcW w:w="0" w:type="auto"/>
          </w:tcPr>
          <w:p w14:paraId="3D7F8E81"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4.10</w:t>
            </w:r>
          </w:p>
        </w:tc>
      </w:tr>
    </w:tbl>
    <w:p w14:paraId="231C2567" w14:textId="77777777" w:rsidR="00DC3841" w:rsidRDefault="00DC3841" w:rsidP="00DC3841">
      <w:pPr>
        <w:keepNext/>
        <w:widowControl w:val="0"/>
        <w:spacing w:after="0" w:line="240" w:lineRule="auto"/>
        <w:rPr>
          <w:rFonts w:asciiTheme="minorHAnsi" w:hAnsiTheme="minorHAnsi"/>
          <w:b/>
          <w:sz w:val="20"/>
        </w:rPr>
      </w:pPr>
      <w:r w:rsidRPr="00D94C4D">
        <w:rPr>
          <w:rFonts w:asciiTheme="minorHAnsi" w:hAnsiTheme="minorHAnsi"/>
          <w:i/>
          <w:sz w:val="18"/>
        </w:rPr>
        <w:t>Source: 2009-2013 ACS</w:t>
      </w:r>
    </w:p>
    <w:p w14:paraId="09D39D90" w14:textId="77777777" w:rsidR="00DC3841" w:rsidRDefault="00DC3841" w:rsidP="00DC3841">
      <w:pPr>
        <w:keepNext/>
        <w:widowControl w:val="0"/>
        <w:spacing w:after="0" w:line="240" w:lineRule="auto"/>
        <w:rPr>
          <w:rFonts w:asciiTheme="minorHAnsi" w:hAnsiTheme="minorHAnsi"/>
          <w:b/>
          <w:sz w:val="20"/>
        </w:rPr>
      </w:pPr>
    </w:p>
    <w:p w14:paraId="1650592F" w14:textId="77777777" w:rsidR="00DC3841" w:rsidRPr="00A24BDC" w:rsidRDefault="00DC3841" w:rsidP="00DC3841">
      <w:pPr>
        <w:keepNext/>
        <w:widowControl w:val="0"/>
        <w:spacing w:after="0" w:line="240" w:lineRule="auto"/>
        <w:rPr>
          <w:rFonts w:asciiTheme="minorHAnsi" w:hAnsiTheme="minorHAnsi"/>
          <w:b/>
          <w:sz w:val="20"/>
        </w:rPr>
      </w:pPr>
      <w:r>
        <w:rPr>
          <w:rFonts w:asciiTheme="minorHAnsi" w:hAnsiTheme="minorHAnsi"/>
          <w:b/>
          <w:sz w:val="24"/>
        </w:rPr>
        <w:t>Table 17 – Occupations by Sector</w:t>
      </w:r>
    </w:p>
    <w:tbl>
      <w:tblPr>
        <w:tblStyle w:val="GridTable4-Accent1"/>
        <w:tblW w:w="5000" w:type="pct"/>
        <w:tblLayout w:type="fixed"/>
        <w:tblLook w:val="04A0" w:firstRow="1" w:lastRow="0" w:firstColumn="1" w:lastColumn="0" w:noHBand="0" w:noVBand="1"/>
      </w:tblPr>
      <w:tblGrid>
        <w:gridCol w:w="4444"/>
        <w:gridCol w:w="4906"/>
      </w:tblGrid>
      <w:tr w:rsidR="00DC3841" w14:paraId="04BDB642"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1" w:type="dxa"/>
          </w:tcPr>
          <w:p w14:paraId="237A1892" w14:textId="77777777" w:rsidR="00DC3841" w:rsidRDefault="00DC3841" w:rsidP="007C520D">
            <w:pPr>
              <w:keepNext/>
              <w:widowControl w:val="0"/>
              <w:rPr>
                <w:b w:val="0"/>
              </w:rPr>
            </w:pPr>
            <w:r>
              <w:t>Occupations by Sector</w:t>
            </w:r>
          </w:p>
        </w:tc>
        <w:tc>
          <w:tcPr>
            <w:tcW w:w="5025" w:type="dxa"/>
          </w:tcPr>
          <w:p w14:paraId="1E0D713B"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b w:val="0"/>
                <w:vanish/>
              </w:rPr>
            </w:pPr>
            <w:r>
              <w:t>Number of People</w:t>
            </w:r>
            <w:r>
              <w:rPr>
                <w:vanish/>
              </w:rPr>
              <w:t>Median Income</w:t>
            </w:r>
          </w:p>
        </w:tc>
      </w:tr>
      <w:tr w:rsidR="00DC3841" w14:paraId="65551D6B"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1" w:type="dxa"/>
          </w:tcPr>
          <w:p w14:paraId="7D05C2F0" w14:textId="77777777" w:rsidR="00DC3841" w:rsidRPr="00A24BDC" w:rsidRDefault="00DC3841" w:rsidP="007C520D">
            <w:pPr>
              <w:spacing w:beforeAutospacing="1" w:afterAutospacing="1"/>
              <w:rPr>
                <w:b w:val="0"/>
              </w:rPr>
            </w:pPr>
            <w:r w:rsidRPr="00A24BDC">
              <w:rPr>
                <w:b w:val="0"/>
                <w:color w:val="000000"/>
              </w:rPr>
              <w:t>Management, business and financial</w:t>
            </w:r>
          </w:p>
        </w:tc>
        <w:tc>
          <w:tcPr>
            <w:tcW w:w="5025" w:type="dxa"/>
          </w:tcPr>
          <w:p w14:paraId="61145D88" w14:textId="77777777" w:rsidR="00DC3841" w:rsidRPr="00A24BDC"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sidRPr="00A24BDC">
              <w:rPr>
                <w:color w:val="000000"/>
              </w:rPr>
              <w:t>140,409</w:t>
            </w:r>
          </w:p>
        </w:tc>
      </w:tr>
      <w:tr w:rsidR="00DC3841" w14:paraId="043DCCF7" w14:textId="77777777" w:rsidTr="007C520D">
        <w:tc>
          <w:tcPr>
            <w:cnfStyle w:val="001000000000" w:firstRow="0" w:lastRow="0" w:firstColumn="1" w:lastColumn="0" w:oddVBand="0" w:evenVBand="0" w:oddHBand="0" w:evenHBand="0" w:firstRowFirstColumn="0" w:firstRowLastColumn="0" w:lastRowFirstColumn="0" w:lastRowLastColumn="0"/>
            <w:tcW w:w="4551" w:type="dxa"/>
          </w:tcPr>
          <w:p w14:paraId="0D568B1C" w14:textId="77777777" w:rsidR="00DC3841" w:rsidRPr="00A24BDC" w:rsidRDefault="00DC3841" w:rsidP="007C520D">
            <w:pPr>
              <w:spacing w:beforeAutospacing="1" w:afterAutospacing="1"/>
              <w:rPr>
                <w:b w:val="0"/>
              </w:rPr>
            </w:pPr>
            <w:r w:rsidRPr="00A24BDC">
              <w:rPr>
                <w:b w:val="0"/>
                <w:color w:val="000000"/>
              </w:rPr>
              <w:t>Farming, fisheries and forestry occupations</w:t>
            </w:r>
          </w:p>
        </w:tc>
        <w:tc>
          <w:tcPr>
            <w:tcW w:w="5025" w:type="dxa"/>
          </w:tcPr>
          <w:p w14:paraId="4C23609A" w14:textId="77777777" w:rsidR="00DC3841" w:rsidRPr="00A24BDC"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sidRPr="00A24BDC">
              <w:rPr>
                <w:color w:val="000000"/>
              </w:rPr>
              <w:t>23,783</w:t>
            </w:r>
          </w:p>
        </w:tc>
      </w:tr>
      <w:tr w:rsidR="00DC3841" w14:paraId="188AD64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1" w:type="dxa"/>
          </w:tcPr>
          <w:p w14:paraId="51ECCB1D" w14:textId="77777777" w:rsidR="00DC3841" w:rsidRPr="00A24BDC" w:rsidRDefault="00DC3841" w:rsidP="007C520D">
            <w:pPr>
              <w:spacing w:beforeAutospacing="1" w:afterAutospacing="1"/>
              <w:rPr>
                <w:b w:val="0"/>
              </w:rPr>
            </w:pPr>
            <w:r w:rsidRPr="00A24BDC">
              <w:rPr>
                <w:b w:val="0"/>
                <w:color w:val="000000"/>
              </w:rPr>
              <w:t>Service</w:t>
            </w:r>
          </w:p>
        </w:tc>
        <w:tc>
          <w:tcPr>
            <w:tcW w:w="5025" w:type="dxa"/>
          </w:tcPr>
          <w:p w14:paraId="0438F7E6" w14:textId="77777777" w:rsidR="00DC3841" w:rsidRPr="00A24BDC"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sidRPr="00A24BDC">
              <w:rPr>
                <w:color w:val="000000"/>
              </w:rPr>
              <w:t>76,946</w:t>
            </w:r>
          </w:p>
        </w:tc>
      </w:tr>
      <w:tr w:rsidR="00DC3841" w14:paraId="18982F2E" w14:textId="77777777" w:rsidTr="007C520D">
        <w:tc>
          <w:tcPr>
            <w:cnfStyle w:val="001000000000" w:firstRow="0" w:lastRow="0" w:firstColumn="1" w:lastColumn="0" w:oddVBand="0" w:evenVBand="0" w:oddHBand="0" w:evenHBand="0" w:firstRowFirstColumn="0" w:firstRowLastColumn="0" w:lastRowFirstColumn="0" w:lastRowLastColumn="0"/>
            <w:tcW w:w="4551" w:type="dxa"/>
          </w:tcPr>
          <w:p w14:paraId="214BEDBD" w14:textId="77777777" w:rsidR="00DC3841" w:rsidRPr="00A24BDC" w:rsidRDefault="00DC3841" w:rsidP="007C520D">
            <w:pPr>
              <w:spacing w:beforeAutospacing="1" w:afterAutospacing="1"/>
              <w:rPr>
                <w:b w:val="0"/>
              </w:rPr>
            </w:pPr>
            <w:r w:rsidRPr="00A24BDC">
              <w:rPr>
                <w:b w:val="0"/>
                <w:color w:val="000000"/>
              </w:rPr>
              <w:t>Sales and office</w:t>
            </w:r>
          </w:p>
        </w:tc>
        <w:tc>
          <w:tcPr>
            <w:tcW w:w="5025" w:type="dxa"/>
          </w:tcPr>
          <w:p w14:paraId="78EC341D" w14:textId="77777777" w:rsidR="00DC3841" w:rsidRPr="00A24BDC"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sidRPr="00A24BDC">
              <w:rPr>
                <w:color w:val="000000"/>
              </w:rPr>
              <w:t>156,079</w:t>
            </w:r>
          </w:p>
        </w:tc>
      </w:tr>
      <w:tr w:rsidR="00DC3841" w14:paraId="33F9326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1" w:type="dxa"/>
          </w:tcPr>
          <w:p w14:paraId="2156A7E4" w14:textId="77777777" w:rsidR="00DC3841" w:rsidRPr="00A24BDC" w:rsidRDefault="00DC3841" w:rsidP="007C520D">
            <w:pPr>
              <w:spacing w:beforeAutospacing="1" w:afterAutospacing="1"/>
              <w:rPr>
                <w:b w:val="0"/>
              </w:rPr>
            </w:pPr>
            <w:r w:rsidRPr="00A24BDC">
              <w:rPr>
                <w:b w:val="0"/>
                <w:color w:val="000000"/>
              </w:rPr>
              <w:t>Construction, extraction, maintenance and repair</w:t>
            </w:r>
          </w:p>
        </w:tc>
        <w:tc>
          <w:tcPr>
            <w:tcW w:w="5025" w:type="dxa"/>
          </w:tcPr>
          <w:p w14:paraId="1473A7CD" w14:textId="77777777" w:rsidR="00DC3841" w:rsidRPr="00A24BDC"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sidRPr="00A24BDC">
              <w:rPr>
                <w:color w:val="000000"/>
              </w:rPr>
              <w:t>83,647</w:t>
            </w:r>
          </w:p>
        </w:tc>
      </w:tr>
      <w:tr w:rsidR="00DC3841" w14:paraId="795C30A1" w14:textId="77777777" w:rsidTr="007C520D">
        <w:tc>
          <w:tcPr>
            <w:cnfStyle w:val="001000000000" w:firstRow="0" w:lastRow="0" w:firstColumn="1" w:lastColumn="0" w:oddVBand="0" w:evenVBand="0" w:oddHBand="0" w:evenHBand="0" w:firstRowFirstColumn="0" w:firstRowLastColumn="0" w:lastRowFirstColumn="0" w:lastRowLastColumn="0"/>
            <w:tcW w:w="4551" w:type="dxa"/>
          </w:tcPr>
          <w:p w14:paraId="7A0E4A9D" w14:textId="77777777" w:rsidR="00DC3841" w:rsidRPr="00A24BDC" w:rsidRDefault="00DC3841" w:rsidP="007C520D">
            <w:pPr>
              <w:spacing w:beforeAutospacing="1" w:afterAutospacing="1"/>
              <w:rPr>
                <w:b w:val="0"/>
              </w:rPr>
            </w:pPr>
            <w:r w:rsidRPr="00A24BDC">
              <w:rPr>
                <w:b w:val="0"/>
                <w:color w:val="000000"/>
              </w:rPr>
              <w:t>Production, transportation and material moving</w:t>
            </w:r>
          </w:p>
        </w:tc>
        <w:tc>
          <w:tcPr>
            <w:tcW w:w="5025" w:type="dxa"/>
          </w:tcPr>
          <w:p w14:paraId="11515CA7" w14:textId="77777777" w:rsidR="00DC3841" w:rsidRPr="00A24BDC"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sidRPr="00A24BDC">
              <w:rPr>
                <w:color w:val="000000"/>
              </w:rPr>
              <w:t>52,470</w:t>
            </w:r>
          </w:p>
        </w:tc>
      </w:tr>
    </w:tbl>
    <w:p w14:paraId="60C29902" w14:textId="77777777" w:rsidR="00DC3841" w:rsidRDefault="00DC3841" w:rsidP="00DC3841">
      <w:pPr>
        <w:keepNext/>
        <w:widowControl w:val="0"/>
        <w:spacing w:after="0" w:line="240" w:lineRule="auto"/>
        <w:rPr>
          <w:rFonts w:asciiTheme="minorHAnsi" w:hAnsiTheme="minorHAnsi"/>
          <w:b/>
          <w:vanish/>
          <w:sz w:val="20"/>
        </w:rPr>
      </w:pPr>
      <w:r w:rsidRPr="00D94C4D">
        <w:rPr>
          <w:rFonts w:asciiTheme="minorHAnsi" w:hAnsiTheme="minorHAnsi"/>
          <w:i/>
          <w:sz w:val="18"/>
        </w:rPr>
        <w:t>Source: 2009-2013 ACS</w:t>
      </w:r>
    </w:p>
    <w:p w14:paraId="2474B9C5" w14:textId="77777777" w:rsidR="00DC3841" w:rsidRDefault="00DC3841" w:rsidP="00DC3841">
      <w:pPr>
        <w:rPr>
          <w:rFonts w:asciiTheme="minorHAnsi" w:hAnsiTheme="minorHAnsi"/>
          <w:b/>
          <w:vanish/>
          <w:sz w:val="16"/>
        </w:rPr>
      </w:pPr>
    </w:p>
    <w:p w14:paraId="2D077E74" w14:textId="77777777" w:rsidR="00DC3841" w:rsidRDefault="00DC3841" w:rsidP="00DC3841">
      <w:pPr>
        <w:rPr>
          <w:rFonts w:asciiTheme="minorHAnsi" w:hAnsiTheme="minorHAnsi"/>
          <w:b/>
          <w:sz w:val="20"/>
        </w:rPr>
      </w:pPr>
    </w:p>
    <w:p w14:paraId="138AF159" w14:textId="77777777" w:rsidR="00DC3841"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18 – Travel Time</w:t>
      </w:r>
    </w:p>
    <w:tbl>
      <w:tblPr>
        <w:tblStyle w:val="GridTable4-Accent1"/>
        <w:tblW w:w="5001" w:type="pct"/>
        <w:tblLook w:val="04A0" w:firstRow="1" w:lastRow="0" w:firstColumn="1" w:lastColumn="0" w:noHBand="0" w:noVBand="1"/>
      </w:tblPr>
      <w:tblGrid>
        <w:gridCol w:w="3050"/>
        <w:gridCol w:w="3146"/>
        <w:gridCol w:w="3156"/>
      </w:tblGrid>
      <w:tr w:rsidR="00DC3841" w14:paraId="080225B4"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14:paraId="5459A891" w14:textId="77777777" w:rsidR="00DC3841" w:rsidRDefault="00DC3841" w:rsidP="007C520D">
            <w:pPr>
              <w:keepNext/>
              <w:widowControl w:val="0"/>
              <w:spacing w:after="0" w:line="240" w:lineRule="auto"/>
              <w:contextualSpacing/>
              <w:rPr>
                <w:rFonts w:asciiTheme="minorHAnsi" w:hAnsiTheme="minorHAnsi"/>
                <w:b w:val="0"/>
              </w:rPr>
            </w:pPr>
            <w:r>
              <w:rPr>
                <w:rFonts w:asciiTheme="minorHAnsi" w:hAnsiTheme="minorHAnsi"/>
                <w:b w:val="0"/>
              </w:rPr>
              <w:t>Travel Time</w:t>
            </w:r>
          </w:p>
        </w:tc>
        <w:tc>
          <w:tcPr>
            <w:tcW w:w="3226" w:type="dxa"/>
          </w:tcPr>
          <w:p w14:paraId="0EA49639"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Number</w:t>
            </w:r>
          </w:p>
        </w:tc>
        <w:tc>
          <w:tcPr>
            <w:tcW w:w="3226" w:type="dxa"/>
          </w:tcPr>
          <w:p w14:paraId="5B23D07D"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Percentage</w:t>
            </w:r>
          </w:p>
        </w:tc>
      </w:tr>
      <w:tr w:rsidR="00DC3841" w14:paraId="76D68429"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6D1925" w14:textId="77777777" w:rsidR="00DC3841" w:rsidRPr="00A24BDC" w:rsidRDefault="00DC3841" w:rsidP="007C520D">
            <w:pPr>
              <w:spacing w:beforeAutospacing="1" w:afterAutospacing="1"/>
              <w:rPr>
                <w:b w:val="0"/>
              </w:rPr>
            </w:pPr>
            <w:r w:rsidRPr="00A24BDC">
              <w:rPr>
                <w:b w:val="0"/>
                <w:color w:val="000000"/>
              </w:rPr>
              <w:t>&lt; 30 Minutes</w:t>
            </w:r>
          </w:p>
        </w:tc>
        <w:tc>
          <w:tcPr>
            <w:tcW w:w="0" w:type="auto"/>
          </w:tcPr>
          <w:p w14:paraId="556A8778"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521,629</w:t>
            </w:r>
          </w:p>
        </w:tc>
        <w:tc>
          <w:tcPr>
            <w:tcW w:w="0" w:type="auto"/>
          </w:tcPr>
          <w:p w14:paraId="72DBD71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78%</w:t>
            </w:r>
          </w:p>
        </w:tc>
      </w:tr>
      <w:tr w:rsidR="00DC3841" w14:paraId="7DD24E8D"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1E9902C5" w14:textId="77777777" w:rsidR="00DC3841" w:rsidRPr="00A24BDC" w:rsidRDefault="00DC3841" w:rsidP="007C520D">
            <w:pPr>
              <w:spacing w:beforeAutospacing="1" w:afterAutospacing="1"/>
              <w:rPr>
                <w:b w:val="0"/>
              </w:rPr>
            </w:pPr>
            <w:r w:rsidRPr="00A24BDC">
              <w:rPr>
                <w:b w:val="0"/>
                <w:color w:val="000000"/>
              </w:rPr>
              <w:t>30-59 Minutes</w:t>
            </w:r>
          </w:p>
        </w:tc>
        <w:tc>
          <w:tcPr>
            <w:tcW w:w="0" w:type="auto"/>
          </w:tcPr>
          <w:p w14:paraId="6F0C0C5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121,151</w:t>
            </w:r>
          </w:p>
        </w:tc>
        <w:tc>
          <w:tcPr>
            <w:tcW w:w="0" w:type="auto"/>
          </w:tcPr>
          <w:p w14:paraId="3C4352F5"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18%</w:t>
            </w:r>
          </w:p>
        </w:tc>
      </w:tr>
      <w:tr w:rsidR="00DC3841" w14:paraId="20203C4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1C775B" w14:textId="77777777" w:rsidR="00DC3841" w:rsidRPr="00A24BDC" w:rsidRDefault="00DC3841" w:rsidP="007C520D">
            <w:pPr>
              <w:spacing w:beforeAutospacing="1" w:afterAutospacing="1"/>
              <w:rPr>
                <w:b w:val="0"/>
              </w:rPr>
            </w:pPr>
            <w:r w:rsidRPr="00A24BDC">
              <w:rPr>
                <w:b w:val="0"/>
                <w:color w:val="000000"/>
              </w:rPr>
              <w:t>60 or More Minutes</w:t>
            </w:r>
          </w:p>
        </w:tc>
        <w:tc>
          <w:tcPr>
            <w:tcW w:w="0" w:type="auto"/>
          </w:tcPr>
          <w:p w14:paraId="471B828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25,972</w:t>
            </w:r>
          </w:p>
        </w:tc>
        <w:tc>
          <w:tcPr>
            <w:tcW w:w="0" w:type="auto"/>
          </w:tcPr>
          <w:p w14:paraId="056C204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w:t>
            </w:r>
          </w:p>
        </w:tc>
      </w:tr>
      <w:tr w:rsidR="00DC3841" w14:paraId="23BA6FBC"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0FB672BA" w14:textId="77777777" w:rsidR="00DC3841" w:rsidRDefault="00DC3841" w:rsidP="007C520D">
            <w:pPr>
              <w:spacing w:beforeAutospacing="1" w:afterAutospacing="1"/>
            </w:pPr>
            <w:r>
              <w:rPr>
                <w:rFonts w:ascii="Verdana" w:hAnsi="Verdana"/>
                <w:b w:val="0"/>
                <w:i/>
                <w:color w:val="000000"/>
                <w:sz w:val="16"/>
              </w:rPr>
              <w:t>Total</w:t>
            </w:r>
          </w:p>
        </w:tc>
        <w:tc>
          <w:tcPr>
            <w:tcW w:w="0" w:type="auto"/>
          </w:tcPr>
          <w:p w14:paraId="655BFCB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rFonts w:ascii="Verdana" w:hAnsi="Verdana"/>
                <w:b/>
                <w:i/>
                <w:color w:val="000000"/>
                <w:sz w:val="16"/>
              </w:rPr>
              <w:t>668,752</w:t>
            </w:r>
          </w:p>
        </w:tc>
        <w:tc>
          <w:tcPr>
            <w:tcW w:w="0" w:type="auto"/>
          </w:tcPr>
          <w:p w14:paraId="14FC078D"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rFonts w:ascii="Verdana" w:hAnsi="Verdana"/>
                <w:b/>
                <w:i/>
                <w:color w:val="000000"/>
                <w:sz w:val="16"/>
              </w:rPr>
              <w:t>100%</w:t>
            </w:r>
          </w:p>
        </w:tc>
      </w:tr>
    </w:tbl>
    <w:p w14:paraId="425D4C06" w14:textId="77777777" w:rsidR="00DC3841" w:rsidRDefault="00DC3841" w:rsidP="00DC3841">
      <w:pPr>
        <w:keepNext/>
        <w:widowControl w:val="0"/>
        <w:spacing w:after="0" w:line="240" w:lineRule="auto"/>
        <w:rPr>
          <w:rFonts w:asciiTheme="minorHAnsi" w:hAnsiTheme="minorHAnsi"/>
          <w:b/>
          <w:vanish/>
          <w:sz w:val="20"/>
        </w:rPr>
      </w:pPr>
      <w:r w:rsidRPr="00D94C4D">
        <w:rPr>
          <w:rFonts w:asciiTheme="minorHAnsi" w:hAnsiTheme="minorHAnsi"/>
          <w:i/>
          <w:sz w:val="18"/>
        </w:rPr>
        <w:t>Source: 2009-2013 ACS</w:t>
      </w:r>
    </w:p>
    <w:p w14:paraId="103A5C06" w14:textId="77777777" w:rsidR="00DC3841" w:rsidRDefault="00DC3841" w:rsidP="00DC3841">
      <w:pPr>
        <w:rPr>
          <w:rFonts w:asciiTheme="minorHAnsi" w:hAnsiTheme="minorHAnsi"/>
          <w:b/>
          <w:vanish/>
          <w:sz w:val="16"/>
        </w:rPr>
      </w:pPr>
    </w:p>
    <w:p w14:paraId="29E8FD7D" w14:textId="77777777" w:rsidR="00DC3841" w:rsidRDefault="00DC3841" w:rsidP="00DC3841">
      <w:pPr>
        <w:rPr>
          <w:rFonts w:asciiTheme="minorHAnsi" w:hAnsiTheme="minorHAnsi"/>
        </w:rPr>
      </w:pPr>
    </w:p>
    <w:p w14:paraId="6A517DCC" w14:textId="77777777" w:rsidR="00DC3841" w:rsidRDefault="00DC3841" w:rsidP="00DC3841">
      <w:pPr>
        <w:keepNext/>
        <w:widowControl w:val="0"/>
        <w:rPr>
          <w:rFonts w:asciiTheme="minorHAnsi" w:hAnsiTheme="minorHAnsi"/>
          <w:b/>
          <w:sz w:val="24"/>
        </w:rPr>
      </w:pPr>
      <w:r>
        <w:rPr>
          <w:rFonts w:asciiTheme="minorHAnsi" w:hAnsiTheme="minorHAnsi"/>
          <w:b/>
          <w:sz w:val="24"/>
        </w:rPr>
        <w:t>Education:</w:t>
      </w:r>
    </w:p>
    <w:p w14:paraId="5353EFB2" w14:textId="77777777" w:rsidR="00DC3841" w:rsidRPr="00D94C4D" w:rsidRDefault="00DC3841" w:rsidP="00DC3841">
      <w:pPr>
        <w:keepNext/>
        <w:widowControl w:val="0"/>
        <w:spacing w:line="240" w:lineRule="auto"/>
        <w:contextualSpacing/>
        <w:rPr>
          <w:rFonts w:asciiTheme="minorHAnsi" w:hAnsiTheme="minorHAnsi"/>
          <w:b/>
          <w:sz w:val="24"/>
        </w:rPr>
      </w:pPr>
      <w:r w:rsidRPr="00D94C4D">
        <w:rPr>
          <w:rFonts w:asciiTheme="minorHAnsi" w:hAnsiTheme="minorHAnsi"/>
          <w:b/>
          <w:sz w:val="24"/>
        </w:rPr>
        <w:t>Table 1</w:t>
      </w:r>
      <w:r>
        <w:rPr>
          <w:rFonts w:asciiTheme="minorHAnsi" w:hAnsiTheme="minorHAnsi"/>
          <w:b/>
          <w:sz w:val="24"/>
        </w:rPr>
        <w:t>9</w:t>
      </w:r>
      <w:r w:rsidRPr="00D94C4D">
        <w:rPr>
          <w:rFonts w:asciiTheme="minorHAnsi" w:hAnsiTheme="minorHAnsi"/>
          <w:b/>
          <w:sz w:val="24"/>
        </w:rPr>
        <w:t xml:space="preserve"> – Educational Attainment by Employment Status (Population 16 and Older)</w:t>
      </w:r>
    </w:p>
    <w:tbl>
      <w:tblPr>
        <w:tblStyle w:val="GridTable4-Accent1"/>
        <w:tblW w:w="5000" w:type="pct"/>
        <w:tblLook w:val="04A0" w:firstRow="1" w:lastRow="0" w:firstColumn="1" w:lastColumn="0" w:noHBand="0" w:noVBand="1"/>
      </w:tblPr>
      <w:tblGrid>
        <w:gridCol w:w="3975"/>
        <w:gridCol w:w="1792"/>
        <w:gridCol w:w="1868"/>
        <w:gridCol w:w="1715"/>
      </w:tblGrid>
      <w:tr w:rsidR="00DC3841" w14:paraId="009F44D2"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dxa"/>
            <w:vMerge w:val="restart"/>
          </w:tcPr>
          <w:p w14:paraId="561F71C7" w14:textId="77777777" w:rsidR="00DC3841" w:rsidRDefault="00DC3841" w:rsidP="007C520D">
            <w:pPr>
              <w:keepNext/>
              <w:widowControl w:val="0"/>
              <w:spacing w:after="0" w:line="240" w:lineRule="auto"/>
              <w:jc w:val="center"/>
              <w:rPr>
                <w:rFonts w:asciiTheme="minorHAnsi" w:hAnsiTheme="minorHAnsi"/>
              </w:rPr>
            </w:pPr>
            <w:r>
              <w:rPr>
                <w:rFonts w:asciiTheme="minorHAnsi" w:hAnsiTheme="minorHAnsi"/>
                <w:b w:val="0"/>
              </w:rPr>
              <w:t>Educational Attainment</w:t>
            </w:r>
          </w:p>
        </w:tc>
        <w:tc>
          <w:tcPr>
            <w:tcW w:w="3731" w:type="dxa"/>
            <w:gridSpan w:val="2"/>
          </w:tcPr>
          <w:p w14:paraId="0F5CD1A3"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val="0"/>
              </w:rPr>
              <w:t>In Labor Force</w:t>
            </w:r>
          </w:p>
        </w:tc>
        <w:tc>
          <w:tcPr>
            <w:tcW w:w="1770" w:type="dxa"/>
          </w:tcPr>
          <w:p w14:paraId="76E314BB"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DC3841" w14:paraId="740E7035"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dxa"/>
            <w:vMerge/>
          </w:tcPr>
          <w:p w14:paraId="791FDB91" w14:textId="77777777" w:rsidR="00DC3841" w:rsidRDefault="00DC3841" w:rsidP="007C520D">
            <w:pPr>
              <w:keepNext/>
              <w:widowControl w:val="0"/>
              <w:spacing w:after="0" w:line="240" w:lineRule="auto"/>
              <w:jc w:val="center"/>
              <w:rPr>
                <w:rFonts w:asciiTheme="minorHAnsi" w:hAnsiTheme="minorHAnsi"/>
              </w:rPr>
            </w:pPr>
          </w:p>
        </w:tc>
        <w:tc>
          <w:tcPr>
            <w:tcW w:w="1833" w:type="dxa"/>
          </w:tcPr>
          <w:p w14:paraId="56373B1E" w14:textId="77777777" w:rsidR="00DC384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Civilian Employed</w:t>
            </w:r>
          </w:p>
        </w:tc>
        <w:tc>
          <w:tcPr>
            <w:tcW w:w="1898" w:type="dxa"/>
          </w:tcPr>
          <w:p w14:paraId="1FE3D36E" w14:textId="77777777" w:rsidR="00DC384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Unemployed</w:t>
            </w:r>
          </w:p>
        </w:tc>
        <w:tc>
          <w:tcPr>
            <w:tcW w:w="1770" w:type="dxa"/>
          </w:tcPr>
          <w:p w14:paraId="0232DB29" w14:textId="77777777" w:rsidR="00DC3841"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Not in Labor Force</w:t>
            </w:r>
          </w:p>
        </w:tc>
      </w:tr>
      <w:tr w:rsidR="00DC3841" w14:paraId="1B20C15E"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68F3A9EC" w14:textId="77777777" w:rsidR="00DC3841" w:rsidRPr="00A24BDC" w:rsidRDefault="00DC3841" w:rsidP="007C520D">
            <w:pPr>
              <w:spacing w:beforeAutospacing="1" w:afterAutospacing="1"/>
              <w:rPr>
                <w:b w:val="0"/>
              </w:rPr>
            </w:pPr>
            <w:r w:rsidRPr="00A24BDC">
              <w:rPr>
                <w:b w:val="0"/>
                <w:color w:val="000000"/>
              </w:rPr>
              <w:t>Less than high school graduate</w:t>
            </w:r>
          </w:p>
        </w:tc>
        <w:tc>
          <w:tcPr>
            <w:tcW w:w="0" w:type="auto"/>
          </w:tcPr>
          <w:p w14:paraId="66CABFA3"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42,160</w:t>
            </w:r>
          </w:p>
        </w:tc>
        <w:tc>
          <w:tcPr>
            <w:tcW w:w="0" w:type="auto"/>
          </w:tcPr>
          <w:p w14:paraId="0B26C88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4,843</w:t>
            </w:r>
          </w:p>
        </w:tc>
        <w:tc>
          <w:tcPr>
            <w:tcW w:w="0" w:type="auto"/>
          </w:tcPr>
          <w:p w14:paraId="69E8981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22,977</w:t>
            </w:r>
          </w:p>
        </w:tc>
      </w:tr>
      <w:tr w:rsidR="00DC3841" w14:paraId="4D853E21"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A70066" w14:textId="77777777" w:rsidR="00DC3841" w:rsidRPr="00A24BDC" w:rsidRDefault="00DC3841" w:rsidP="007C520D">
            <w:pPr>
              <w:spacing w:beforeAutospacing="1" w:afterAutospacing="1"/>
              <w:rPr>
                <w:b w:val="0"/>
              </w:rPr>
            </w:pPr>
            <w:r w:rsidRPr="00A24BDC">
              <w:rPr>
                <w:b w:val="0"/>
                <w:color w:val="000000"/>
              </w:rPr>
              <w:t>High school graduate (includes equivalency)</w:t>
            </w:r>
          </w:p>
        </w:tc>
        <w:tc>
          <w:tcPr>
            <w:tcW w:w="0" w:type="auto"/>
          </w:tcPr>
          <w:p w14:paraId="6BC72D4E"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153,620</w:t>
            </w:r>
          </w:p>
        </w:tc>
        <w:tc>
          <w:tcPr>
            <w:tcW w:w="0" w:type="auto"/>
          </w:tcPr>
          <w:p w14:paraId="53220AE3"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10,964</w:t>
            </w:r>
          </w:p>
        </w:tc>
        <w:tc>
          <w:tcPr>
            <w:tcW w:w="0" w:type="auto"/>
          </w:tcPr>
          <w:p w14:paraId="5C08828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48,380</w:t>
            </w:r>
          </w:p>
        </w:tc>
      </w:tr>
      <w:tr w:rsidR="00DC3841" w14:paraId="4DDB747F"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0BAD48D7" w14:textId="77777777" w:rsidR="00DC3841" w:rsidRPr="00A24BDC" w:rsidRDefault="00DC3841" w:rsidP="007C520D">
            <w:pPr>
              <w:spacing w:beforeAutospacing="1" w:afterAutospacing="1"/>
              <w:rPr>
                <w:b w:val="0"/>
              </w:rPr>
            </w:pPr>
            <w:r w:rsidRPr="00A24BDC">
              <w:rPr>
                <w:b w:val="0"/>
                <w:color w:val="000000"/>
              </w:rPr>
              <w:t>Some college or Associate's degree</w:t>
            </w:r>
          </w:p>
        </w:tc>
        <w:tc>
          <w:tcPr>
            <w:tcW w:w="0" w:type="auto"/>
          </w:tcPr>
          <w:p w14:paraId="11D0133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211,192</w:t>
            </w:r>
          </w:p>
        </w:tc>
        <w:tc>
          <w:tcPr>
            <w:tcW w:w="0" w:type="auto"/>
          </w:tcPr>
          <w:p w14:paraId="767DAD7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10,941</w:t>
            </w:r>
          </w:p>
        </w:tc>
        <w:tc>
          <w:tcPr>
            <w:tcW w:w="0" w:type="auto"/>
          </w:tcPr>
          <w:p w14:paraId="4E73DC69"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47,987</w:t>
            </w:r>
          </w:p>
        </w:tc>
      </w:tr>
      <w:tr w:rsidR="00DC3841" w14:paraId="00AFBA09"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1097F" w14:textId="77777777" w:rsidR="00DC3841" w:rsidRPr="00A24BDC" w:rsidRDefault="00DC3841" w:rsidP="007C520D">
            <w:pPr>
              <w:spacing w:beforeAutospacing="1" w:afterAutospacing="1"/>
              <w:rPr>
                <w:b w:val="0"/>
              </w:rPr>
            </w:pPr>
            <w:r w:rsidRPr="00A24BDC">
              <w:rPr>
                <w:b w:val="0"/>
                <w:color w:val="000000"/>
              </w:rPr>
              <w:t>Bachelor's degree or higher</w:t>
            </w:r>
          </w:p>
        </w:tc>
        <w:tc>
          <w:tcPr>
            <w:tcW w:w="0" w:type="auto"/>
          </w:tcPr>
          <w:p w14:paraId="63A6336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153,942</w:t>
            </w:r>
          </w:p>
        </w:tc>
        <w:tc>
          <w:tcPr>
            <w:tcW w:w="0" w:type="auto"/>
          </w:tcPr>
          <w:p w14:paraId="7A0F411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3,491</w:t>
            </w:r>
          </w:p>
        </w:tc>
        <w:tc>
          <w:tcPr>
            <w:tcW w:w="0" w:type="auto"/>
          </w:tcPr>
          <w:p w14:paraId="364142E2"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21,032</w:t>
            </w:r>
          </w:p>
        </w:tc>
      </w:tr>
    </w:tbl>
    <w:p w14:paraId="7080AE41" w14:textId="77777777" w:rsidR="00DC3841" w:rsidRDefault="00DC3841" w:rsidP="00DC3841">
      <w:pPr>
        <w:keepNext/>
        <w:widowControl w:val="0"/>
        <w:spacing w:after="0" w:line="240" w:lineRule="auto"/>
        <w:rPr>
          <w:rFonts w:asciiTheme="minorHAnsi" w:hAnsiTheme="minorHAnsi"/>
          <w:i/>
          <w:sz w:val="18"/>
        </w:rPr>
      </w:pPr>
      <w:r w:rsidRPr="00D94C4D">
        <w:rPr>
          <w:rFonts w:asciiTheme="minorHAnsi" w:hAnsiTheme="minorHAnsi"/>
          <w:i/>
          <w:sz w:val="18"/>
        </w:rPr>
        <w:t>Source: 2009-2013 ACS</w:t>
      </w:r>
    </w:p>
    <w:p w14:paraId="13A9DC4B" w14:textId="77777777" w:rsidR="00DC3841" w:rsidRDefault="00DC3841" w:rsidP="00DC3841">
      <w:pPr>
        <w:keepNext/>
        <w:widowControl w:val="0"/>
        <w:spacing w:after="0" w:line="240" w:lineRule="auto"/>
        <w:rPr>
          <w:rFonts w:asciiTheme="minorHAnsi" w:hAnsiTheme="minorHAnsi"/>
          <w:b/>
          <w:vanish/>
          <w:sz w:val="20"/>
        </w:rPr>
      </w:pPr>
    </w:p>
    <w:p w14:paraId="7674DED1" w14:textId="77777777" w:rsidR="00DC3841" w:rsidRDefault="00DC3841" w:rsidP="00DC3841">
      <w:pPr>
        <w:spacing w:after="0" w:line="240" w:lineRule="auto"/>
        <w:rPr>
          <w:rFonts w:asciiTheme="minorHAnsi" w:hAnsiTheme="minorHAnsi"/>
          <w:b/>
          <w:vanish/>
          <w:sz w:val="16"/>
        </w:rPr>
      </w:pPr>
    </w:p>
    <w:p w14:paraId="7C94F341" w14:textId="77777777" w:rsidR="00DC3841" w:rsidRDefault="00DC3841" w:rsidP="00DC3841">
      <w:pPr>
        <w:rPr>
          <w:rFonts w:asciiTheme="minorHAnsi" w:hAnsiTheme="minorHAnsi"/>
        </w:rPr>
      </w:pPr>
    </w:p>
    <w:p w14:paraId="79450437" w14:textId="77777777" w:rsidR="00DC3841" w:rsidRPr="00D94C4D" w:rsidRDefault="00DC3841" w:rsidP="00DC3841">
      <w:pPr>
        <w:keepNext/>
        <w:widowControl w:val="0"/>
        <w:spacing w:line="240" w:lineRule="auto"/>
        <w:contextualSpacing/>
        <w:rPr>
          <w:rFonts w:asciiTheme="minorHAnsi" w:hAnsiTheme="minorHAnsi"/>
          <w:b/>
          <w:sz w:val="24"/>
        </w:rPr>
      </w:pPr>
      <w:r>
        <w:rPr>
          <w:rFonts w:asciiTheme="minorHAnsi" w:hAnsiTheme="minorHAnsi"/>
          <w:b/>
          <w:sz w:val="24"/>
        </w:rPr>
        <w:t>Table 20</w:t>
      </w:r>
      <w:r w:rsidRPr="00D94C4D">
        <w:rPr>
          <w:rFonts w:asciiTheme="minorHAnsi" w:hAnsiTheme="minorHAnsi"/>
          <w:b/>
          <w:sz w:val="24"/>
        </w:rPr>
        <w:t xml:space="preserve"> – Educational Attainment by Age</w:t>
      </w:r>
    </w:p>
    <w:tbl>
      <w:tblPr>
        <w:tblStyle w:val="GridTable4-Accent1"/>
        <w:tblW w:w="5000" w:type="pct"/>
        <w:tblLook w:val="04A0" w:firstRow="1" w:lastRow="0" w:firstColumn="1" w:lastColumn="0" w:noHBand="0" w:noVBand="1"/>
      </w:tblPr>
      <w:tblGrid>
        <w:gridCol w:w="3685"/>
        <w:gridCol w:w="1123"/>
        <w:gridCol w:w="1122"/>
        <w:gridCol w:w="1122"/>
        <w:gridCol w:w="1176"/>
        <w:gridCol w:w="1122"/>
      </w:tblGrid>
      <w:tr w:rsidR="00DC3841" w14:paraId="387363D2"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1" w:type="dxa"/>
            <w:vMerge w:val="restart"/>
          </w:tcPr>
          <w:p w14:paraId="67BF98B4" w14:textId="77777777" w:rsidR="00DC3841" w:rsidRDefault="00DC3841" w:rsidP="007C520D">
            <w:pPr>
              <w:keepNext/>
              <w:widowControl w:val="0"/>
              <w:spacing w:after="0" w:line="240" w:lineRule="auto"/>
              <w:contextualSpacing/>
              <w:jc w:val="center"/>
              <w:rPr>
                <w:rFonts w:asciiTheme="minorHAnsi" w:hAnsiTheme="minorHAnsi"/>
              </w:rPr>
            </w:pPr>
          </w:p>
        </w:tc>
        <w:tc>
          <w:tcPr>
            <w:tcW w:w="5795" w:type="dxa"/>
            <w:gridSpan w:val="5"/>
          </w:tcPr>
          <w:p w14:paraId="3C5232CB" w14:textId="77777777" w:rsidR="00DC3841" w:rsidRDefault="00DC3841"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b w:val="0"/>
              </w:rPr>
              <w:t>Age</w:t>
            </w:r>
          </w:p>
        </w:tc>
      </w:tr>
      <w:tr w:rsidR="00DC3841" w14:paraId="6686E20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1" w:type="dxa"/>
            <w:vMerge/>
          </w:tcPr>
          <w:p w14:paraId="3DC95378" w14:textId="77777777" w:rsidR="00DC3841" w:rsidRDefault="00DC3841" w:rsidP="007C520D">
            <w:pPr>
              <w:keepNext/>
              <w:widowControl w:val="0"/>
              <w:spacing w:after="0" w:line="240" w:lineRule="auto"/>
              <w:jc w:val="center"/>
              <w:rPr>
                <w:rFonts w:asciiTheme="minorHAnsi" w:hAnsiTheme="minorHAnsi"/>
              </w:rPr>
            </w:pPr>
          </w:p>
        </w:tc>
        <w:tc>
          <w:tcPr>
            <w:tcW w:w="1150" w:type="dxa"/>
          </w:tcPr>
          <w:p w14:paraId="6F93F6D0" w14:textId="77777777" w:rsidR="00DC3841" w:rsidRPr="00A24BDC"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24BDC">
              <w:rPr>
                <w:rFonts w:asciiTheme="minorHAnsi" w:hAnsiTheme="minorHAnsi"/>
                <w:b/>
              </w:rPr>
              <w:t>18–24 yrs</w:t>
            </w:r>
          </w:p>
        </w:tc>
        <w:tc>
          <w:tcPr>
            <w:tcW w:w="1149" w:type="dxa"/>
          </w:tcPr>
          <w:p w14:paraId="1A7069B3" w14:textId="77777777" w:rsidR="00DC3841" w:rsidRPr="00A24BDC"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24BDC">
              <w:rPr>
                <w:rFonts w:asciiTheme="minorHAnsi" w:hAnsiTheme="minorHAnsi"/>
                <w:b/>
              </w:rPr>
              <w:t>25–34 yrs</w:t>
            </w:r>
          </w:p>
        </w:tc>
        <w:tc>
          <w:tcPr>
            <w:tcW w:w="1149" w:type="dxa"/>
          </w:tcPr>
          <w:p w14:paraId="6593AD4D" w14:textId="77777777" w:rsidR="00DC3841" w:rsidRPr="00A24BDC"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24BDC">
              <w:rPr>
                <w:rFonts w:asciiTheme="minorHAnsi" w:hAnsiTheme="minorHAnsi"/>
                <w:b/>
              </w:rPr>
              <w:t>35–44 yrs</w:t>
            </w:r>
          </w:p>
        </w:tc>
        <w:tc>
          <w:tcPr>
            <w:tcW w:w="1198" w:type="dxa"/>
          </w:tcPr>
          <w:p w14:paraId="6D6C426E" w14:textId="77777777" w:rsidR="00DC3841" w:rsidRPr="00A24BDC"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24BDC">
              <w:rPr>
                <w:rFonts w:asciiTheme="minorHAnsi" w:hAnsiTheme="minorHAnsi"/>
                <w:b/>
              </w:rPr>
              <w:t>45–65 yrs</w:t>
            </w:r>
          </w:p>
        </w:tc>
        <w:tc>
          <w:tcPr>
            <w:tcW w:w="1149" w:type="dxa"/>
          </w:tcPr>
          <w:p w14:paraId="6D3D5F88" w14:textId="77777777" w:rsidR="00DC3841" w:rsidRPr="00A24BDC" w:rsidRDefault="00DC3841"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A24BDC">
              <w:rPr>
                <w:rFonts w:asciiTheme="minorHAnsi" w:hAnsiTheme="minorHAnsi"/>
                <w:b/>
              </w:rPr>
              <w:t>65+ yrs</w:t>
            </w:r>
          </w:p>
        </w:tc>
      </w:tr>
      <w:tr w:rsidR="00DC3841" w14:paraId="0D19AEC2"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5F9B4AD0" w14:textId="77777777" w:rsidR="00DC3841" w:rsidRPr="00A24BDC" w:rsidRDefault="00DC3841" w:rsidP="007C520D">
            <w:pPr>
              <w:spacing w:beforeAutospacing="1" w:afterAutospacing="1"/>
              <w:rPr>
                <w:b w:val="0"/>
              </w:rPr>
            </w:pPr>
            <w:r w:rsidRPr="00A24BDC">
              <w:rPr>
                <w:b w:val="0"/>
                <w:color w:val="000000"/>
              </w:rPr>
              <w:t>Less than 9th grade</w:t>
            </w:r>
          </w:p>
        </w:tc>
        <w:tc>
          <w:tcPr>
            <w:tcW w:w="0" w:type="auto"/>
          </w:tcPr>
          <w:p w14:paraId="639206F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2,345</w:t>
            </w:r>
          </w:p>
        </w:tc>
        <w:tc>
          <w:tcPr>
            <w:tcW w:w="0" w:type="auto"/>
          </w:tcPr>
          <w:p w14:paraId="742155A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6,304</w:t>
            </w:r>
          </w:p>
        </w:tc>
        <w:tc>
          <w:tcPr>
            <w:tcW w:w="0" w:type="auto"/>
          </w:tcPr>
          <w:p w14:paraId="3DDF6BB7"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6,648</w:t>
            </w:r>
          </w:p>
        </w:tc>
        <w:tc>
          <w:tcPr>
            <w:tcW w:w="0" w:type="auto"/>
          </w:tcPr>
          <w:p w14:paraId="3F341E2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12,284</w:t>
            </w:r>
          </w:p>
        </w:tc>
        <w:tc>
          <w:tcPr>
            <w:tcW w:w="0" w:type="auto"/>
          </w:tcPr>
          <w:p w14:paraId="4D7498E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17,182</w:t>
            </w:r>
          </w:p>
        </w:tc>
      </w:tr>
      <w:tr w:rsidR="00DC3841" w14:paraId="68569013"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51F2BD" w14:textId="77777777" w:rsidR="00DC3841" w:rsidRPr="00A24BDC" w:rsidRDefault="00DC3841" w:rsidP="007C520D">
            <w:pPr>
              <w:spacing w:beforeAutospacing="1" w:afterAutospacing="1"/>
              <w:rPr>
                <w:b w:val="0"/>
              </w:rPr>
            </w:pPr>
            <w:r w:rsidRPr="00A24BDC">
              <w:rPr>
                <w:b w:val="0"/>
                <w:color w:val="000000"/>
              </w:rPr>
              <w:t>9th to 12th grade, no diploma</w:t>
            </w:r>
          </w:p>
        </w:tc>
        <w:tc>
          <w:tcPr>
            <w:tcW w:w="0" w:type="auto"/>
          </w:tcPr>
          <w:p w14:paraId="3BDA0138"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18,917</w:t>
            </w:r>
          </w:p>
        </w:tc>
        <w:tc>
          <w:tcPr>
            <w:tcW w:w="0" w:type="auto"/>
          </w:tcPr>
          <w:p w14:paraId="356DA2E7"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13,855</w:t>
            </w:r>
          </w:p>
        </w:tc>
        <w:tc>
          <w:tcPr>
            <w:tcW w:w="0" w:type="auto"/>
          </w:tcPr>
          <w:p w14:paraId="4A0F3E6D"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10,470</w:t>
            </w:r>
          </w:p>
        </w:tc>
        <w:tc>
          <w:tcPr>
            <w:tcW w:w="0" w:type="auto"/>
          </w:tcPr>
          <w:p w14:paraId="45DAB28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20,497</w:t>
            </w:r>
          </w:p>
        </w:tc>
        <w:tc>
          <w:tcPr>
            <w:tcW w:w="0" w:type="auto"/>
          </w:tcPr>
          <w:p w14:paraId="71FF406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17,647</w:t>
            </w:r>
          </w:p>
        </w:tc>
      </w:tr>
      <w:tr w:rsidR="00DC3841" w14:paraId="7523A600"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5BE20F07" w14:textId="77777777" w:rsidR="00DC3841" w:rsidRPr="00A24BDC" w:rsidRDefault="00DC3841" w:rsidP="007C520D">
            <w:pPr>
              <w:spacing w:beforeAutospacing="1" w:afterAutospacing="1"/>
              <w:rPr>
                <w:b w:val="0"/>
              </w:rPr>
            </w:pPr>
            <w:r w:rsidRPr="00A24BDC">
              <w:rPr>
                <w:b w:val="0"/>
                <w:color w:val="000000"/>
              </w:rPr>
              <w:t>High school graduate, GED, or alternative</w:t>
            </w:r>
          </w:p>
        </w:tc>
        <w:tc>
          <w:tcPr>
            <w:tcW w:w="0" w:type="auto"/>
          </w:tcPr>
          <w:p w14:paraId="0A676F7D"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42,511</w:t>
            </w:r>
          </w:p>
        </w:tc>
        <w:tc>
          <w:tcPr>
            <w:tcW w:w="0" w:type="auto"/>
          </w:tcPr>
          <w:p w14:paraId="3D2CD01F"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43,815</w:t>
            </w:r>
          </w:p>
        </w:tc>
        <w:tc>
          <w:tcPr>
            <w:tcW w:w="0" w:type="auto"/>
          </w:tcPr>
          <w:p w14:paraId="7B391A90"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44,572</w:t>
            </w:r>
          </w:p>
        </w:tc>
        <w:tc>
          <w:tcPr>
            <w:tcW w:w="0" w:type="auto"/>
          </w:tcPr>
          <w:p w14:paraId="58BCF65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125,861</w:t>
            </w:r>
          </w:p>
        </w:tc>
        <w:tc>
          <w:tcPr>
            <w:tcW w:w="0" w:type="auto"/>
          </w:tcPr>
          <w:p w14:paraId="6442E3A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96,698</w:t>
            </w:r>
          </w:p>
        </w:tc>
      </w:tr>
      <w:tr w:rsidR="00DC3841" w14:paraId="7630ACCA"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A43A45" w14:textId="77777777" w:rsidR="00DC3841" w:rsidRPr="00A24BDC" w:rsidRDefault="00DC3841" w:rsidP="007C520D">
            <w:pPr>
              <w:spacing w:beforeAutospacing="1" w:afterAutospacing="1"/>
              <w:rPr>
                <w:b w:val="0"/>
              </w:rPr>
            </w:pPr>
            <w:r w:rsidRPr="00A24BDC">
              <w:rPr>
                <w:b w:val="0"/>
                <w:color w:val="000000"/>
              </w:rPr>
              <w:t>Some college, no degree</w:t>
            </w:r>
          </w:p>
        </w:tc>
        <w:tc>
          <w:tcPr>
            <w:tcW w:w="0" w:type="auto"/>
          </w:tcPr>
          <w:p w14:paraId="7E5C550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55,019</w:t>
            </w:r>
          </w:p>
        </w:tc>
        <w:tc>
          <w:tcPr>
            <w:tcW w:w="0" w:type="auto"/>
          </w:tcPr>
          <w:p w14:paraId="373730BB"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48,260</w:t>
            </w:r>
          </w:p>
        </w:tc>
        <w:tc>
          <w:tcPr>
            <w:tcW w:w="0" w:type="auto"/>
          </w:tcPr>
          <w:p w14:paraId="5B555684"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44,858</w:t>
            </w:r>
          </w:p>
        </w:tc>
        <w:tc>
          <w:tcPr>
            <w:tcW w:w="0" w:type="auto"/>
          </w:tcPr>
          <w:p w14:paraId="73E4E4F6"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108,020</w:t>
            </w:r>
          </w:p>
        </w:tc>
        <w:tc>
          <w:tcPr>
            <w:tcW w:w="0" w:type="auto"/>
          </w:tcPr>
          <w:p w14:paraId="2F30977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50,541</w:t>
            </w:r>
          </w:p>
        </w:tc>
      </w:tr>
      <w:tr w:rsidR="00DC3841" w14:paraId="5F6C12D1"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4461B06D" w14:textId="77777777" w:rsidR="00DC3841" w:rsidRPr="00A24BDC" w:rsidRDefault="00DC3841" w:rsidP="007C520D">
            <w:pPr>
              <w:spacing w:beforeAutospacing="1" w:afterAutospacing="1"/>
              <w:rPr>
                <w:b w:val="0"/>
              </w:rPr>
            </w:pPr>
            <w:r w:rsidRPr="00A24BDC">
              <w:rPr>
                <w:b w:val="0"/>
                <w:color w:val="000000"/>
              </w:rPr>
              <w:t>Associate's degree</w:t>
            </w:r>
          </w:p>
        </w:tc>
        <w:tc>
          <w:tcPr>
            <w:tcW w:w="0" w:type="auto"/>
          </w:tcPr>
          <w:p w14:paraId="72BA26ED"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9,719</w:t>
            </w:r>
          </w:p>
        </w:tc>
        <w:tc>
          <w:tcPr>
            <w:tcW w:w="0" w:type="auto"/>
          </w:tcPr>
          <w:p w14:paraId="6A74506D"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19,624</w:t>
            </w:r>
          </w:p>
        </w:tc>
        <w:tc>
          <w:tcPr>
            <w:tcW w:w="0" w:type="auto"/>
          </w:tcPr>
          <w:p w14:paraId="0B3E4908"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18,143</w:t>
            </w:r>
          </w:p>
        </w:tc>
        <w:tc>
          <w:tcPr>
            <w:tcW w:w="0" w:type="auto"/>
          </w:tcPr>
          <w:p w14:paraId="6F846CC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34,930</w:t>
            </w:r>
          </w:p>
        </w:tc>
        <w:tc>
          <w:tcPr>
            <w:tcW w:w="0" w:type="auto"/>
          </w:tcPr>
          <w:p w14:paraId="464EFDD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8,467</w:t>
            </w:r>
          </w:p>
        </w:tc>
      </w:tr>
      <w:tr w:rsidR="00DC3841" w14:paraId="2E9ECD7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1AB83D" w14:textId="77777777" w:rsidR="00DC3841" w:rsidRPr="00A24BDC" w:rsidRDefault="00DC3841" w:rsidP="007C520D">
            <w:pPr>
              <w:spacing w:beforeAutospacing="1" w:afterAutospacing="1"/>
              <w:rPr>
                <w:b w:val="0"/>
              </w:rPr>
            </w:pPr>
            <w:r w:rsidRPr="00A24BDC">
              <w:rPr>
                <w:b w:val="0"/>
                <w:color w:val="000000"/>
              </w:rPr>
              <w:t>Bachelor's degree</w:t>
            </w:r>
          </w:p>
        </w:tc>
        <w:tc>
          <w:tcPr>
            <w:tcW w:w="0" w:type="auto"/>
          </w:tcPr>
          <w:p w14:paraId="2C1ACD9C"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8,085</w:t>
            </w:r>
          </w:p>
        </w:tc>
        <w:tc>
          <w:tcPr>
            <w:tcW w:w="0" w:type="auto"/>
          </w:tcPr>
          <w:p w14:paraId="1B4E9E29"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32,853</w:t>
            </w:r>
          </w:p>
        </w:tc>
        <w:tc>
          <w:tcPr>
            <w:tcW w:w="0" w:type="auto"/>
          </w:tcPr>
          <w:p w14:paraId="32163F1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30,188</w:t>
            </w:r>
          </w:p>
        </w:tc>
        <w:tc>
          <w:tcPr>
            <w:tcW w:w="0" w:type="auto"/>
          </w:tcPr>
          <w:p w14:paraId="1A8052E5"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61,929</w:t>
            </w:r>
          </w:p>
        </w:tc>
        <w:tc>
          <w:tcPr>
            <w:tcW w:w="0" w:type="auto"/>
          </w:tcPr>
          <w:p w14:paraId="47F8CB5F"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22,270</w:t>
            </w:r>
          </w:p>
        </w:tc>
      </w:tr>
      <w:tr w:rsidR="00DC3841" w14:paraId="7E6086DC"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1D3DDCF3" w14:textId="77777777" w:rsidR="00DC3841" w:rsidRPr="00A24BDC" w:rsidRDefault="00DC3841" w:rsidP="007C520D">
            <w:pPr>
              <w:spacing w:beforeAutospacing="1" w:afterAutospacing="1"/>
              <w:rPr>
                <w:b w:val="0"/>
              </w:rPr>
            </w:pPr>
            <w:r w:rsidRPr="00A24BDC">
              <w:rPr>
                <w:b w:val="0"/>
                <w:color w:val="000000"/>
              </w:rPr>
              <w:t>Graduate or professional degree</w:t>
            </w:r>
          </w:p>
        </w:tc>
        <w:tc>
          <w:tcPr>
            <w:tcW w:w="0" w:type="auto"/>
          </w:tcPr>
          <w:p w14:paraId="69521404"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472</w:t>
            </w:r>
          </w:p>
        </w:tc>
        <w:tc>
          <w:tcPr>
            <w:tcW w:w="0" w:type="auto"/>
          </w:tcPr>
          <w:p w14:paraId="0CD6D112"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9,743</w:t>
            </w:r>
          </w:p>
        </w:tc>
        <w:tc>
          <w:tcPr>
            <w:tcW w:w="0" w:type="auto"/>
          </w:tcPr>
          <w:p w14:paraId="281F5D6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13,071</w:t>
            </w:r>
          </w:p>
        </w:tc>
        <w:tc>
          <w:tcPr>
            <w:tcW w:w="0" w:type="auto"/>
          </w:tcPr>
          <w:p w14:paraId="56502026"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32,293</w:t>
            </w:r>
          </w:p>
        </w:tc>
        <w:tc>
          <w:tcPr>
            <w:tcW w:w="0" w:type="auto"/>
          </w:tcPr>
          <w:p w14:paraId="5AEE2DD1"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15,803</w:t>
            </w:r>
          </w:p>
        </w:tc>
      </w:tr>
    </w:tbl>
    <w:p w14:paraId="5822A141" w14:textId="77777777" w:rsidR="00DC3841" w:rsidRDefault="00DC3841" w:rsidP="00DC3841">
      <w:pPr>
        <w:keepNext/>
        <w:widowControl w:val="0"/>
        <w:spacing w:after="0" w:line="240" w:lineRule="auto"/>
        <w:rPr>
          <w:rFonts w:asciiTheme="minorHAnsi" w:hAnsiTheme="minorHAnsi"/>
          <w:b/>
          <w:vanish/>
          <w:sz w:val="20"/>
        </w:rPr>
      </w:pPr>
      <w:r w:rsidRPr="00D94C4D">
        <w:rPr>
          <w:rFonts w:asciiTheme="minorHAnsi" w:hAnsiTheme="minorHAnsi"/>
          <w:i/>
          <w:sz w:val="18"/>
        </w:rPr>
        <w:t>Source:</w:t>
      </w:r>
      <w:r>
        <w:rPr>
          <w:rFonts w:asciiTheme="minorHAnsi" w:hAnsiTheme="minorHAnsi"/>
          <w:i/>
          <w:sz w:val="18"/>
        </w:rPr>
        <w:t xml:space="preserve"> </w:t>
      </w:r>
      <w:r w:rsidRPr="00D94C4D">
        <w:rPr>
          <w:rFonts w:asciiTheme="minorHAnsi" w:hAnsiTheme="minorHAnsi"/>
          <w:i/>
          <w:sz w:val="18"/>
        </w:rPr>
        <w:t>2009-2013 ACS</w:t>
      </w:r>
    </w:p>
    <w:p w14:paraId="439113DA" w14:textId="77777777" w:rsidR="00DC3841" w:rsidRDefault="00DC3841" w:rsidP="00DC3841">
      <w:pPr>
        <w:rPr>
          <w:rFonts w:asciiTheme="minorHAnsi" w:hAnsiTheme="minorHAnsi"/>
          <w:b/>
          <w:vanish/>
          <w:sz w:val="16"/>
        </w:rPr>
      </w:pPr>
    </w:p>
    <w:p w14:paraId="2FB378D9" w14:textId="77777777" w:rsidR="00DC3841" w:rsidRDefault="00DC3841" w:rsidP="00DC3841">
      <w:pPr>
        <w:rPr>
          <w:rFonts w:asciiTheme="minorHAnsi" w:hAnsiTheme="minorHAnsi"/>
        </w:rPr>
      </w:pPr>
    </w:p>
    <w:p w14:paraId="132FF0D4" w14:textId="77777777" w:rsidR="00DC3841" w:rsidRPr="00D94C4D" w:rsidRDefault="00DC3841" w:rsidP="00DC3841">
      <w:pPr>
        <w:keepNext/>
        <w:widowControl w:val="0"/>
        <w:spacing w:line="240" w:lineRule="auto"/>
        <w:contextualSpacing/>
        <w:rPr>
          <w:rFonts w:asciiTheme="minorHAnsi" w:hAnsiTheme="minorHAnsi"/>
          <w:b/>
          <w:sz w:val="24"/>
        </w:rPr>
      </w:pPr>
      <w:r w:rsidRPr="00D94C4D">
        <w:rPr>
          <w:rFonts w:asciiTheme="minorHAnsi" w:hAnsiTheme="minorHAnsi"/>
          <w:b/>
          <w:sz w:val="24"/>
        </w:rPr>
        <w:t>Table 2</w:t>
      </w:r>
      <w:r>
        <w:rPr>
          <w:rFonts w:asciiTheme="minorHAnsi" w:hAnsiTheme="minorHAnsi"/>
          <w:b/>
          <w:sz w:val="24"/>
        </w:rPr>
        <w:t>1</w:t>
      </w:r>
      <w:r w:rsidRPr="00D94C4D">
        <w:rPr>
          <w:rFonts w:asciiTheme="minorHAnsi" w:hAnsiTheme="minorHAnsi"/>
          <w:b/>
          <w:sz w:val="24"/>
        </w:rPr>
        <w:t xml:space="preserve"> – Educational Attainment – Median Earnings in the Past 12 Months</w:t>
      </w:r>
    </w:p>
    <w:tbl>
      <w:tblPr>
        <w:tblStyle w:val="GridTable4-Accent1"/>
        <w:tblW w:w="5001" w:type="pct"/>
        <w:tblLook w:val="04A0" w:firstRow="1" w:lastRow="0" w:firstColumn="1" w:lastColumn="0" w:noHBand="0" w:noVBand="1"/>
      </w:tblPr>
      <w:tblGrid>
        <w:gridCol w:w="4451"/>
        <w:gridCol w:w="4901"/>
      </w:tblGrid>
      <w:tr w:rsidR="00DC3841" w14:paraId="0D56FD26"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1" w:type="dxa"/>
          </w:tcPr>
          <w:p w14:paraId="3136C03F" w14:textId="77777777" w:rsidR="00DC3841" w:rsidRDefault="00DC3841" w:rsidP="007C520D">
            <w:pPr>
              <w:keepNext/>
              <w:widowControl w:val="0"/>
              <w:spacing w:after="0" w:line="240" w:lineRule="auto"/>
              <w:jc w:val="center"/>
              <w:rPr>
                <w:rFonts w:asciiTheme="minorHAnsi" w:hAnsiTheme="minorHAnsi"/>
                <w:b w:val="0"/>
              </w:rPr>
            </w:pPr>
            <w:r>
              <w:rPr>
                <w:rFonts w:asciiTheme="minorHAnsi" w:hAnsiTheme="minorHAnsi"/>
                <w:b w:val="0"/>
              </w:rPr>
              <w:t>Educational Attainment</w:t>
            </w:r>
          </w:p>
        </w:tc>
        <w:tc>
          <w:tcPr>
            <w:tcW w:w="5027" w:type="dxa"/>
          </w:tcPr>
          <w:p w14:paraId="1C79F274" w14:textId="77777777" w:rsidR="00DC3841" w:rsidRDefault="00DC3841" w:rsidP="007C520D">
            <w:pPr>
              <w:keepNext/>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Median Earnings in the Past 12 Months</w:t>
            </w:r>
          </w:p>
        </w:tc>
      </w:tr>
      <w:tr w:rsidR="00DC3841" w14:paraId="3AF752FF"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A4656" w14:textId="77777777" w:rsidR="00DC3841" w:rsidRPr="00A24BDC" w:rsidRDefault="00DC3841" w:rsidP="007C520D">
            <w:pPr>
              <w:spacing w:beforeAutospacing="1" w:afterAutospacing="1"/>
              <w:rPr>
                <w:b w:val="0"/>
              </w:rPr>
            </w:pPr>
            <w:r w:rsidRPr="00A24BDC">
              <w:rPr>
                <w:b w:val="0"/>
                <w:color w:val="000000"/>
              </w:rPr>
              <w:t>Less than high school graduate</w:t>
            </w:r>
          </w:p>
        </w:tc>
        <w:tc>
          <w:tcPr>
            <w:tcW w:w="0" w:type="auto"/>
          </w:tcPr>
          <w:p w14:paraId="1FA93F8A"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w:t>
            </w:r>
          </w:p>
        </w:tc>
      </w:tr>
      <w:tr w:rsidR="00DC3841" w14:paraId="006B9995"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3D37CD83" w14:textId="77777777" w:rsidR="00DC3841" w:rsidRPr="00A24BDC" w:rsidRDefault="00DC3841" w:rsidP="007C520D">
            <w:pPr>
              <w:spacing w:beforeAutospacing="1" w:afterAutospacing="1"/>
              <w:rPr>
                <w:b w:val="0"/>
              </w:rPr>
            </w:pPr>
            <w:r w:rsidRPr="00A24BDC">
              <w:rPr>
                <w:b w:val="0"/>
                <w:color w:val="000000"/>
              </w:rPr>
              <w:t>High school graduate (includes equivalency)</w:t>
            </w:r>
          </w:p>
        </w:tc>
        <w:tc>
          <w:tcPr>
            <w:tcW w:w="0" w:type="auto"/>
          </w:tcPr>
          <w:p w14:paraId="20D4025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1A53A49A"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EF9CE8" w14:textId="77777777" w:rsidR="00DC3841" w:rsidRPr="00A24BDC" w:rsidRDefault="00DC3841" w:rsidP="007C520D">
            <w:pPr>
              <w:spacing w:beforeAutospacing="1" w:afterAutospacing="1"/>
              <w:rPr>
                <w:b w:val="0"/>
              </w:rPr>
            </w:pPr>
            <w:r w:rsidRPr="00A24BDC">
              <w:rPr>
                <w:b w:val="0"/>
                <w:color w:val="000000"/>
              </w:rPr>
              <w:t>Some college or Associate's degree</w:t>
            </w:r>
          </w:p>
        </w:tc>
        <w:tc>
          <w:tcPr>
            <w:tcW w:w="0" w:type="auto"/>
          </w:tcPr>
          <w:p w14:paraId="15633778"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w:t>
            </w:r>
          </w:p>
        </w:tc>
      </w:tr>
      <w:tr w:rsidR="00DC3841" w14:paraId="4AC0BF26" w14:textId="77777777" w:rsidTr="007C520D">
        <w:tc>
          <w:tcPr>
            <w:cnfStyle w:val="001000000000" w:firstRow="0" w:lastRow="0" w:firstColumn="1" w:lastColumn="0" w:oddVBand="0" w:evenVBand="0" w:oddHBand="0" w:evenHBand="0" w:firstRowFirstColumn="0" w:firstRowLastColumn="0" w:lastRowFirstColumn="0" w:lastRowLastColumn="0"/>
            <w:tcW w:w="0" w:type="auto"/>
          </w:tcPr>
          <w:p w14:paraId="15DE6FA8" w14:textId="77777777" w:rsidR="00DC3841" w:rsidRPr="00A24BDC" w:rsidRDefault="00DC3841" w:rsidP="007C520D">
            <w:pPr>
              <w:spacing w:beforeAutospacing="1" w:afterAutospacing="1"/>
              <w:rPr>
                <w:b w:val="0"/>
              </w:rPr>
            </w:pPr>
            <w:r w:rsidRPr="00A24BDC">
              <w:rPr>
                <w:b w:val="0"/>
                <w:color w:val="000000"/>
              </w:rPr>
              <w:t>Bachelor's degree</w:t>
            </w:r>
          </w:p>
        </w:tc>
        <w:tc>
          <w:tcPr>
            <w:tcW w:w="0" w:type="auto"/>
          </w:tcPr>
          <w:p w14:paraId="116E2CFE" w14:textId="77777777" w:rsidR="00DC3841" w:rsidRDefault="00DC3841" w:rsidP="007C520D">
            <w:pPr>
              <w:spacing w:beforeAutospacing="1" w:afterAutospacing="1"/>
              <w:jc w:val="right"/>
              <w:cnfStyle w:val="000000000000" w:firstRow="0" w:lastRow="0" w:firstColumn="0" w:lastColumn="0" w:oddVBand="0" w:evenVBand="0" w:oddHBand="0" w:evenHBand="0" w:firstRowFirstColumn="0" w:firstRowLastColumn="0" w:lastRowFirstColumn="0" w:lastRowLastColumn="0"/>
            </w:pPr>
            <w:r>
              <w:rPr>
                <w:color w:val="000000"/>
              </w:rPr>
              <w:t>0</w:t>
            </w:r>
          </w:p>
        </w:tc>
      </w:tr>
      <w:tr w:rsidR="00DC3841" w14:paraId="529C78BA"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71FB74" w14:textId="77777777" w:rsidR="00DC3841" w:rsidRPr="00A24BDC" w:rsidRDefault="00DC3841" w:rsidP="007C520D">
            <w:pPr>
              <w:spacing w:beforeAutospacing="1" w:afterAutospacing="1"/>
              <w:rPr>
                <w:b w:val="0"/>
              </w:rPr>
            </w:pPr>
            <w:r w:rsidRPr="00A24BDC">
              <w:rPr>
                <w:b w:val="0"/>
                <w:color w:val="000000"/>
              </w:rPr>
              <w:t>Graduate or professional degree</w:t>
            </w:r>
          </w:p>
        </w:tc>
        <w:tc>
          <w:tcPr>
            <w:tcW w:w="0" w:type="auto"/>
          </w:tcPr>
          <w:p w14:paraId="32C88B80" w14:textId="77777777" w:rsidR="00DC3841" w:rsidRDefault="00DC3841" w:rsidP="007C520D">
            <w:pPr>
              <w:spacing w:beforeAutospacing="1" w:afterAutospacing="1"/>
              <w:jc w:val="right"/>
              <w:cnfStyle w:val="000000100000" w:firstRow="0" w:lastRow="0" w:firstColumn="0" w:lastColumn="0" w:oddVBand="0" w:evenVBand="0" w:oddHBand="1" w:evenHBand="0" w:firstRowFirstColumn="0" w:firstRowLastColumn="0" w:lastRowFirstColumn="0" w:lastRowLastColumn="0"/>
            </w:pPr>
            <w:r>
              <w:rPr>
                <w:color w:val="000000"/>
              </w:rPr>
              <w:t>0</w:t>
            </w:r>
          </w:p>
        </w:tc>
      </w:tr>
    </w:tbl>
    <w:p w14:paraId="57D05F7F" w14:textId="77777777" w:rsidR="00DC3841" w:rsidRDefault="00DC3841" w:rsidP="00DC3841">
      <w:pPr>
        <w:keepNext/>
        <w:widowControl w:val="0"/>
        <w:spacing w:after="0" w:line="240" w:lineRule="auto"/>
        <w:rPr>
          <w:rFonts w:asciiTheme="minorHAnsi" w:hAnsiTheme="minorHAnsi"/>
          <w:b/>
          <w:vanish/>
          <w:sz w:val="20"/>
        </w:rPr>
      </w:pPr>
      <w:r w:rsidRPr="00D94C4D">
        <w:rPr>
          <w:rFonts w:asciiTheme="minorHAnsi" w:hAnsiTheme="minorHAnsi"/>
          <w:i/>
          <w:sz w:val="18"/>
        </w:rPr>
        <w:t>Source:</w:t>
      </w:r>
      <w:r>
        <w:rPr>
          <w:rFonts w:asciiTheme="minorHAnsi" w:hAnsiTheme="minorHAnsi"/>
          <w:i/>
          <w:sz w:val="18"/>
        </w:rPr>
        <w:t xml:space="preserve"> </w:t>
      </w:r>
      <w:r w:rsidRPr="00D94C4D">
        <w:rPr>
          <w:rFonts w:asciiTheme="minorHAnsi" w:hAnsiTheme="minorHAnsi"/>
          <w:i/>
          <w:sz w:val="18"/>
        </w:rPr>
        <w:t>2009-2013 ACS</w:t>
      </w:r>
    </w:p>
    <w:p w14:paraId="6FEC6280" w14:textId="77777777" w:rsidR="00DC3841" w:rsidRDefault="00DC3841" w:rsidP="00DC3841">
      <w:pPr>
        <w:rPr>
          <w:rFonts w:asciiTheme="minorHAnsi" w:hAnsiTheme="minorHAnsi"/>
          <w:b/>
          <w:vanish/>
          <w:sz w:val="16"/>
        </w:rPr>
      </w:pPr>
    </w:p>
    <w:p w14:paraId="5A8BC0C2" w14:textId="77777777" w:rsidR="00DC3841" w:rsidRDefault="00DC3841" w:rsidP="00DC3841">
      <w:pPr>
        <w:spacing w:after="0" w:line="240" w:lineRule="auto"/>
        <w:rPr>
          <w:rFonts w:asciiTheme="minorHAnsi" w:hAnsiTheme="minorHAnsi"/>
          <w:b/>
          <w:sz w:val="16"/>
        </w:rPr>
      </w:pPr>
    </w:p>
    <w:p w14:paraId="3E6EC0D9" w14:textId="77777777" w:rsidR="00DC3841" w:rsidRDefault="00DC3841" w:rsidP="00DC3841">
      <w:pPr>
        <w:rPr>
          <w:rFonts w:asciiTheme="minorHAnsi" w:hAnsiTheme="minorHAnsi"/>
        </w:rPr>
      </w:pPr>
    </w:p>
    <w:p w14:paraId="39E90DAA" w14:textId="77777777" w:rsidR="00DC3841" w:rsidRDefault="00DC3841" w:rsidP="00DC3841">
      <w:pPr>
        <w:rPr>
          <w:rFonts w:asciiTheme="minorHAnsi" w:hAnsiTheme="minorHAnsi"/>
          <w:b/>
          <w:sz w:val="24"/>
        </w:rPr>
      </w:pPr>
      <w:r>
        <w:rPr>
          <w:rFonts w:asciiTheme="minorHAnsi" w:hAnsiTheme="minorHAnsi"/>
          <w:b/>
          <w:sz w:val="24"/>
        </w:rPr>
        <w:t>Based on the Business Activity table above, what are the major employment sectors within the state?</w:t>
      </w:r>
    </w:p>
    <w:p w14:paraId="3CBDFB84" w14:textId="77777777" w:rsidR="00DC3841" w:rsidRPr="002565AB" w:rsidRDefault="00DC3841" w:rsidP="00DC3841">
      <w:pPr>
        <w:rPr>
          <w:rFonts w:asciiTheme="minorHAnsi" w:hAnsiTheme="minorHAnsi"/>
          <w:sz w:val="24"/>
        </w:rPr>
      </w:pPr>
      <w:r>
        <w:rPr>
          <w:rFonts w:asciiTheme="minorHAnsi" w:hAnsiTheme="minorHAnsi"/>
          <w:sz w:val="24"/>
        </w:rPr>
        <w:t xml:space="preserve">Accounting for 49% of employed workers, the three largest employment sectors within the state are: Manufacturing, Education &amp; healthcare services, and Retail trade. Manufacturing is centered around the aviation industry, namely Spirit Aerosystems and Cessna Aviation both headquartered in Wichita. The education &amp; healthcare sector is anchored by Via Christi Health and Kansas University Medical Center, headquartered in Wichita and Kansas City, respectively. </w:t>
      </w:r>
    </w:p>
    <w:p w14:paraId="5F66B8BD" w14:textId="77777777" w:rsidR="00DC3841" w:rsidRDefault="00DC3841" w:rsidP="00DC3841">
      <w:pPr>
        <w:rPr>
          <w:rFonts w:asciiTheme="minorHAnsi" w:hAnsiTheme="minorHAnsi"/>
          <w:b/>
          <w:sz w:val="24"/>
        </w:rPr>
      </w:pPr>
      <w:r>
        <w:rPr>
          <w:rFonts w:asciiTheme="minorHAnsi" w:hAnsiTheme="minorHAnsi"/>
          <w:b/>
          <w:sz w:val="24"/>
        </w:rPr>
        <w:t>Describe the workforce and infrastructure needs of business in the state.</w:t>
      </w:r>
    </w:p>
    <w:p w14:paraId="02CA16F0" w14:textId="77777777" w:rsidR="00DC3841" w:rsidRDefault="00DC3841" w:rsidP="00DC3841">
      <w:pPr>
        <w:rPr>
          <w:rFonts w:asciiTheme="minorHAnsi" w:hAnsiTheme="minorHAnsi"/>
          <w:sz w:val="24"/>
        </w:rPr>
      </w:pPr>
      <w:r>
        <w:rPr>
          <w:rFonts w:asciiTheme="minorHAnsi" w:hAnsiTheme="minorHAnsi"/>
          <w:sz w:val="24"/>
        </w:rPr>
        <w:t>The Kansas Department of Labor developed a ten-year occupational outlook for years 2012-2022. The top five industries identified expected to see the most absolute growth are:</w:t>
      </w:r>
    </w:p>
    <w:p w14:paraId="1DDE945C" w14:textId="77777777" w:rsidR="00DC3841" w:rsidRDefault="00DC3841" w:rsidP="00A121EE">
      <w:pPr>
        <w:pStyle w:val="ListParagraph"/>
        <w:numPr>
          <w:ilvl w:val="0"/>
          <w:numId w:val="38"/>
        </w:numPr>
        <w:rPr>
          <w:rFonts w:asciiTheme="minorHAnsi" w:hAnsiTheme="minorHAnsi"/>
          <w:sz w:val="24"/>
        </w:rPr>
      </w:pPr>
      <w:r>
        <w:rPr>
          <w:rFonts w:asciiTheme="minorHAnsi" w:hAnsiTheme="minorHAnsi"/>
          <w:sz w:val="24"/>
        </w:rPr>
        <w:t>Administrative and support services</w:t>
      </w:r>
    </w:p>
    <w:p w14:paraId="7EEE567A" w14:textId="77777777" w:rsidR="00DC3841" w:rsidRDefault="00DC3841" w:rsidP="00A121EE">
      <w:pPr>
        <w:pStyle w:val="ListParagraph"/>
        <w:numPr>
          <w:ilvl w:val="0"/>
          <w:numId w:val="38"/>
        </w:numPr>
        <w:rPr>
          <w:rFonts w:asciiTheme="minorHAnsi" w:hAnsiTheme="minorHAnsi"/>
          <w:sz w:val="24"/>
        </w:rPr>
      </w:pPr>
      <w:r>
        <w:rPr>
          <w:rFonts w:asciiTheme="minorHAnsi" w:hAnsiTheme="minorHAnsi"/>
          <w:sz w:val="24"/>
        </w:rPr>
        <w:t>Educational services</w:t>
      </w:r>
    </w:p>
    <w:p w14:paraId="18787AFD" w14:textId="77777777" w:rsidR="00DC3841" w:rsidRDefault="00DC3841" w:rsidP="00A121EE">
      <w:pPr>
        <w:pStyle w:val="ListParagraph"/>
        <w:numPr>
          <w:ilvl w:val="0"/>
          <w:numId w:val="38"/>
        </w:numPr>
        <w:rPr>
          <w:rFonts w:asciiTheme="minorHAnsi" w:hAnsiTheme="minorHAnsi"/>
          <w:sz w:val="24"/>
        </w:rPr>
      </w:pPr>
      <w:r>
        <w:rPr>
          <w:rFonts w:asciiTheme="minorHAnsi" w:hAnsiTheme="minorHAnsi"/>
          <w:sz w:val="24"/>
        </w:rPr>
        <w:t>Professional, scientific, and technical services</w:t>
      </w:r>
    </w:p>
    <w:p w14:paraId="6112E857" w14:textId="77777777" w:rsidR="00DC3841" w:rsidRDefault="00DC3841" w:rsidP="00A121EE">
      <w:pPr>
        <w:pStyle w:val="ListParagraph"/>
        <w:numPr>
          <w:ilvl w:val="0"/>
          <w:numId w:val="38"/>
        </w:numPr>
        <w:rPr>
          <w:rFonts w:asciiTheme="minorHAnsi" w:hAnsiTheme="minorHAnsi"/>
          <w:sz w:val="24"/>
        </w:rPr>
      </w:pPr>
      <w:r>
        <w:rPr>
          <w:rFonts w:asciiTheme="minorHAnsi" w:hAnsiTheme="minorHAnsi"/>
          <w:sz w:val="24"/>
        </w:rPr>
        <w:t>Ambulatory health care services</w:t>
      </w:r>
    </w:p>
    <w:p w14:paraId="2D6846CB" w14:textId="77777777" w:rsidR="00DC3841" w:rsidRDefault="00DC3841" w:rsidP="00A121EE">
      <w:pPr>
        <w:pStyle w:val="ListParagraph"/>
        <w:numPr>
          <w:ilvl w:val="0"/>
          <w:numId w:val="38"/>
        </w:numPr>
        <w:rPr>
          <w:rFonts w:asciiTheme="minorHAnsi" w:hAnsiTheme="minorHAnsi"/>
          <w:sz w:val="24"/>
        </w:rPr>
      </w:pPr>
      <w:r>
        <w:rPr>
          <w:rFonts w:asciiTheme="minorHAnsi" w:hAnsiTheme="minorHAnsi"/>
          <w:sz w:val="24"/>
        </w:rPr>
        <w:t>Nursing and residential care facilities</w:t>
      </w:r>
    </w:p>
    <w:p w14:paraId="1470B6E3" w14:textId="77777777" w:rsidR="00DC3841" w:rsidRPr="00BF174E" w:rsidRDefault="00DC3841" w:rsidP="00DC3841">
      <w:pPr>
        <w:rPr>
          <w:rFonts w:asciiTheme="minorHAnsi" w:hAnsiTheme="minorHAnsi"/>
          <w:sz w:val="24"/>
        </w:rPr>
      </w:pPr>
      <w:r>
        <w:rPr>
          <w:rFonts w:asciiTheme="minorHAnsi" w:hAnsiTheme="minorHAnsi"/>
          <w:sz w:val="24"/>
        </w:rPr>
        <w:t xml:space="preserve">Much of the employment within these industries will require certifications of varying degrees. Businesses will need to have a workforce that already have the certifications required, or a workforce that satisfies the education and work experience requirements in order to become certified at the needed level. </w:t>
      </w:r>
    </w:p>
    <w:p w14:paraId="4324CD79" w14:textId="01BDD123" w:rsidR="00DC3841" w:rsidRDefault="00DC3841" w:rsidP="00DC3841">
      <w:pPr>
        <w:rPr>
          <w:rFonts w:asciiTheme="minorHAnsi" w:hAnsiTheme="minorHAnsi"/>
          <w:b/>
          <w:sz w:val="24"/>
        </w:rPr>
      </w:pPr>
      <w:r>
        <w:rPr>
          <w:rFonts w:asciiTheme="minorHAnsi" w:hAnsiTheme="minorHAnsi"/>
          <w:b/>
          <w:sz w:val="24"/>
        </w:rPr>
        <w:t>Describe any major changes that may have an economic impact, such as planned public or private sector investments or initiatives that have affected or may affect job and business growth opportunities during the planning period. Describe any needs for workforce development, business support or infrastructure these changes may create.</w:t>
      </w:r>
    </w:p>
    <w:p w14:paraId="0113CC1A" w14:textId="289F567C" w:rsidR="00E374D0" w:rsidRPr="00C2240E" w:rsidRDefault="00C2240E" w:rsidP="00DC3841">
      <w:pPr>
        <w:rPr>
          <w:rFonts w:asciiTheme="minorHAnsi" w:hAnsiTheme="minorHAnsi"/>
          <w:sz w:val="24"/>
        </w:rPr>
      </w:pPr>
      <w:r>
        <w:rPr>
          <w:rFonts w:asciiTheme="minorHAnsi" w:hAnsiTheme="minorHAnsi"/>
          <w:sz w:val="24"/>
        </w:rPr>
        <w:t xml:space="preserve">See text below. </w:t>
      </w:r>
    </w:p>
    <w:p w14:paraId="75EB7ED5" w14:textId="7EBBF6DB" w:rsidR="00DC3841" w:rsidRDefault="00DC3841" w:rsidP="00DC3841">
      <w:pPr>
        <w:rPr>
          <w:rFonts w:asciiTheme="minorHAnsi" w:hAnsiTheme="minorHAnsi"/>
          <w:b/>
          <w:sz w:val="24"/>
        </w:rPr>
      </w:pPr>
      <w:r>
        <w:rPr>
          <w:rFonts w:asciiTheme="minorHAnsi" w:hAnsiTheme="minorHAnsi"/>
          <w:b/>
          <w:sz w:val="24"/>
        </w:rPr>
        <w:t>How do the skills and education of the current workforce correspond to employment opportunities in the state?</w:t>
      </w:r>
    </w:p>
    <w:p w14:paraId="350475F3" w14:textId="2AF511D2" w:rsidR="00301E6B" w:rsidRDefault="00301E6B" w:rsidP="005001C9">
      <w:pPr>
        <w:rPr>
          <w:rFonts w:asciiTheme="minorHAnsi" w:hAnsiTheme="minorHAnsi"/>
          <w:sz w:val="24"/>
        </w:rPr>
      </w:pPr>
      <w:r>
        <w:rPr>
          <w:rFonts w:asciiTheme="minorHAnsi" w:hAnsiTheme="minorHAnsi"/>
          <w:sz w:val="24"/>
        </w:rPr>
        <w:t xml:space="preserve">Midwestern values beat in the “Heart of America.” Honest, generous and hard-working Kansas workers are a driving factor in the expansion of our state’s economy. With outstanding schools and good partnerships between industry and education, Kansas businesses have access to a workforce that is prepared to meet the needs of companies in a highly competitive global economy. Though much of the state’s population is concentrated in metropolitan areas, firms locating in any region of the state will find motivated and skilled workers ready to put their talent to work. </w:t>
      </w:r>
    </w:p>
    <w:p w14:paraId="7AC04A59" w14:textId="31D0DEEA" w:rsidR="005001C9" w:rsidRDefault="005001C9" w:rsidP="005001C9">
      <w:pPr>
        <w:rPr>
          <w:rFonts w:asciiTheme="minorHAnsi" w:hAnsiTheme="minorHAnsi"/>
          <w:sz w:val="24"/>
        </w:rPr>
      </w:pPr>
      <w:r>
        <w:rPr>
          <w:rFonts w:asciiTheme="minorHAnsi" w:hAnsiTheme="minorHAnsi"/>
          <w:sz w:val="24"/>
        </w:rPr>
        <w:t xml:space="preserve">According to the Kansas Department of Commerce, the State’s education system is a powerful factor contributing to the success of Kansas business. Kansas has a long history of investing in the education of our youth to provide a quality workforce for the jobs created by firms choosing to do business in this state. </w:t>
      </w:r>
    </w:p>
    <w:p w14:paraId="1915516F" w14:textId="0EAADE29" w:rsidR="005001C9" w:rsidRDefault="005001C9" w:rsidP="005001C9">
      <w:pPr>
        <w:rPr>
          <w:rFonts w:asciiTheme="minorHAnsi" w:hAnsiTheme="minorHAnsi"/>
          <w:sz w:val="24"/>
        </w:rPr>
      </w:pPr>
      <w:r>
        <w:rPr>
          <w:rFonts w:asciiTheme="minorHAnsi" w:hAnsiTheme="minorHAnsi"/>
          <w:sz w:val="24"/>
        </w:rPr>
        <w:t xml:space="preserve">Both the public high school graduation rate and the percentage of the population with a bachelor’s degree are above the national average. Kansas offers outstanding options for higher education, one municipal university and 26 community and technical colleges. We invest in Kansas business by ensuring excellence in education and opportunity for all. The progressive business climate, coupled with a top-notch educational system, has resulted in an adept, well-skilled workforce. </w:t>
      </w:r>
    </w:p>
    <w:p w14:paraId="083FFDA1" w14:textId="77777777" w:rsidR="008C4D16" w:rsidRDefault="008C4D16" w:rsidP="008C4D16">
      <w:pPr>
        <w:rPr>
          <w:rFonts w:asciiTheme="minorHAnsi" w:hAnsiTheme="minorHAnsi"/>
          <w:sz w:val="24"/>
        </w:rPr>
      </w:pPr>
      <w:r>
        <w:rPr>
          <w:rFonts w:asciiTheme="minorHAnsi" w:hAnsiTheme="minorHAnsi"/>
          <w:sz w:val="24"/>
        </w:rPr>
        <w:t xml:space="preserve">Never before has postsecondary workforce development been more important. Kansas technical and community colleges provide the skills necessary for today’s businesses. Technical and community colleges focus efforts and resources to prepare workers for careers in Kansas’ highest-priority fields, including health care, advanced manufacturing/aviation, energy, biosciences and value-added agriculture. </w:t>
      </w:r>
    </w:p>
    <w:p w14:paraId="0BFA36CF" w14:textId="50510638" w:rsidR="005001C9" w:rsidRPr="005001C9" w:rsidRDefault="008C4D16" w:rsidP="00DC3841">
      <w:pPr>
        <w:rPr>
          <w:rFonts w:asciiTheme="minorHAnsi" w:hAnsiTheme="minorHAnsi"/>
          <w:sz w:val="24"/>
        </w:rPr>
      </w:pPr>
      <w:r>
        <w:rPr>
          <w:rFonts w:asciiTheme="minorHAnsi" w:hAnsiTheme="minorHAnsi"/>
          <w:sz w:val="24"/>
        </w:rPr>
        <w:t xml:space="preserve">The Kansas Postsecondary Technical Education Authority, a group of appointed business leaders, has been charged with aligning technical education more closely with business needs. Technical programs are responding with training which leads to industry credentials selected by business members. </w:t>
      </w:r>
    </w:p>
    <w:p w14:paraId="666DB673" w14:textId="68F10CA7" w:rsidR="00DC3841" w:rsidRDefault="00DC3841" w:rsidP="00DC3841">
      <w:pPr>
        <w:rPr>
          <w:rFonts w:asciiTheme="minorHAnsi" w:hAnsiTheme="minorHAnsi"/>
          <w:b/>
          <w:sz w:val="24"/>
        </w:rPr>
      </w:pPr>
      <w:r>
        <w:rPr>
          <w:rFonts w:asciiTheme="minorHAnsi" w:hAnsiTheme="minorHAnsi"/>
          <w:b/>
          <w:sz w:val="24"/>
        </w:rPr>
        <w:t>Describe current workforce training initiatives supported by the state. Describe how these efforts will support the state's Consolidated Plan.</w:t>
      </w:r>
    </w:p>
    <w:p w14:paraId="027F4953" w14:textId="3A75DE4C" w:rsidR="008C4D16" w:rsidRDefault="008C4D16" w:rsidP="00DC3841">
      <w:pPr>
        <w:rPr>
          <w:rFonts w:asciiTheme="minorHAnsi" w:hAnsiTheme="minorHAnsi"/>
          <w:sz w:val="24"/>
        </w:rPr>
      </w:pPr>
      <w:r>
        <w:rPr>
          <w:rFonts w:asciiTheme="minorHAnsi" w:hAnsiTheme="minorHAnsi"/>
          <w:sz w:val="24"/>
        </w:rPr>
        <w:t xml:space="preserve">The Kansas Department of Commerce administers the KANSASWORKS workforce system, which links businesses, job seekers, educational institutions and training providers to ensure the state’s workforce is equipped to meet industry needs. </w:t>
      </w:r>
    </w:p>
    <w:p w14:paraId="56DDCCF8" w14:textId="35D475BE" w:rsidR="008A582F" w:rsidRDefault="008A582F" w:rsidP="00DC3841">
      <w:pPr>
        <w:rPr>
          <w:rFonts w:asciiTheme="minorHAnsi" w:hAnsiTheme="minorHAnsi"/>
          <w:sz w:val="24"/>
        </w:rPr>
      </w:pPr>
      <w:r>
        <w:rPr>
          <w:rFonts w:asciiTheme="minorHAnsi" w:hAnsiTheme="minorHAnsi"/>
          <w:sz w:val="24"/>
        </w:rPr>
        <w:t xml:space="preserve">The KANSASWORKS On-the-Job Training program (OJT) supports local businesses needing to train and retain skilled, productive workers. Companies train promising candidates with the necessary skills for the position. For qualifying positions, OJT contracts can reimburse up to 50% of the wages to compensate employers for the cost associated with training and loss of production for a newly hired employee. OJT is a cost-effective strategy for employers needing to expand or whose openings require specialized or technical skills. The OJT program also gives unemployed workers valuable skills and permanent, full-time employment. Job seekers earn while they learn and begin a path toward a new career. </w:t>
      </w:r>
    </w:p>
    <w:p w14:paraId="3849CD5A" w14:textId="77777777" w:rsidR="008A582F" w:rsidRPr="00072A1F" w:rsidRDefault="008A582F" w:rsidP="008A582F">
      <w:pPr>
        <w:pStyle w:val="Body"/>
        <w:jc w:val="both"/>
        <w:rPr>
          <w:sz w:val="24"/>
          <w:szCs w:val="24"/>
        </w:rPr>
      </w:pPr>
      <w:r w:rsidRPr="00072A1F">
        <w:rPr>
          <w:sz w:val="24"/>
          <w:szCs w:val="24"/>
        </w:rPr>
        <w:t xml:space="preserve">Companies new to Kansas or Kansas businesses needing to expand or restructure may qualify for assistance under one of </w:t>
      </w:r>
      <w:r>
        <w:rPr>
          <w:sz w:val="24"/>
          <w:szCs w:val="24"/>
        </w:rPr>
        <w:t>the</w:t>
      </w:r>
      <w:r w:rsidRPr="00072A1F">
        <w:rPr>
          <w:sz w:val="24"/>
          <w:szCs w:val="24"/>
        </w:rPr>
        <w:t xml:space="preserve"> workforce training programs. These programs offer:</w:t>
      </w:r>
    </w:p>
    <w:p w14:paraId="0257D17D" w14:textId="77777777" w:rsidR="008A582F" w:rsidRPr="00072A1F" w:rsidRDefault="008A582F" w:rsidP="008A582F">
      <w:pPr>
        <w:pStyle w:val="Body"/>
        <w:numPr>
          <w:ilvl w:val="0"/>
          <w:numId w:val="7"/>
        </w:numPr>
        <w:jc w:val="both"/>
        <w:rPr>
          <w:sz w:val="24"/>
          <w:szCs w:val="24"/>
        </w:rPr>
      </w:pPr>
      <w:r w:rsidRPr="00072A1F">
        <w:rPr>
          <w:sz w:val="24"/>
          <w:szCs w:val="24"/>
        </w:rPr>
        <w:t>Services customized to specific training needs so employees develop better skills faster.</w:t>
      </w:r>
    </w:p>
    <w:p w14:paraId="7E0C4913" w14:textId="77777777" w:rsidR="008A582F" w:rsidRPr="00072A1F" w:rsidRDefault="008A582F" w:rsidP="008A582F">
      <w:pPr>
        <w:pStyle w:val="Body"/>
        <w:numPr>
          <w:ilvl w:val="0"/>
          <w:numId w:val="7"/>
        </w:numPr>
        <w:jc w:val="both"/>
        <w:rPr>
          <w:sz w:val="24"/>
          <w:szCs w:val="24"/>
        </w:rPr>
      </w:pPr>
      <w:r w:rsidRPr="00072A1F">
        <w:rPr>
          <w:sz w:val="24"/>
          <w:szCs w:val="24"/>
        </w:rPr>
        <w:t>A collaborative effort between companies, the Department of Commerce and training providers to train for the right employee knowledge, skills and abilities.</w:t>
      </w:r>
    </w:p>
    <w:p w14:paraId="385C659A" w14:textId="77777777" w:rsidR="008A582F" w:rsidRPr="00072A1F" w:rsidRDefault="008A582F" w:rsidP="008A582F">
      <w:pPr>
        <w:pStyle w:val="Body"/>
        <w:numPr>
          <w:ilvl w:val="0"/>
          <w:numId w:val="7"/>
        </w:numPr>
        <w:jc w:val="both"/>
        <w:rPr>
          <w:sz w:val="24"/>
          <w:szCs w:val="24"/>
        </w:rPr>
      </w:pPr>
      <w:r w:rsidRPr="00072A1F">
        <w:rPr>
          <w:sz w:val="24"/>
          <w:szCs w:val="24"/>
        </w:rPr>
        <w:t>Consulting and assistance in workforce training as companies develop employees’ competencies.</w:t>
      </w:r>
    </w:p>
    <w:p w14:paraId="4BB28D8D" w14:textId="77777777" w:rsidR="008A582F" w:rsidRPr="00072A1F" w:rsidRDefault="008A582F" w:rsidP="008A582F">
      <w:pPr>
        <w:pStyle w:val="Body"/>
        <w:numPr>
          <w:ilvl w:val="0"/>
          <w:numId w:val="7"/>
        </w:numPr>
        <w:jc w:val="both"/>
        <w:rPr>
          <w:sz w:val="24"/>
          <w:szCs w:val="24"/>
        </w:rPr>
      </w:pPr>
      <w:r w:rsidRPr="00072A1F">
        <w:rPr>
          <w:sz w:val="24"/>
          <w:szCs w:val="24"/>
        </w:rPr>
        <w:t>A streamlined process to apply for and access workforce development programs.</w:t>
      </w:r>
    </w:p>
    <w:p w14:paraId="1BED3470" w14:textId="77777777" w:rsidR="008A582F" w:rsidRPr="00072A1F" w:rsidRDefault="008A582F" w:rsidP="008A582F">
      <w:pPr>
        <w:pStyle w:val="Body"/>
        <w:numPr>
          <w:ilvl w:val="0"/>
          <w:numId w:val="7"/>
        </w:numPr>
        <w:jc w:val="both"/>
        <w:rPr>
          <w:sz w:val="24"/>
          <w:szCs w:val="24"/>
        </w:rPr>
      </w:pPr>
      <w:r w:rsidRPr="00072A1F">
        <w:rPr>
          <w:sz w:val="24"/>
          <w:szCs w:val="24"/>
        </w:rPr>
        <w:t>Personalized assistance with the reimbursement processes.</w:t>
      </w:r>
    </w:p>
    <w:p w14:paraId="32B5C481" w14:textId="49DC7013" w:rsidR="008A582F" w:rsidRPr="008A582F" w:rsidRDefault="008A582F" w:rsidP="00DC3841">
      <w:pPr>
        <w:pStyle w:val="Body"/>
        <w:numPr>
          <w:ilvl w:val="0"/>
          <w:numId w:val="7"/>
        </w:numPr>
        <w:jc w:val="both"/>
        <w:rPr>
          <w:sz w:val="24"/>
          <w:szCs w:val="24"/>
        </w:rPr>
      </w:pPr>
      <w:r w:rsidRPr="00072A1F">
        <w:rPr>
          <w:sz w:val="24"/>
          <w:szCs w:val="24"/>
        </w:rPr>
        <w:t>The support of KANSASWORKS workforce services in recruiting and screening skilled employees.</w:t>
      </w:r>
    </w:p>
    <w:p w14:paraId="41DD3840" w14:textId="28C453D5" w:rsidR="008C4D16" w:rsidRDefault="008C4D16" w:rsidP="00DC3841">
      <w:pPr>
        <w:rPr>
          <w:rFonts w:asciiTheme="minorHAnsi" w:hAnsiTheme="minorHAnsi"/>
          <w:sz w:val="24"/>
        </w:rPr>
      </w:pPr>
      <w:r>
        <w:rPr>
          <w:rFonts w:asciiTheme="minorHAnsi" w:hAnsiTheme="minorHAnsi"/>
          <w:sz w:val="24"/>
        </w:rPr>
        <w:t xml:space="preserve">Other incentives and training programs provided by Commerce include </w:t>
      </w:r>
      <w:hyperlink r:id="rId29" w:history="1">
        <w:r w:rsidRPr="008C4D16">
          <w:rPr>
            <w:rStyle w:val="Hyperlink"/>
            <w:rFonts w:asciiTheme="minorHAnsi" w:hAnsiTheme="minorHAnsi"/>
            <w:sz w:val="24"/>
          </w:rPr>
          <w:t>Kansas Industrial Training (KIT)</w:t>
        </w:r>
      </w:hyperlink>
      <w:r>
        <w:rPr>
          <w:rFonts w:asciiTheme="minorHAnsi" w:hAnsiTheme="minorHAnsi"/>
          <w:sz w:val="24"/>
        </w:rPr>
        <w:t xml:space="preserve"> and </w:t>
      </w:r>
      <w:hyperlink r:id="rId30" w:history="1">
        <w:r w:rsidRPr="008C4D16">
          <w:rPr>
            <w:rStyle w:val="Hyperlink"/>
            <w:rFonts w:asciiTheme="minorHAnsi" w:hAnsiTheme="minorHAnsi"/>
            <w:sz w:val="24"/>
          </w:rPr>
          <w:t>Kansas Industrial Retraining (KIR)</w:t>
        </w:r>
      </w:hyperlink>
      <w:r>
        <w:rPr>
          <w:rFonts w:asciiTheme="minorHAnsi" w:hAnsiTheme="minorHAnsi"/>
          <w:sz w:val="24"/>
        </w:rPr>
        <w:t xml:space="preserve">. </w:t>
      </w:r>
    </w:p>
    <w:p w14:paraId="0ED0DE6F" w14:textId="245DF171" w:rsidR="008A582F" w:rsidRPr="008C4D16" w:rsidRDefault="008A582F" w:rsidP="00DC3841">
      <w:pPr>
        <w:rPr>
          <w:rFonts w:asciiTheme="minorHAnsi" w:hAnsiTheme="minorHAnsi"/>
          <w:sz w:val="24"/>
        </w:rPr>
      </w:pPr>
      <w:r>
        <w:rPr>
          <w:rFonts w:asciiTheme="minorHAnsi" w:hAnsiTheme="minorHAnsi"/>
          <w:sz w:val="24"/>
        </w:rPr>
        <w:t xml:space="preserve">These programs will support the State’s Consolidated Plan through greater economic development growth and job creation, resulting in fewer demands on social services. </w:t>
      </w:r>
    </w:p>
    <w:p w14:paraId="19FD4A66" w14:textId="2E213AA7" w:rsidR="00DC3841" w:rsidRDefault="00DC3841" w:rsidP="00DC3841">
      <w:pPr>
        <w:rPr>
          <w:rFonts w:asciiTheme="minorHAnsi" w:hAnsiTheme="minorHAnsi"/>
          <w:b/>
          <w:sz w:val="24"/>
        </w:rPr>
      </w:pPr>
      <w:r>
        <w:rPr>
          <w:rFonts w:asciiTheme="minorHAnsi" w:hAnsiTheme="minorHAnsi"/>
          <w:b/>
          <w:sz w:val="24"/>
        </w:rPr>
        <w:t>Describe any other state efforts to support economic growth.</w:t>
      </w:r>
    </w:p>
    <w:p w14:paraId="4BD3EEFC" w14:textId="3D0C6B04" w:rsidR="008C4D16" w:rsidRDefault="008C4D16" w:rsidP="00DC3841">
      <w:pPr>
        <w:rPr>
          <w:rFonts w:asciiTheme="minorHAnsi" w:hAnsiTheme="minorHAnsi"/>
          <w:sz w:val="24"/>
        </w:rPr>
      </w:pPr>
      <w:r>
        <w:rPr>
          <w:rFonts w:asciiTheme="minorHAnsi" w:hAnsiTheme="minorHAnsi"/>
          <w:sz w:val="24"/>
        </w:rPr>
        <w:t xml:space="preserve">Economic Development grants to cities or counties are loaned to provide gap financing for private businesses that create or retain permanent jobs. Eligible activities include infrastructure, land acquisition, fixed assets and working capital. At least 51 percent of the jobs created or retained by the </w:t>
      </w:r>
      <w:r w:rsidR="008A582F">
        <w:rPr>
          <w:rFonts w:asciiTheme="minorHAnsi" w:hAnsiTheme="minorHAnsi"/>
          <w:sz w:val="24"/>
        </w:rPr>
        <w:t xml:space="preserve">for-profit entity must meet HUD’s low- and moderate-income standard. </w:t>
      </w:r>
    </w:p>
    <w:p w14:paraId="0494AAA5" w14:textId="55E482AC" w:rsidR="008A582F" w:rsidRPr="008C4D16" w:rsidRDefault="008A582F" w:rsidP="00DC3841">
      <w:pPr>
        <w:rPr>
          <w:rFonts w:asciiTheme="minorHAnsi" w:hAnsiTheme="minorHAnsi"/>
          <w:sz w:val="24"/>
        </w:rPr>
      </w:pPr>
      <w:r>
        <w:rPr>
          <w:rFonts w:asciiTheme="minorHAnsi" w:hAnsiTheme="minorHAnsi"/>
          <w:sz w:val="24"/>
        </w:rPr>
        <w:t xml:space="preserve">Some repayment is required for all economic development categories . Grants are made to cities and counties, which then loan funds to developing businesses. Repaid funds are returned to the state revolving loan fund. Funds may also be used for infrastructure on a loan/grant basis. The funding ceiling is $35,000 per job created or retained with a maximum of $750,000. Matching funds are required. </w:t>
      </w:r>
    </w:p>
    <w:p w14:paraId="251BDEC2" w14:textId="77777777" w:rsidR="00DC3841" w:rsidRDefault="00DC3841" w:rsidP="00DC3841">
      <w:pPr>
        <w:rPr>
          <w:rFonts w:asciiTheme="minorHAnsi" w:hAnsiTheme="minorHAnsi"/>
          <w:b/>
          <w:sz w:val="24"/>
        </w:rPr>
      </w:pPr>
      <w:r>
        <w:rPr>
          <w:rFonts w:asciiTheme="minorHAnsi" w:hAnsiTheme="minorHAnsi"/>
          <w:b/>
          <w:sz w:val="24"/>
        </w:rPr>
        <w:t>Discussion</w:t>
      </w:r>
    </w:p>
    <w:p w14:paraId="393D78B1" w14:textId="77777777" w:rsidR="00DC3841" w:rsidRDefault="00DC3841" w:rsidP="00DC3841">
      <w:pPr>
        <w:rPr>
          <w:rFonts w:asciiTheme="minorHAnsi" w:hAnsiTheme="minorHAnsi"/>
          <w:sz w:val="24"/>
        </w:rPr>
      </w:pPr>
      <w:r>
        <w:rPr>
          <w:rFonts w:asciiTheme="minorHAnsi" w:hAnsiTheme="minorHAnsi"/>
          <w:sz w:val="24"/>
        </w:rPr>
        <w:t xml:space="preserve">According to HUD policy, each grantee submitting a Consolidated Plan after January 1, 2018 must address broadband needs within the jurisdiction. </w:t>
      </w:r>
    </w:p>
    <w:p w14:paraId="064BEB55" w14:textId="77777777" w:rsidR="00DC3841" w:rsidRDefault="00DC3841" w:rsidP="00DC3841">
      <w:pPr>
        <w:rPr>
          <w:rFonts w:asciiTheme="minorHAnsi" w:hAnsiTheme="minorHAnsi"/>
          <w:sz w:val="24"/>
        </w:rPr>
      </w:pPr>
      <w:r>
        <w:rPr>
          <w:rFonts w:asciiTheme="minorHAnsi" w:hAnsiTheme="minorHAnsi"/>
          <w:sz w:val="24"/>
        </w:rPr>
        <w:t xml:space="preserve">Below is a map outlining Kansans access to high-speed internet. The map below displays access to internet speed that is 25 Mbps download and 3 Mbps upload, the minimum speeds to be considered broadband. The Northwest corner and South-Central region of Kansas have areas with no broadband access. It is also important to consider the cost of the equipment needed to access the opportunities broadband may bring. Despite some areas having access to multiple broadband providers, there is still need for support in acquiring access to the machines and equipment that broadband functions upon. </w:t>
      </w:r>
    </w:p>
    <w:p w14:paraId="298FC4DE" w14:textId="77777777" w:rsidR="00DC3841" w:rsidRDefault="00DC3841" w:rsidP="00DC3841">
      <w:pPr>
        <w:rPr>
          <w:rFonts w:asciiTheme="minorHAnsi" w:hAnsiTheme="minorHAnsi"/>
          <w:b/>
          <w:sz w:val="24"/>
        </w:rPr>
      </w:pPr>
      <w:r>
        <w:rPr>
          <w:rFonts w:asciiTheme="minorHAnsi" w:hAnsiTheme="minorHAnsi"/>
          <w:b/>
          <w:noProof/>
          <w:sz w:val="24"/>
        </w:rPr>
        <w:drawing>
          <wp:inline distT="0" distB="0" distL="0" distR="0" wp14:anchorId="555CD79A" wp14:editId="65C80AF5">
            <wp:extent cx="5943600" cy="3070860"/>
            <wp:effectExtent l="0" t="0" r="0" b="0"/>
            <wp:docPr id="3" name="Picture 3" descr="C:\Users\jwarren.CCG\AppData\Local\Microsoft\Windows\INetCache\Content.Word\Broad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rren.CCG\AppData\Local\Microsoft\Windows\INetCache\Content.Word\Broadban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p>
    <w:p w14:paraId="0B8039D7" w14:textId="77777777" w:rsidR="00DC3841" w:rsidRDefault="00DC3841" w:rsidP="00DC3841">
      <w:pPr>
        <w:rPr>
          <w:rFonts w:asciiTheme="minorHAnsi" w:hAnsiTheme="minorHAnsi"/>
          <w:b/>
          <w:sz w:val="24"/>
        </w:rPr>
      </w:pPr>
      <w:r>
        <w:rPr>
          <w:rFonts w:asciiTheme="minorHAnsi" w:hAnsiTheme="minorHAnsi"/>
          <w:b/>
          <w:noProof/>
          <w:sz w:val="24"/>
        </w:rPr>
        <w:drawing>
          <wp:inline distT="0" distB="0" distL="0" distR="0" wp14:anchorId="465934F1" wp14:editId="6750D684">
            <wp:extent cx="3718560" cy="899160"/>
            <wp:effectExtent l="0" t="0" r="0" b="0"/>
            <wp:docPr id="4" name="Picture 4" descr="C:\Users\jwarren.CCG\AppData\Local\Microsoft\Windows\INetCache\Content.Word\broadbnad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arren.CCG\AppData\Local\Microsoft\Windows\INetCache\Content.Word\broadbnad legen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8560" cy="899160"/>
                    </a:xfrm>
                    <a:prstGeom prst="rect">
                      <a:avLst/>
                    </a:prstGeom>
                    <a:noFill/>
                    <a:ln>
                      <a:noFill/>
                    </a:ln>
                  </pic:spPr>
                </pic:pic>
              </a:graphicData>
            </a:graphic>
          </wp:inline>
        </w:drawing>
      </w:r>
    </w:p>
    <w:p w14:paraId="5137A1A1" w14:textId="77777777" w:rsidR="00DC3841" w:rsidRDefault="00DC3841" w:rsidP="00DC3841">
      <w:pPr>
        <w:rPr>
          <w:rFonts w:asciiTheme="minorHAnsi" w:hAnsiTheme="minorHAnsi"/>
          <w:sz w:val="18"/>
        </w:rPr>
      </w:pPr>
      <w:r>
        <w:rPr>
          <w:rFonts w:asciiTheme="minorHAnsi" w:hAnsiTheme="minorHAnsi"/>
          <w:i/>
          <w:sz w:val="18"/>
        </w:rPr>
        <w:t>Source: FCC Broadband Map (broadband.fcc.gov)</w:t>
      </w:r>
    </w:p>
    <w:p w14:paraId="5E4083FD" w14:textId="77777777" w:rsidR="00DC3841" w:rsidRPr="00EE1C25" w:rsidRDefault="00DC3841" w:rsidP="00DC3841">
      <w:pPr>
        <w:rPr>
          <w:rFonts w:asciiTheme="minorHAnsi" w:hAnsiTheme="minorHAnsi"/>
          <w:sz w:val="24"/>
        </w:rPr>
      </w:pPr>
      <w:r>
        <w:rPr>
          <w:rFonts w:asciiTheme="minorHAnsi" w:hAnsiTheme="minorHAnsi"/>
          <w:sz w:val="24"/>
        </w:rPr>
        <w:t xml:space="preserve">According to the table below, Kansas is slightly behind the national averages, but is outperforming its immediate neighbors when comparing each state’s population and their access to broadband providers.  Lack of broadband provider competition leaves room for market rigidity – allowing providers to not offer affordable options for low or moderate-income families. Ultimately, the lack of market options when considering broadband access disproportionately impacts low- and moderate-income households because they often have few financial resources to spend on what may be deemed non-essentials, such as broadband services. </w:t>
      </w:r>
    </w:p>
    <w:p w14:paraId="6C146D54" w14:textId="77777777" w:rsidR="00DC3841" w:rsidRPr="00EE1C25" w:rsidRDefault="00DC3841" w:rsidP="00DC3841">
      <w:pPr>
        <w:rPr>
          <w:rFonts w:asciiTheme="minorHAnsi" w:hAnsiTheme="minorHAnsi"/>
          <w:b/>
          <w:sz w:val="24"/>
        </w:rPr>
      </w:pPr>
      <w:r>
        <w:rPr>
          <w:rFonts w:asciiTheme="minorHAnsi" w:hAnsiTheme="minorHAnsi"/>
          <w:b/>
          <w:sz w:val="24"/>
        </w:rPr>
        <w:t>Table 22 – Percent of Population with Broadband Providers</w:t>
      </w:r>
    </w:p>
    <w:tbl>
      <w:tblPr>
        <w:tblStyle w:val="GridTable4-Accent1"/>
        <w:tblW w:w="0" w:type="auto"/>
        <w:tblLook w:val="04A0" w:firstRow="1" w:lastRow="0" w:firstColumn="1" w:lastColumn="0" w:noHBand="0" w:noVBand="1"/>
      </w:tblPr>
      <w:tblGrid>
        <w:gridCol w:w="2893"/>
        <w:gridCol w:w="1247"/>
        <w:gridCol w:w="1342"/>
        <w:gridCol w:w="1253"/>
        <w:gridCol w:w="1432"/>
        <w:gridCol w:w="1183"/>
      </w:tblGrid>
      <w:tr w:rsidR="00DC3841" w14:paraId="2609E67C"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6B32959" w14:textId="77777777" w:rsidR="00DC3841" w:rsidRDefault="00DC3841" w:rsidP="007C520D">
            <w:pPr>
              <w:rPr>
                <w:rFonts w:asciiTheme="minorHAnsi" w:hAnsiTheme="minorHAnsi"/>
                <w:sz w:val="24"/>
              </w:rPr>
            </w:pPr>
          </w:p>
        </w:tc>
        <w:tc>
          <w:tcPr>
            <w:tcW w:w="1260" w:type="dxa"/>
          </w:tcPr>
          <w:p w14:paraId="024622AA" w14:textId="77777777" w:rsidR="00DC3841" w:rsidRDefault="00DC3841"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Kansas</w:t>
            </w:r>
          </w:p>
        </w:tc>
        <w:tc>
          <w:tcPr>
            <w:tcW w:w="1350" w:type="dxa"/>
          </w:tcPr>
          <w:p w14:paraId="57AC7360" w14:textId="77777777" w:rsidR="00DC3841" w:rsidRDefault="00DC3841"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Nebraska</w:t>
            </w:r>
          </w:p>
        </w:tc>
        <w:tc>
          <w:tcPr>
            <w:tcW w:w="1260" w:type="dxa"/>
          </w:tcPr>
          <w:p w14:paraId="0DD31CBF" w14:textId="77777777" w:rsidR="00DC3841" w:rsidRDefault="00DC3841"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Missouri</w:t>
            </w:r>
          </w:p>
        </w:tc>
        <w:tc>
          <w:tcPr>
            <w:tcW w:w="1440" w:type="dxa"/>
          </w:tcPr>
          <w:p w14:paraId="770280F5" w14:textId="77777777" w:rsidR="00DC3841" w:rsidRDefault="00DC3841"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Oklahoma</w:t>
            </w:r>
          </w:p>
        </w:tc>
        <w:tc>
          <w:tcPr>
            <w:tcW w:w="1188" w:type="dxa"/>
          </w:tcPr>
          <w:p w14:paraId="361A3256" w14:textId="77777777" w:rsidR="00DC3841" w:rsidRDefault="00DC3841" w:rsidP="007C520D">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National</w:t>
            </w:r>
          </w:p>
        </w:tc>
      </w:tr>
      <w:tr w:rsidR="00DC3841" w14:paraId="161235D2"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64DBE355" w14:textId="77777777" w:rsidR="00DC3841" w:rsidRDefault="00DC3841" w:rsidP="007C520D">
            <w:pPr>
              <w:rPr>
                <w:rFonts w:asciiTheme="minorHAnsi" w:hAnsiTheme="minorHAnsi"/>
                <w:sz w:val="24"/>
              </w:rPr>
            </w:pPr>
            <w:r>
              <w:rPr>
                <w:rFonts w:asciiTheme="minorHAnsi" w:hAnsiTheme="minorHAnsi"/>
                <w:sz w:val="24"/>
              </w:rPr>
              <w:t>No providers</w:t>
            </w:r>
          </w:p>
        </w:tc>
        <w:tc>
          <w:tcPr>
            <w:tcW w:w="1260" w:type="dxa"/>
          </w:tcPr>
          <w:p w14:paraId="62AD2E3C"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7.78%</w:t>
            </w:r>
          </w:p>
        </w:tc>
        <w:tc>
          <w:tcPr>
            <w:tcW w:w="1350" w:type="dxa"/>
          </w:tcPr>
          <w:p w14:paraId="28D3A564"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11.03%</w:t>
            </w:r>
          </w:p>
        </w:tc>
        <w:tc>
          <w:tcPr>
            <w:tcW w:w="1260" w:type="dxa"/>
          </w:tcPr>
          <w:p w14:paraId="5A7CAEE4"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3.83%</w:t>
            </w:r>
          </w:p>
        </w:tc>
        <w:tc>
          <w:tcPr>
            <w:tcW w:w="1440" w:type="dxa"/>
          </w:tcPr>
          <w:p w14:paraId="7C4E3831"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8.91%</w:t>
            </w:r>
          </w:p>
        </w:tc>
        <w:tc>
          <w:tcPr>
            <w:tcW w:w="1188" w:type="dxa"/>
          </w:tcPr>
          <w:p w14:paraId="5FCEA80F"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4.54%</w:t>
            </w:r>
          </w:p>
        </w:tc>
      </w:tr>
      <w:tr w:rsidR="00DC3841" w14:paraId="1779D369" w14:textId="77777777" w:rsidTr="007C520D">
        <w:tc>
          <w:tcPr>
            <w:cnfStyle w:val="001000000000" w:firstRow="0" w:lastRow="0" w:firstColumn="1" w:lastColumn="0" w:oddVBand="0" w:evenVBand="0" w:oddHBand="0" w:evenHBand="0" w:firstRowFirstColumn="0" w:firstRowLastColumn="0" w:lastRowFirstColumn="0" w:lastRowLastColumn="0"/>
            <w:tcW w:w="2963" w:type="dxa"/>
          </w:tcPr>
          <w:p w14:paraId="53A7821E" w14:textId="77777777" w:rsidR="00DC3841" w:rsidRDefault="00DC3841" w:rsidP="007C520D">
            <w:pPr>
              <w:rPr>
                <w:rFonts w:asciiTheme="minorHAnsi" w:hAnsiTheme="minorHAnsi"/>
                <w:sz w:val="24"/>
              </w:rPr>
            </w:pPr>
            <w:r>
              <w:rPr>
                <w:rFonts w:asciiTheme="minorHAnsi" w:hAnsiTheme="minorHAnsi"/>
                <w:sz w:val="24"/>
              </w:rPr>
              <w:t>1 or more providers</w:t>
            </w:r>
          </w:p>
        </w:tc>
        <w:tc>
          <w:tcPr>
            <w:tcW w:w="1260" w:type="dxa"/>
          </w:tcPr>
          <w:p w14:paraId="5C37A804"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92.22%</w:t>
            </w:r>
          </w:p>
        </w:tc>
        <w:tc>
          <w:tcPr>
            <w:tcW w:w="1350" w:type="dxa"/>
          </w:tcPr>
          <w:p w14:paraId="5E35899A"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88.97%</w:t>
            </w:r>
          </w:p>
        </w:tc>
        <w:tc>
          <w:tcPr>
            <w:tcW w:w="1260" w:type="dxa"/>
          </w:tcPr>
          <w:p w14:paraId="46ECC537"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96.17%</w:t>
            </w:r>
          </w:p>
        </w:tc>
        <w:tc>
          <w:tcPr>
            <w:tcW w:w="1440" w:type="dxa"/>
          </w:tcPr>
          <w:p w14:paraId="0456BAE2"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91.09%</w:t>
            </w:r>
          </w:p>
        </w:tc>
        <w:tc>
          <w:tcPr>
            <w:tcW w:w="1188" w:type="dxa"/>
          </w:tcPr>
          <w:p w14:paraId="0E4C12CC"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95.46%</w:t>
            </w:r>
          </w:p>
        </w:tc>
      </w:tr>
      <w:tr w:rsidR="00DC3841" w14:paraId="266F01B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37B01892" w14:textId="77777777" w:rsidR="00DC3841" w:rsidRDefault="00DC3841" w:rsidP="007C520D">
            <w:pPr>
              <w:rPr>
                <w:rFonts w:asciiTheme="minorHAnsi" w:hAnsiTheme="minorHAnsi"/>
                <w:sz w:val="24"/>
              </w:rPr>
            </w:pPr>
            <w:r>
              <w:rPr>
                <w:rFonts w:asciiTheme="minorHAnsi" w:hAnsiTheme="minorHAnsi"/>
                <w:sz w:val="24"/>
              </w:rPr>
              <w:t>2 or more providers</w:t>
            </w:r>
          </w:p>
        </w:tc>
        <w:tc>
          <w:tcPr>
            <w:tcW w:w="1260" w:type="dxa"/>
          </w:tcPr>
          <w:p w14:paraId="79AB6011"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65.16%</w:t>
            </w:r>
          </w:p>
        </w:tc>
        <w:tc>
          <w:tcPr>
            <w:tcW w:w="1350" w:type="dxa"/>
          </w:tcPr>
          <w:p w14:paraId="3E9173DF"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63.09%</w:t>
            </w:r>
          </w:p>
        </w:tc>
        <w:tc>
          <w:tcPr>
            <w:tcW w:w="1260" w:type="dxa"/>
          </w:tcPr>
          <w:p w14:paraId="6D170A0D"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77.06%</w:t>
            </w:r>
          </w:p>
        </w:tc>
        <w:tc>
          <w:tcPr>
            <w:tcW w:w="1440" w:type="dxa"/>
          </w:tcPr>
          <w:p w14:paraId="27E97EF9"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58.59%</w:t>
            </w:r>
          </w:p>
        </w:tc>
        <w:tc>
          <w:tcPr>
            <w:tcW w:w="1188" w:type="dxa"/>
          </w:tcPr>
          <w:p w14:paraId="43B8DFD0" w14:textId="77777777" w:rsidR="00DC3841" w:rsidRDefault="00DC3841" w:rsidP="007C52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76.10%</w:t>
            </w:r>
          </w:p>
        </w:tc>
      </w:tr>
      <w:tr w:rsidR="00DC3841" w14:paraId="504342CB" w14:textId="77777777" w:rsidTr="007C520D">
        <w:tc>
          <w:tcPr>
            <w:cnfStyle w:val="001000000000" w:firstRow="0" w:lastRow="0" w:firstColumn="1" w:lastColumn="0" w:oddVBand="0" w:evenVBand="0" w:oddHBand="0" w:evenHBand="0" w:firstRowFirstColumn="0" w:firstRowLastColumn="0" w:lastRowFirstColumn="0" w:lastRowLastColumn="0"/>
            <w:tcW w:w="2963" w:type="dxa"/>
          </w:tcPr>
          <w:p w14:paraId="0BA2549A" w14:textId="77777777" w:rsidR="00DC3841" w:rsidRDefault="00DC3841" w:rsidP="007C520D">
            <w:pPr>
              <w:rPr>
                <w:rFonts w:asciiTheme="minorHAnsi" w:hAnsiTheme="minorHAnsi"/>
                <w:sz w:val="24"/>
              </w:rPr>
            </w:pPr>
            <w:r>
              <w:rPr>
                <w:rFonts w:asciiTheme="minorHAnsi" w:hAnsiTheme="minorHAnsi"/>
                <w:sz w:val="24"/>
              </w:rPr>
              <w:t>3 or more providers</w:t>
            </w:r>
          </w:p>
        </w:tc>
        <w:tc>
          <w:tcPr>
            <w:tcW w:w="1260" w:type="dxa"/>
          </w:tcPr>
          <w:p w14:paraId="6D946079"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42.75%</w:t>
            </w:r>
          </w:p>
        </w:tc>
        <w:tc>
          <w:tcPr>
            <w:tcW w:w="1350" w:type="dxa"/>
          </w:tcPr>
          <w:p w14:paraId="7045FB90"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29.56%</w:t>
            </w:r>
          </w:p>
        </w:tc>
        <w:tc>
          <w:tcPr>
            <w:tcW w:w="1260" w:type="dxa"/>
          </w:tcPr>
          <w:p w14:paraId="47D0BC06"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42.76%</w:t>
            </w:r>
          </w:p>
        </w:tc>
        <w:tc>
          <w:tcPr>
            <w:tcW w:w="1440" w:type="dxa"/>
          </w:tcPr>
          <w:p w14:paraId="2DC9FDA2"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27.36%</w:t>
            </w:r>
          </w:p>
        </w:tc>
        <w:tc>
          <w:tcPr>
            <w:tcW w:w="1188" w:type="dxa"/>
          </w:tcPr>
          <w:p w14:paraId="39140652" w14:textId="77777777" w:rsidR="00DC3841" w:rsidRDefault="00DC3841" w:rsidP="007C52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r>
              <w:rPr>
                <w:rFonts w:asciiTheme="minorHAnsi" w:hAnsiTheme="minorHAnsi"/>
                <w:sz w:val="24"/>
              </w:rPr>
              <w:t>45.33%</w:t>
            </w:r>
          </w:p>
        </w:tc>
      </w:tr>
    </w:tbl>
    <w:p w14:paraId="3F6638C4" w14:textId="77777777" w:rsidR="00DC3841" w:rsidRDefault="00DC3841" w:rsidP="00DC3841">
      <w:pPr>
        <w:rPr>
          <w:rFonts w:asciiTheme="minorHAnsi" w:hAnsiTheme="minorHAnsi"/>
          <w:sz w:val="18"/>
        </w:rPr>
      </w:pPr>
      <w:r>
        <w:rPr>
          <w:rFonts w:asciiTheme="minorHAnsi" w:hAnsiTheme="minorHAnsi"/>
          <w:i/>
          <w:sz w:val="18"/>
        </w:rPr>
        <w:t>Source: FCC Broadband Map (broadband.fcc.gov)</w:t>
      </w:r>
    </w:p>
    <w:p w14:paraId="4F9C9AEF" w14:textId="77777777" w:rsidR="00DC3841" w:rsidRPr="008D09AF" w:rsidRDefault="00DC3841" w:rsidP="00DC3841">
      <w:pPr>
        <w:rPr>
          <w:rFonts w:asciiTheme="minorHAnsi" w:hAnsiTheme="minorHAnsi"/>
          <w:sz w:val="18"/>
        </w:rPr>
      </w:pPr>
    </w:p>
    <w:p w14:paraId="45F09399" w14:textId="77777777" w:rsidR="00DC3841" w:rsidRPr="00C05EB0" w:rsidRDefault="00DC3841" w:rsidP="00DC3841">
      <w:pPr>
        <w:pStyle w:val="Heading2"/>
        <w:shd w:val="clear" w:color="auto" w:fill="95B3D7" w:themeFill="accent1" w:themeFillTint="99"/>
        <w:rPr>
          <w:rFonts w:ascii="Calibri" w:hAnsi="Calibri"/>
          <w:i w:val="0"/>
        </w:rPr>
      </w:pPr>
      <w:bookmarkStart w:id="42" w:name="_Toc524603027"/>
      <w:r>
        <w:rPr>
          <w:rFonts w:ascii="Calibri" w:hAnsi="Calibri"/>
          <w:i w:val="0"/>
        </w:rPr>
        <w:t xml:space="preserve">MA-50 </w:t>
      </w:r>
      <w:r>
        <w:rPr>
          <w:rFonts w:asciiTheme="minorHAnsi" w:hAnsiTheme="minorHAnsi"/>
          <w:i w:val="0"/>
        </w:rPr>
        <w:t>Needs and Market Analysis Discussion</w:t>
      </w:r>
      <w:bookmarkEnd w:id="42"/>
    </w:p>
    <w:p w14:paraId="395B2714" w14:textId="77777777" w:rsidR="00DC3841" w:rsidRDefault="00DC3841" w:rsidP="00DC3841">
      <w:pPr>
        <w:rPr>
          <w:rFonts w:asciiTheme="minorHAnsi" w:hAnsiTheme="minorHAnsi"/>
          <w:b/>
          <w:sz w:val="24"/>
        </w:rPr>
      </w:pPr>
      <w:r>
        <w:rPr>
          <w:rFonts w:asciiTheme="minorHAnsi" w:hAnsiTheme="minorHAnsi"/>
          <w:b/>
          <w:sz w:val="24"/>
        </w:rPr>
        <w:t>Are there areas where households with multiple housing problems are concentrated? (include a definition of "concentration")</w:t>
      </w:r>
    </w:p>
    <w:p w14:paraId="78F70394" w14:textId="69879100" w:rsidR="00DC3841" w:rsidRPr="003F1412" w:rsidRDefault="00DC3841" w:rsidP="00DC3841">
      <w:pPr>
        <w:rPr>
          <w:rFonts w:asciiTheme="minorHAnsi" w:hAnsiTheme="minorHAnsi"/>
          <w:sz w:val="24"/>
        </w:rPr>
      </w:pPr>
      <w:r>
        <w:rPr>
          <w:rFonts w:asciiTheme="minorHAnsi" w:hAnsiTheme="minorHAnsi"/>
          <w:sz w:val="24"/>
        </w:rPr>
        <w:t>There is no data collected on geographic location of those households with multiple housing problems. Below is a map identifying the counties and their percentage of households with any of the four housing problems HUD records. The highest concentrations of households living with housing problems are in urban areas</w:t>
      </w:r>
      <w:r w:rsidR="00016A44">
        <w:rPr>
          <w:rFonts w:asciiTheme="minorHAnsi" w:hAnsiTheme="minorHAnsi"/>
          <w:sz w:val="24"/>
        </w:rPr>
        <w:t>,</w:t>
      </w:r>
      <w:r>
        <w:rPr>
          <w:rFonts w:asciiTheme="minorHAnsi" w:hAnsiTheme="minorHAnsi"/>
          <w:sz w:val="24"/>
        </w:rPr>
        <w:t xml:space="preserve"> but are not confined to those locations. There are rural counties that have 27% or greater of all households living with at least one housing problem. </w:t>
      </w:r>
    </w:p>
    <w:p w14:paraId="37513263" w14:textId="77777777" w:rsidR="00DC3841" w:rsidRDefault="00DC3841" w:rsidP="00DC3841">
      <w:pPr>
        <w:rPr>
          <w:rFonts w:asciiTheme="minorHAnsi" w:hAnsiTheme="minorHAnsi"/>
          <w:b/>
          <w:noProof/>
          <w:sz w:val="24"/>
        </w:rPr>
      </w:pPr>
      <w:r>
        <w:rPr>
          <w:rFonts w:asciiTheme="minorHAnsi" w:hAnsiTheme="minorHAnsi"/>
          <w:b/>
          <w:noProof/>
          <w:sz w:val="24"/>
        </w:rPr>
        <w:drawing>
          <wp:inline distT="0" distB="0" distL="0" distR="0" wp14:anchorId="23428569" wp14:editId="4A04BF7F">
            <wp:extent cx="5935980" cy="3162300"/>
            <wp:effectExtent l="0" t="0" r="0" b="0"/>
            <wp:docPr id="1" name="Picture 1" descr="C:\Users\jwarren.CCG\AppData\Local\Microsoft\Windows\INetCache\Content.Word\Kansas Housing Probl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rren.CCG\AppData\Local\Microsoft\Windows\INetCache\Content.Word\Kansas Housing Problems.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3162300"/>
                    </a:xfrm>
                    <a:prstGeom prst="rect">
                      <a:avLst/>
                    </a:prstGeom>
                    <a:noFill/>
                    <a:ln>
                      <a:noFill/>
                    </a:ln>
                  </pic:spPr>
                </pic:pic>
              </a:graphicData>
            </a:graphic>
          </wp:inline>
        </w:drawing>
      </w:r>
      <w:r>
        <w:rPr>
          <w:rFonts w:asciiTheme="minorHAnsi" w:hAnsiTheme="minorHAnsi"/>
          <w:b/>
          <w:noProof/>
          <w:sz w:val="24"/>
        </w:rPr>
        <w:t xml:space="preserve">      </w:t>
      </w:r>
    </w:p>
    <w:p w14:paraId="4106CFEA" w14:textId="77777777" w:rsidR="00DC3841" w:rsidRDefault="00DC3841" w:rsidP="00DC3841">
      <w:pPr>
        <w:spacing w:line="240" w:lineRule="auto"/>
        <w:contextualSpacing/>
        <w:rPr>
          <w:rFonts w:asciiTheme="minorHAnsi" w:hAnsiTheme="minorHAnsi"/>
          <w:b/>
          <w:sz w:val="24"/>
        </w:rPr>
      </w:pPr>
      <w:r>
        <w:rPr>
          <w:rFonts w:asciiTheme="minorHAnsi" w:hAnsiTheme="minorHAnsi"/>
          <w:b/>
          <w:noProof/>
          <w:sz w:val="24"/>
        </w:rPr>
        <w:drawing>
          <wp:inline distT="0" distB="0" distL="0" distR="0" wp14:anchorId="33334760" wp14:editId="5145F85A">
            <wp:extent cx="1724722" cy="1463040"/>
            <wp:effectExtent l="0" t="0" r="0" b="0"/>
            <wp:docPr id="2" name="Picture 2" descr="C:\Users\jwarren.CCG\AppData\Local\Microsoft\Windows\INetCache\Content.Word\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rren.CCG\AppData\Local\Microsoft\Windows\INetCache\Content.Word\Legen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7940" cy="1465770"/>
                    </a:xfrm>
                    <a:prstGeom prst="rect">
                      <a:avLst/>
                    </a:prstGeom>
                    <a:noFill/>
                    <a:ln>
                      <a:noFill/>
                    </a:ln>
                  </pic:spPr>
                </pic:pic>
              </a:graphicData>
            </a:graphic>
          </wp:inline>
        </w:drawing>
      </w:r>
    </w:p>
    <w:p w14:paraId="3D631694" w14:textId="77777777" w:rsidR="00DC3841" w:rsidRDefault="00DC3841" w:rsidP="00DC3841">
      <w:pPr>
        <w:spacing w:line="240" w:lineRule="auto"/>
        <w:contextualSpacing/>
        <w:rPr>
          <w:rFonts w:asciiTheme="minorHAnsi" w:hAnsiTheme="minorHAnsi"/>
          <w:i/>
          <w:sz w:val="18"/>
        </w:rPr>
      </w:pPr>
      <w:r>
        <w:rPr>
          <w:rFonts w:asciiTheme="minorHAnsi" w:hAnsiTheme="minorHAnsi"/>
          <w:i/>
          <w:sz w:val="18"/>
        </w:rPr>
        <w:t xml:space="preserve">Source: AFFH Mapping Tool </w:t>
      </w:r>
    </w:p>
    <w:p w14:paraId="1D660C0D" w14:textId="77777777" w:rsidR="00DC3841" w:rsidRPr="005A079A" w:rsidRDefault="00DC3841" w:rsidP="00DC3841">
      <w:pPr>
        <w:spacing w:line="240" w:lineRule="auto"/>
        <w:contextualSpacing/>
        <w:rPr>
          <w:rFonts w:asciiTheme="minorHAnsi" w:hAnsiTheme="minorHAnsi"/>
          <w:i/>
          <w:sz w:val="18"/>
        </w:rPr>
      </w:pPr>
    </w:p>
    <w:p w14:paraId="6EE911DB" w14:textId="77777777" w:rsidR="00DC3841" w:rsidRDefault="00DC3841" w:rsidP="00DC3841">
      <w:pPr>
        <w:rPr>
          <w:rFonts w:asciiTheme="minorHAnsi" w:hAnsiTheme="minorHAnsi"/>
          <w:b/>
          <w:sz w:val="24"/>
        </w:rPr>
      </w:pPr>
      <w:r>
        <w:rPr>
          <w:rFonts w:asciiTheme="minorHAnsi" w:hAnsiTheme="minorHAnsi"/>
          <w:b/>
          <w:sz w:val="24"/>
        </w:rPr>
        <w:t>Are there any areas in the jurisdiction where racial or ethnic minorities or low-income families are concentrated? (include a definition of "concentration")</w:t>
      </w:r>
    </w:p>
    <w:p w14:paraId="7E5EF52B" w14:textId="77777777" w:rsidR="00DC3841" w:rsidRPr="00A453FE" w:rsidRDefault="00DC3841" w:rsidP="00DC3841">
      <w:pPr>
        <w:rPr>
          <w:rFonts w:asciiTheme="minorHAnsi" w:hAnsiTheme="minorHAnsi"/>
          <w:sz w:val="24"/>
        </w:rPr>
      </w:pPr>
      <w:r>
        <w:rPr>
          <w:rFonts w:asciiTheme="minorHAnsi" w:hAnsiTheme="minorHAnsi"/>
          <w:sz w:val="24"/>
        </w:rPr>
        <w:t xml:space="preserve">Kansas is a state </w:t>
      </w:r>
      <w:r w:rsidRPr="00DE1D94">
        <w:rPr>
          <w:rFonts w:asciiTheme="minorHAnsi" w:hAnsiTheme="minorHAnsi" w:cstheme="minorHAnsi"/>
          <w:sz w:val="24"/>
          <w:szCs w:val="24"/>
        </w:rPr>
        <w:t xml:space="preserve">with a large rural population, however the greatest population concentration is in the Northeast part of the state. </w:t>
      </w:r>
      <w:r w:rsidRPr="00DE1D94">
        <w:rPr>
          <w:rFonts w:asciiTheme="minorHAnsi" w:hAnsiTheme="minorHAnsi" w:cstheme="minorHAnsi"/>
          <w:sz w:val="24"/>
          <w:szCs w:val="24"/>
          <w:shd w:val="clear" w:color="auto" w:fill="FFFFFF"/>
        </w:rPr>
        <w:t> Racially/Ethnically-Concentrated Areas of Poverty (R/ECAP) are census tracts where more than half the population is non-White and 40% or more of the population is in poverty, or where the poverty rate is greater than three times the average poverty rate in the area.</w:t>
      </w:r>
      <w:r>
        <w:rPr>
          <w:rFonts w:ascii="Arial" w:hAnsi="Arial" w:cs="Arial"/>
          <w:color w:val="333333"/>
          <w:shd w:val="clear" w:color="auto" w:fill="FFFFFF"/>
        </w:rPr>
        <w:t xml:space="preserve"> </w:t>
      </w:r>
      <w:r>
        <w:rPr>
          <w:rFonts w:asciiTheme="minorHAnsi" w:hAnsiTheme="minorHAnsi"/>
          <w:sz w:val="24"/>
        </w:rPr>
        <w:t xml:space="preserve">There are three counties in Kansas that contain Racial/Ethnic-Concentrated Areas of Poverty (R/ECAP); Wyandotte County (Kansas City), Shawnee County (Topeka), and Sedgwick County (Wichita). </w:t>
      </w:r>
    </w:p>
    <w:p w14:paraId="1BF06125" w14:textId="77777777" w:rsidR="00DC3841" w:rsidRDefault="00DC3841" w:rsidP="00DC3841">
      <w:pPr>
        <w:rPr>
          <w:rFonts w:asciiTheme="minorHAnsi" w:hAnsiTheme="minorHAnsi"/>
          <w:b/>
          <w:sz w:val="24"/>
        </w:rPr>
      </w:pPr>
      <w:r>
        <w:rPr>
          <w:rFonts w:asciiTheme="minorHAnsi" w:hAnsiTheme="minorHAnsi"/>
          <w:b/>
          <w:sz w:val="24"/>
        </w:rPr>
        <w:t>What are the characteristics of the market in these areas/neighborhoods?</w:t>
      </w:r>
    </w:p>
    <w:p w14:paraId="6FCB78EB" w14:textId="77777777" w:rsidR="00DC3841" w:rsidRPr="00A453FE" w:rsidRDefault="00DC3841" w:rsidP="00DC3841">
      <w:pPr>
        <w:rPr>
          <w:rFonts w:asciiTheme="minorHAnsi" w:hAnsiTheme="minorHAnsi"/>
          <w:sz w:val="24"/>
        </w:rPr>
      </w:pPr>
      <w:r>
        <w:rPr>
          <w:rFonts w:asciiTheme="minorHAnsi" w:hAnsiTheme="minorHAnsi"/>
          <w:sz w:val="24"/>
        </w:rPr>
        <w:t xml:space="preserve">This Consolidated Plan is for a State grantee. As communities submit their respective applications for funds from the State, community applicants will define the characteristics of the market in their respective area. </w:t>
      </w:r>
    </w:p>
    <w:p w14:paraId="6BEABD37" w14:textId="77777777" w:rsidR="00DC3841" w:rsidRDefault="00DC3841" w:rsidP="00DC3841">
      <w:pPr>
        <w:rPr>
          <w:rFonts w:asciiTheme="minorHAnsi" w:hAnsiTheme="minorHAnsi"/>
          <w:b/>
          <w:sz w:val="24"/>
        </w:rPr>
      </w:pPr>
      <w:r>
        <w:rPr>
          <w:rFonts w:asciiTheme="minorHAnsi" w:hAnsiTheme="minorHAnsi"/>
          <w:b/>
          <w:sz w:val="24"/>
        </w:rPr>
        <w:t>Are there any community assets in these areas/neighborhoods?</w:t>
      </w:r>
    </w:p>
    <w:p w14:paraId="2769CBE9" w14:textId="77777777" w:rsidR="00DC3841" w:rsidRPr="00A453FE" w:rsidRDefault="00DC3841" w:rsidP="00DC3841">
      <w:pPr>
        <w:pStyle w:val="Body"/>
        <w:rPr>
          <w:rFonts w:asciiTheme="minorHAnsi" w:hAnsiTheme="minorHAnsi" w:cstheme="minorHAnsi"/>
          <w:sz w:val="24"/>
        </w:rPr>
      </w:pPr>
      <w:r w:rsidRPr="00A453FE">
        <w:rPr>
          <w:rFonts w:asciiTheme="minorHAnsi" w:hAnsiTheme="minorHAnsi" w:cstheme="minorHAnsi"/>
          <w:sz w:val="24"/>
        </w:rPr>
        <w:t>This Consolidated Plan is for a State grantee and therefore this question is not applicable.</w:t>
      </w:r>
    </w:p>
    <w:p w14:paraId="20C076E6" w14:textId="77777777" w:rsidR="00DC3841" w:rsidRDefault="00DC3841" w:rsidP="00DC3841">
      <w:pPr>
        <w:rPr>
          <w:rFonts w:asciiTheme="minorHAnsi" w:hAnsiTheme="minorHAnsi"/>
          <w:b/>
          <w:sz w:val="24"/>
        </w:rPr>
      </w:pPr>
      <w:r>
        <w:rPr>
          <w:rFonts w:asciiTheme="minorHAnsi" w:hAnsiTheme="minorHAnsi"/>
          <w:b/>
          <w:sz w:val="24"/>
        </w:rPr>
        <w:t>Are there other strategic opportunities in any of these areas?</w:t>
      </w:r>
    </w:p>
    <w:p w14:paraId="129E1373" w14:textId="77777777" w:rsidR="00DC3841" w:rsidRPr="00A453FE" w:rsidRDefault="00DC3841" w:rsidP="00DC3841">
      <w:pPr>
        <w:pStyle w:val="Body"/>
        <w:rPr>
          <w:rFonts w:asciiTheme="minorHAnsi" w:hAnsiTheme="minorHAnsi" w:cstheme="minorHAnsi"/>
          <w:sz w:val="24"/>
        </w:rPr>
      </w:pPr>
      <w:r w:rsidRPr="00A453FE">
        <w:rPr>
          <w:rFonts w:asciiTheme="minorHAnsi" w:hAnsiTheme="minorHAnsi" w:cstheme="minorHAnsi"/>
          <w:sz w:val="24"/>
        </w:rPr>
        <w:t>This Consolidated Plan is for a State grantee and therefore this question is not applicable.</w:t>
      </w:r>
    </w:p>
    <w:p w14:paraId="7B6B9725" w14:textId="77777777" w:rsidR="007C520D" w:rsidRDefault="007C520D" w:rsidP="007C520D">
      <w:pPr>
        <w:pStyle w:val="Heading1"/>
        <w:pageBreakBefore/>
        <w:jc w:val="center"/>
        <w:rPr>
          <w:rFonts w:ascii="Calibri" w:hAnsi="Calibri"/>
          <w:color w:val="auto"/>
          <w:sz w:val="32"/>
          <w:szCs w:val="32"/>
        </w:rPr>
      </w:pPr>
      <w:bookmarkStart w:id="43" w:name="_Toc524603028"/>
      <w:r>
        <w:rPr>
          <w:rFonts w:ascii="Calibri" w:hAnsi="Calibri"/>
          <w:color w:val="auto"/>
          <w:sz w:val="32"/>
          <w:szCs w:val="32"/>
        </w:rPr>
        <w:t>Strategic Plan</w:t>
      </w:r>
      <w:bookmarkEnd w:id="43"/>
    </w:p>
    <w:p w14:paraId="69926D89" w14:textId="77777777" w:rsidR="007C520D" w:rsidRDefault="007C520D" w:rsidP="007C520D">
      <w:pPr>
        <w:pStyle w:val="Heading2"/>
        <w:shd w:val="clear" w:color="auto" w:fill="95B3D7" w:themeFill="accent1" w:themeFillTint="99"/>
        <w:rPr>
          <w:rFonts w:ascii="Calibri" w:hAnsi="Calibri"/>
          <w:i w:val="0"/>
        </w:rPr>
      </w:pPr>
      <w:bookmarkStart w:id="44" w:name="_Toc524603029"/>
      <w:r>
        <w:rPr>
          <w:rFonts w:ascii="Calibri" w:hAnsi="Calibri"/>
          <w:i w:val="0"/>
        </w:rPr>
        <w:t>SP-05 Overview</w:t>
      </w:r>
      <w:bookmarkEnd w:id="44"/>
    </w:p>
    <w:p w14:paraId="31810DCB" w14:textId="77777777" w:rsidR="007C520D" w:rsidRDefault="007C520D" w:rsidP="007C520D">
      <w:pPr>
        <w:rPr>
          <w:b/>
          <w:sz w:val="24"/>
          <w:szCs w:val="24"/>
        </w:rPr>
      </w:pPr>
      <w:r>
        <w:rPr>
          <w:b/>
          <w:sz w:val="24"/>
          <w:szCs w:val="24"/>
        </w:rPr>
        <w:t>Strategic Plan Overview</w:t>
      </w:r>
    </w:p>
    <w:p w14:paraId="3EFAE33D" w14:textId="77777777" w:rsidR="007C520D" w:rsidRPr="00C36B46" w:rsidRDefault="007C520D" w:rsidP="007C520D">
      <w:pPr>
        <w:pStyle w:val="Body"/>
        <w:rPr>
          <w:b/>
          <w:sz w:val="24"/>
          <w:szCs w:val="24"/>
        </w:rPr>
      </w:pPr>
      <w:r>
        <w:rPr>
          <w:b/>
          <w:sz w:val="24"/>
          <w:szCs w:val="24"/>
        </w:rPr>
        <w:t xml:space="preserve">SP-10 – </w:t>
      </w:r>
      <w:r w:rsidRPr="00C36B46">
        <w:rPr>
          <w:b/>
          <w:sz w:val="24"/>
          <w:szCs w:val="24"/>
        </w:rPr>
        <w:t>Geographic Priorities:</w:t>
      </w:r>
    </w:p>
    <w:p w14:paraId="39EC615E" w14:textId="20E1EFD5" w:rsidR="007C520D" w:rsidRDefault="007C520D" w:rsidP="007C520D">
      <w:pPr>
        <w:rPr>
          <w:b/>
          <w:sz w:val="24"/>
          <w:szCs w:val="24"/>
        </w:rPr>
      </w:pPr>
      <w:r w:rsidRPr="00C36B46">
        <w:rPr>
          <w:sz w:val="24"/>
          <w:szCs w:val="24"/>
        </w:rPr>
        <w:t xml:space="preserve">Funds are distributed on a competitive basis rather than on </w:t>
      </w:r>
      <w:r w:rsidR="009D1558">
        <w:rPr>
          <w:sz w:val="24"/>
          <w:szCs w:val="24"/>
        </w:rPr>
        <w:t>a geographic or</w:t>
      </w:r>
      <w:r w:rsidRPr="00C36B46">
        <w:rPr>
          <w:sz w:val="24"/>
          <w:szCs w:val="24"/>
        </w:rPr>
        <w:t xml:space="preserve"> entitlement/formulaic basis.</w:t>
      </w:r>
    </w:p>
    <w:p w14:paraId="3C60348E" w14:textId="77777777" w:rsidR="007C520D" w:rsidRDefault="007C520D" w:rsidP="007C520D">
      <w:pPr>
        <w:rPr>
          <w:b/>
          <w:sz w:val="24"/>
          <w:szCs w:val="24"/>
        </w:rPr>
      </w:pPr>
      <w:r>
        <w:rPr>
          <w:b/>
          <w:sz w:val="24"/>
          <w:szCs w:val="24"/>
        </w:rPr>
        <w:t>SP-25 – Priority Needs:</w:t>
      </w:r>
    </w:p>
    <w:p w14:paraId="51CD0A85" w14:textId="77777777" w:rsidR="007C520D" w:rsidRDefault="007C520D" w:rsidP="007C520D">
      <w:pPr>
        <w:rPr>
          <w:sz w:val="24"/>
          <w:szCs w:val="24"/>
        </w:rPr>
      </w:pPr>
      <w:r>
        <w:rPr>
          <w:sz w:val="24"/>
          <w:szCs w:val="24"/>
        </w:rPr>
        <w:t>The State of Kansas has identified seven (7) priority needs for the five-year Consolidated Plan, they are as follows:</w:t>
      </w:r>
    </w:p>
    <w:p w14:paraId="42196F7A" w14:textId="77777777" w:rsidR="007C520D" w:rsidRDefault="007C520D" w:rsidP="00A121EE">
      <w:pPr>
        <w:pStyle w:val="ListParagraph"/>
        <w:numPr>
          <w:ilvl w:val="0"/>
          <w:numId w:val="49"/>
        </w:numPr>
        <w:rPr>
          <w:sz w:val="24"/>
          <w:szCs w:val="24"/>
        </w:rPr>
      </w:pPr>
      <w:r>
        <w:rPr>
          <w:sz w:val="24"/>
          <w:szCs w:val="24"/>
        </w:rPr>
        <w:t>Water and sewer improvements</w:t>
      </w:r>
    </w:p>
    <w:p w14:paraId="64D66905" w14:textId="77777777" w:rsidR="007C520D" w:rsidRDefault="007C520D" w:rsidP="00A121EE">
      <w:pPr>
        <w:pStyle w:val="ListParagraph"/>
        <w:numPr>
          <w:ilvl w:val="0"/>
          <w:numId w:val="49"/>
        </w:numPr>
        <w:rPr>
          <w:sz w:val="24"/>
          <w:szCs w:val="24"/>
        </w:rPr>
      </w:pPr>
      <w:r>
        <w:rPr>
          <w:sz w:val="24"/>
          <w:szCs w:val="24"/>
        </w:rPr>
        <w:t>Affordable housing</w:t>
      </w:r>
    </w:p>
    <w:p w14:paraId="1087CC85" w14:textId="77777777" w:rsidR="007C520D" w:rsidRDefault="007C520D" w:rsidP="00A121EE">
      <w:pPr>
        <w:pStyle w:val="ListParagraph"/>
        <w:numPr>
          <w:ilvl w:val="0"/>
          <w:numId w:val="49"/>
        </w:numPr>
        <w:rPr>
          <w:sz w:val="24"/>
          <w:szCs w:val="24"/>
        </w:rPr>
      </w:pPr>
      <w:r>
        <w:rPr>
          <w:sz w:val="24"/>
          <w:szCs w:val="24"/>
        </w:rPr>
        <w:t>Economic development</w:t>
      </w:r>
    </w:p>
    <w:p w14:paraId="44BDCCC7" w14:textId="77777777" w:rsidR="007C520D" w:rsidRDefault="007C520D" w:rsidP="00A121EE">
      <w:pPr>
        <w:pStyle w:val="ListParagraph"/>
        <w:numPr>
          <w:ilvl w:val="0"/>
          <w:numId w:val="49"/>
        </w:numPr>
        <w:rPr>
          <w:sz w:val="24"/>
          <w:szCs w:val="24"/>
        </w:rPr>
      </w:pPr>
      <w:r>
        <w:rPr>
          <w:sz w:val="24"/>
          <w:szCs w:val="24"/>
        </w:rPr>
        <w:t>Homeless prevention and housing</w:t>
      </w:r>
    </w:p>
    <w:p w14:paraId="4065CC8E" w14:textId="77777777" w:rsidR="007C520D" w:rsidRDefault="007C520D" w:rsidP="00A121EE">
      <w:pPr>
        <w:pStyle w:val="ListParagraph"/>
        <w:numPr>
          <w:ilvl w:val="0"/>
          <w:numId w:val="49"/>
        </w:numPr>
        <w:rPr>
          <w:sz w:val="24"/>
          <w:szCs w:val="24"/>
        </w:rPr>
      </w:pPr>
      <w:r>
        <w:rPr>
          <w:sz w:val="24"/>
          <w:szCs w:val="24"/>
        </w:rPr>
        <w:t>Community facility improvements</w:t>
      </w:r>
    </w:p>
    <w:p w14:paraId="1C652A65" w14:textId="77777777" w:rsidR="007C520D" w:rsidRDefault="007C520D" w:rsidP="00A121EE">
      <w:pPr>
        <w:pStyle w:val="ListParagraph"/>
        <w:numPr>
          <w:ilvl w:val="0"/>
          <w:numId w:val="49"/>
        </w:numPr>
        <w:rPr>
          <w:sz w:val="24"/>
          <w:szCs w:val="24"/>
        </w:rPr>
      </w:pPr>
      <w:r>
        <w:rPr>
          <w:sz w:val="24"/>
          <w:szCs w:val="24"/>
        </w:rPr>
        <w:t>Downtown commercial rehabilitation</w:t>
      </w:r>
    </w:p>
    <w:p w14:paraId="7018311E" w14:textId="77777777" w:rsidR="007C520D" w:rsidRDefault="007C520D" w:rsidP="00A121EE">
      <w:pPr>
        <w:pStyle w:val="ListParagraph"/>
        <w:numPr>
          <w:ilvl w:val="0"/>
          <w:numId w:val="49"/>
        </w:numPr>
        <w:rPr>
          <w:sz w:val="24"/>
          <w:szCs w:val="24"/>
        </w:rPr>
      </w:pPr>
      <w:r>
        <w:rPr>
          <w:sz w:val="24"/>
          <w:szCs w:val="24"/>
        </w:rPr>
        <w:t>Housing opportunities for persons with AIDS</w:t>
      </w:r>
    </w:p>
    <w:p w14:paraId="6B21303A" w14:textId="77777777" w:rsidR="007C520D" w:rsidRDefault="007C520D" w:rsidP="007C520D">
      <w:pPr>
        <w:rPr>
          <w:b/>
          <w:sz w:val="24"/>
          <w:szCs w:val="24"/>
        </w:rPr>
      </w:pPr>
      <w:r>
        <w:rPr>
          <w:sz w:val="24"/>
          <w:szCs w:val="24"/>
        </w:rPr>
        <w:t xml:space="preserve">All priority needs are addressed at the statewide level and are identified as “High” priorities. </w:t>
      </w:r>
    </w:p>
    <w:p w14:paraId="7344034C" w14:textId="77777777" w:rsidR="007C520D" w:rsidRDefault="007C520D" w:rsidP="007C520D">
      <w:pPr>
        <w:rPr>
          <w:b/>
          <w:sz w:val="24"/>
          <w:szCs w:val="24"/>
        </w:rPr>
      </w:pPr>
      <w:r>
        <w:rPr>
          <w:b/>
          <w:sz w:val="24"/>
          <w:szCs w:val="24"/>
        </w:rPr>
        <w:t>SP-30 – Influence of Market Conditions</w:t>
      </w:r>
    </w:p>
    <w:p w14:paraId="133F7FE9" w14:textId="77777777" w:rsidR="007C520D" w:rsidRDefault="007C520D" w:rsidP="007C520D">
      <w:pPr>
        <w:rPr>
          <w:sz w:val="24"/>
          <w:szCs w:val="24"/>
        </w:rPr>
      </w:pPr>
      <w:r w:rsidRPr="0006779A">
        <w:rPr>
          <w:sz w:val="24"/>
          <w:szCs w:val="24"/>
        </w:rPr>
        <w:t>Preservation of affordable housing is the most pressing issue facing the housing market in Kansas. The most impacted households are those with an income that is 80% or less of the Area Median Income (AMI). As market conditions yield higher rates for housing, those households unable to increase their income at the same rate have fallen into positions of unstable housing. This issue is seen in both urban and rural areas of the state.</w:t>
      </w:r>
    </w:p>
    <w:p w14:paraId="061AC685" w14:textId="77777777" w:rsidR="007C520D" w:rsidRDefault="007C520D" w:rsidP="007C520D">
      <w:pPr>
        <w:rPr>
          <w:sz w:val="24"/>
          <w:szCs w:val="24"/>
        </w:rPr>
      </w:pPr>
      <w:r>
        <w:rPr>
          <w:b/>
          <w:sz w:val="24"/>
          <w:szCs w:val="24"/>
        </w:rPr>
        <w:t>SP-35 – Anticipated Resources</w:t>
      </w:r>
    </w:p>
    <w:tbl>
      <w:tblPr>
        <w:tblStyle w:val="LightList-Accent11"/>
        <w:tblW w:w="0" w:type="auto"/>
        <w:tblLook w:val="04A0" w:firstRow="1" w:lastRow="0" w:firstColumn="1" w:lastColumn="0" w:noHBand="0" w:noVBand="1"/>
      </w:tblPr>
      <w:tblGrid>
        <w:gridCol w:w="1161"/>
        <w:gridCol w:w="3992"/>
        <w:gridCol w:w="4187"/>
      </w:tblGrid>
      <w:tr w:rsidR="007C520D" w14:paraId="587C0493"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4C3E8A9F" w14:textId="77777777" w:rsidR="007C520D" w:rsidRDefault="007C520D" w:rsidP="007C520D">
            <w:pPr>
              <w:rPr>
                <w:sz w:val="24"/>
                <w:szCs w:val="24"/>
              </w:rPr>
            </w:pPr>
            <w:r>
              <w:rPr>
                <w:sz w:val="24"/>
                <w:szCs w:val="24"/>
              </w:rPr>
              <w:t>Program</w:t>
            </w:r>
          </w:p>
        </w:tc>
        <w:tc>
          <w:tcPr>
            <w:tcW w:w="4050" w:type="dxa"/>
          </w:tcPr>
          <w:p w14:paraId="1658D958" w14:textId="77777777" w:rsidR="007C520D" w:rsidRDefault="007C520D" w:rsidP="007C520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2019 Annual Allocation + Program Income (Estimated)</w:t>
            </w:r>
          </w:p>
        </w:tc>
        <w:tc>
          <w:tcPr>
            <w:tcW w:w="4248" w:type="dxa"/>
          </w:tcPr>
          <w:p w14:paraId="6996C7CD" w14:textId="77777777" w:rsidR="007C520D" w:rsidRDefault="007C520D" w:rsidP="007C520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Dollars remaining for Years 2-5 of Consolidated Plan (Estimated)</w:t>
            </w:r>
          </w:p>
        </w:tc>
      </w:tr>
      <w:tr w:rsidR="007C520D" w14:paraId="16B8025E"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28C853F8" w14:textId="77777777" w:rsidR="007C520D" w:rsidRDefault="007C520D" w:rsidP="007C520D">
            <w:pPr>
              <w:rPr>
                <w:sz w:val="24"/>
                <w:szCs w:val="24"/>
              </w:rPr>
            </w:pPr>
            <w:r>
              <w:rPr>
                <w:sz w:val="24"/>
                <w:szCs w:val="24"/>
              </w:rPr>
              <w:t>CDBG</w:t>
            </w:r>
          </w:p>
        </w:tc>
        <w:tc>
          <w:tcPr>
            <w:tcW w:w="4050" w:type="dxa"/>
          </w:tcPr>
          <w:p w14:paraId="284A1F65" w14:textId="77777777" w:rsidR="007C520D" w:rsidRDefault="007C520D" w:rsidP="007C52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$15,500,000</w:t>
            </w:r>
          </w:p>
        </w:tc>
        <w:tc>
          <w:tcPr>
            <w:tcW w:w="4248" w:type="dxa"/>
          </w:tcPr>
          <w:p w14:paraId="3EA3386A" w14:textId="77777777" w:rsidR="007C520D" w:rsidRDefault="007C520D" w:rsidP="007C52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$59,750,000</w:t>
            </w:r>
          </w:p>
        </w:tc>
      </w:tr>
      <w:tr w:rsidR="007C520D" w14:paraId="15A2D1CD" w14:textId="77777777" w:rsidTr="007C520D">
        <w:tc>
          <w:tcPr>
            <w:cnfStyle w:val="001000000000" w:firstRow="0" w:lastRow="0" w:firstColumn="1" w:lastColumn="0" w:oddVBand="0" w:evenVBand="0" w:oddHBand="0" w:evenHBand="0" w:firstRowFirstColumn="0" w:firstRowLastColumn="0" w:lastRowFirstColumn="0" w:lastRowLastColumn="0"/>
            <w:tcW w:w="1163" w:type="dxa"/>
          </w:tcPr>
          <w:p w14:paraId="2C3F8B0B" w14:textId="77777777" w:rsidR="007C520D" w:rsidRDefault="007C520D" w:rsidP="007C520D">
            <w:pPr>
              <w:rPr>
                <w:sz w:val="24"/>
                <w:szCs w:val="24"/>
              </w:rPr>
            </w:pPr>
            <w:r>
              <w:rPr>
                <w:sz w:val="24"/>
                <w:szCs w:val="24"/>
              </w:rPr>
              <w:t>HOME</w:t>
            </w:r>
          </w:p>
        </w:tc>
        <w:tc>
          <w:tcPr>
            <w:tcW w:w="4050" w:type="dxa"/>
          </w:tcPr>
          <w:p w14:paraId="1CC5F5FF" w14:textId="77777777" w:rsidR="007C520D" w:rsidRDefault="007C520D" w:rsidP="007C520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$6,750,000</w:t>
            </w:r>
          </w:p>
        </w:tc>
        <w:tc>
          <w:tcPr>
            <w:tcW w:w="4248" w:type="dxa"/>
          </w:tcPr>
          <w:p w14:paraId="717AF8AC" w14:textId="77777777" w:rsidR="007C520D" w:rsidRDefault="007C520D" w:rsidP="007C520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$26,000,000</w:t>
            </w:r>
          </w:p>
        </w:tc>
      </w:tr>
      <w:tr w:rsidR="007C520D" w14:paraId="0F208920"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22576DEE" w14:textId="77777777" w:rsidR="007C520D" w:rsidRDefault="007C520D" w:rsidP="007C520D">
            <w:pPr>
              <w:rPr>
                <w:sz w:val="24"/>
                <w:szCs w:val="24"/>
              </w:rPr>
            </w:pPr>
            <w:r>
              <w:rPr>
                <w:sz w:val="24"/>
                <w:szCs w:val="24"/>
              </w:rPr>
              <w:t>HOPWA</w:t>
            </w:r>
          </w:p>
        </w:tc>
        <w:tc>
          <w:tcPr>
            <w:tcW w:w="4050" w:type="dxa"/>
          </w:tcPr>
          <w:p w14:paraId="0F210FBE" w14:textId="77777777" w:rsidR="007C520D" w:rsidRDefault="007C520D" w:rsidP="007C52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$515,000</w:t>
            </w:r>
          </w:p>
        </w:tc>
        <w:tc>
          <w:tcPr>
            <w:tcW w:w="4248" w:type="dxa"/>
          </w:tcPr>
          <w:p w14:paraId="02659C0E" w14:textId="77777777" w:rsidR="007C520D" w:rsidRDefault="007C520D" w:rsidP="007C52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$2,000,000</w:t>
            </w:r>
          </w:p>
        </w:tc>
      </w:tr>
      <w:tr w:rsidR="007C520D" w14:paraId="5BA6751C" w14:textId="77777777" w:rsidTr="007C520D">
        <w:tc>
          <w:tcPr>
            <w:cnfStyle w:val="001000000000" w:firstRow="0" w:lastRow="0" w:firstColumn="1" w:lastColumn="0" w:oddVBand="0" w:evenVBand="0" w:oddHBand="0" w:evenHBand="0" w:firstRowFirstColumn="0" w:firstRowLastColumn="0" w:lastRowFirstColumn="0" w:lastRowLastColumn="0"/>
            <w:tcW w:w="1163" w:type="dxa"/>
          </w:tcPr>
          <w:p w14:paraId="6E394167" w14:textId="77777777" w:rsidR="007C520D" w:rsidRDefault="007C520D" w:rsidP="007C520D">
            <w:pPr>
              <w:rPr>
                <w:sz w:val="24"/>
                <w:szCs w:val="24"/>
              </w:rPr>
            </w:pPr>
            <w:r>
              <w:rPr>
                <w:sz w:val="24"/>
                <w:szCs w:val="24"/>
              </w:rPr>
              <w:t>ESG</w:t>
            </w:r>
          </w:p>
        </w:tc>
        <w:tc>
          <w:tcPr>
            <w:tcW w:w="4050" w:type="dxa"/>
          </w:tcPr>
          <w:p w14:paraId="258F06C7" w14:textId="77777777" w:rsidR="007C520D" w:rsidRDefault="007C520D" w:rsidP="007C520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$1,500,000</w:t>
            </w:r>
          </w:p>
        </w:tc>
        <w:tc>
          <w:tcPr>
            <w:tcW w:w="4248" w:type="dxa"/>
          </w:tcPr>
          <w:p w14:paraId="7B03CB98" w14:textId="77777777" w:rsidR="007C520D" w:rsidRDefault="007C520D" w:rsidP="007C520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$6,000,000</w:t>
            </w:r>
          </w:p>
        </w:tc>
      </w:tr>
      <w:tr w:rsidR="007C520D" w14:paraId="1BBB2AA2"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BE7ACC8" w14:textId="77777777" w:rsidR="007C520D" w:rsidRDefault="007C520D" w:rsidP="007C520D">
            <w:pPr>
              <w:rPr>
                <w:sz w:val="24"/>
                <w:szCs w:val="24"/>
              </w:rPr>
            </w:pPr>
            <w:r>
              <w:rPr>
                <w:sz w:val="24"/>
                <w:szCs w:val="24"/>
              </w:rPr>
              <w:t>HTF</w:t>
            </w:r>
          </w:p>
        </w:tc>
        <w:tc>
          <w:tcPr>
            <w:tcW w:w="4050" w:type="dxa"/>
          </w:tcPr>
          <w:p w14:paraId="21DC46EE" w14:textId="77777777" w:rsidR="007C520D" w:rsidRDefault="007C520D" w:rsidP="007C52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$3,000,000</w:t>
            </w:r>
          </w:p>
        </w:tc>
        <w:tc>
          <w:tcPr>
            <w:tcW w:w="4248" w:type="dxa"/>
          </w:tcPr>
          <w:p w14:paraId="1A99DCE0" w14:textId="77777777" w:rsidR="007C520D" w:rsidRDefault="007C520D" w:rsidP="007C52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$12,000,000</w:t>
            </w:r>
          </w:p>
        </w:tc>
      </w:tr>
    </w:tbl>
    <w:p w14:paraId="765F5799" w14:textId="77777777" w:rsidR="007C520D" w:rsidRPr="0006779A" w:rsidRDefault="007C520D" w:rsidP="007C520D">
      <w:pPr>
        <w:rPr>
          <w:sz w:val="24"/>
          <w:szCs w:val="24"/>
        </w:rPr>
      </w:pPr>
    </w:p>
    <w:p w14:paraId="42B0851D" w14:textId="77777777" w:rsidR="007C520D" w:rsidRDefault="007C520D" w:rsidP="007C520D">
      <w:pPr>
        <w:rPr>
          <w:sz w:val="24"/>
          <w:szCs w:val="24"/>
        </w:rPr>
      </w:pPr>
      <w:r>
        <w:rPr>
          <w:b/>
          <w:sz w:val="24"/>
          <w:szCs w:val="24"/>
        </w:rPr>
        <w:t>SP-40 – Institutional Delivery Structure</w:t>
      </w:r>
    </w:p>
    <w:p w14:paraId="08EF7F2F" w14:textId="77777777" w:rsidR="007C520D" w:rsidRDefault="007C520D" w:rsidP="007C520D">
      <w:pPr>
        <w:rPr>
          <w:rFonts w:asciiTheme="minorHAnsi" w:hAnsiTheme="minorHAnsi" w:cs="Arial"/>
          <w:sz w:val="24"/>
          <w:szCs w:val="24"/>
        </w:rPr>
      </w:pPr>
      <w:r w:rsidRPr="00186CA6">
        <w:rPr>
          <w:rFonts w:asciiTheme="minorHAnsi" w:hAnsiTheme="minorHAnsi" w:cs="Arial"/>
          <w:sz w:val="24"/>
          <w:szCs w:val="24"/>
        </w:rPr>
        <w:t>The Kansas Department of Commerce</w:t>
      </w:r>
      <w:r>
        <w:rPr>
          <w:rFonts w:asciiTheme="minorHAnsi" w:hAnsiTheme="minorHAnsi" w:cs="Arial"/>
          <w:sz w:val="24"/>
          <w:szCs w:val="24"/>
        </w:rPr>
        <w:t xml:space="preserve"> (Commerce)</w:t>
      </w:r>
      <w:r w:rsidRPr="00186CA6">
        <w:rPr>
          <w:rFonts w:asciiTheme="minorHAnsi" w:hAnsiTheme="minorHAnsi" w:cs="Arial"/>
          <w:sz w:val="24"/>
          <w:szCs w:val="24"/>
        </w:rPr>
        <w:t>, Kansas Housing Resources Corporation (KHRC), and Kansas Department of Health and Environment (KDHE) will manage the service delivery of the State's federally funded community development and housing programs. With limited exceptions, the State's investment plans and development</w:t>
      </w:r>
      <w:r>
        <w:rPr>
          <w:rFonts w:asciiTheme="minorHAnsi" w:hAnsiTheme="minorHAnsi" w:cs="Arial"/>
          <w:sz w:val="24"/>
          <w:szCs w:val="24"/>
        </w:rPr>
        <w:t xml:space="preserve"> goals cover only areas </w:t>
      </w:r>
      <w:r w:rsidRPr="00186CA6">
        <w:rPr>
          <w:rFonts w:asciiTheme="minorHAnsi" w:hAnsiTheme="minorHAnsi" w:cs="Arial"/>
          <w:sz w:val="24"/>
          <w:szCs w:val="24"/>
        </w:rPr>
        <w:t>where the State controls the use of funds.</w:t>
      </w:r>
    </w:p>
    <w:p w14:paraId="66EED2C9" w14:textId="77777777" w:rsidR="007C520D" w:rsidRDefault="007C520D" w:rsidP="007C520D">
      <w:pPr>
        <w:rPr>
          <w:sz w:val="24"/>
          <w:szCs w:val="24"/>
        </w:rPr>
      </w:pPr>
      <w:r>
        <w:rPr>
          <w:b/>
          <w:sz w:val="24"/>
          <w:szCs w:val="24"/>
        </w:rPr>
        <w:t>SP-45 – Goals</w:t>
      </w:r>
    </w:p>
    <w:p w14:paraId="7319695E" w14:textId="77777777" w:rsidR="007C520D" w:rsidRDefault="007C520D" w:rsidP="007C520D">
      <w:pPr>
        <w:rPr>
          <w:sz w:val="24"/>
          <w:szCs w:val="24"/>
        </w:rPr>
      </w:pPr>
      <w:r>
        <w:rPr>
          <w:sz w:val="24"/>
          <w:szCs w:val="24"/>
        </w:rPr>
        <w:t>Over the next five years, the State plans to provide funding to work towards the following goals:</w:t>
      </w:r>
    </w:p>
    <w:p w14:paraId="30EC411F" w14:textId="77777777" w:rsidR="007C520D" w:rsidRDefault="007C520D" w:rsidP="00A121EE">
      <w:pPr>
        <w:pStyle w:val="ListParagraph"/>
        <w:numPr>
          <w:ilvl w:val="0"/>
          <w:numId w:val="50"/>
        </w:numPr>
        <w:rPr>
          <w:sz w:val="24"/>
          <w:szCs w:val="24"/>
        </w:rPr>
      </w:pPr>
      <w:r>
        <w:rPr>
          <w:sz w:val="24"/>
          <w:szCs w:val="24"/>
        </w:rPr>
        <w:t>Water and sewer improvements</w:t>
      </w:r>
    </w:p>
    <w:p w14:paraId="728B1368" w14:textId="77777777" w:rsidR="007C520D" w:rsidRDefault="007C520D" w:rsidP="00A121EE">
      <w:pPr>
        <w:pStyle w:val="ListParagraph"/>
        <w:numPr>
          <w:ilvl w:val="0"/>
          <w:numId w:val="50"/>
        </w:numPr>
        <w:rPr>
          <w:sz w:val="24"/>
          <w:szCs w:val="24"/>
        </w:rPr>
      </w:pPr>
      <w:r>
        <w:rPr>
          <w:sz w:val="24"/>
          <w:szCs w:val="24"/>
        </w:rPr>
        <w:t>Increase quality of affordable housing</w:t>
      </w:r>
    </w:p>
    <w:p w14:paraId="5C74721E" w14:textId="77777777" w:rsidR="007C520D" w:rsidRDefault="007C520D" w:rsidP="00A121EE">
      <w:pPr>
        <w:pStyle w:val="ListParagraph"/>
        <w:numPr>
          <w:ilvl w:val="0"/>
          <w:numId w:val="50"/>
        </w:numPr>
        <w:rPr>
          <w:sz w:val="24"/>
          <w:szCs w:val="24"/>
        </w:rPr>
      </w:pPr>
      <w:r>
        <w:rPr>
          <w:sz w:val="24"/>
          <w:szCs w:val="24"/>
        </w:rPr>
        <w:t>Community facilities</w:t>
      </w:r>
    </w:p>
    <w:p w14:paraId="7A4AD41E" w14:textId="77777777" w:rsidR="007C520D" w:rsidRDefault="007C520D" w:rsidP="00A121EE">
      <w:pPr>
        <w:pStyle w:val="ListParagraph"/>
        <w:numPr>
          <w:ilvl w:val="0"/>
          <w:numId w:val="50"/>
        </w:numPr>
        <w:rPr>
          <w:sz w:val="24"/>
          <w:szCs w:val="24"/>
        </w:rPr>
      </w:pPr>
      <w:r>
        <w:rPr>
          <w:sz w:val="24"/>
          <w:szCs w:val="24"/>
        </w:rPr>
        <w:t>Economic development</w:t>
      </w:r>
    </w:p>
    <w:p w14:paraId="23B88055" w14:textId="77777777" w:rsidR="007C520D" w:rsidRDefault="007C520D" w:rsidP="00A121EE">
      <w:pPr>
        <w:pStyle w:val="ListParagraph"/>
        <w:numPr>
          <w:ilvl w:val="0"/>
          <w:numId w:val="50"/>
        </w:numPr>
        <w:rPr>
          <w:sz w:val="24"/>
          <w:szCs w:val="24"/>
        </w:rPr>
      </w:pPr>
      <w:r>
        <w:rPr>
          <w:sz w:val="24"/>
          <w:szCs w:val="24"/>
        </w:rPr>
        <w:t>Downtown commercial rehabilitation</w:t>
      </w:r>
    </w:p>
    <w:p w14:paraId="781FF30D" w14:textId="77777777" w:rsidR="007C520D" w:rsidRDefault="007C520D" w:rsidP="00A121EE">
      <w:pPr>
        <w:pStyle w:val="ListParagraph"/>
        <w:numPr>
          <w:ilvl w:val="0"/>
          <w:numId w:val="50"/>
        </w:numPr>
        <w:rPr>
          <w:sz w:val="24"/>
          <w:szCs w:val="24"/>
        </w:rPr>
      </w:pPr>
      <w:r>
        <w:rPr>
          <w:sz w:val="24"/>
          <w:szCs w:val="24"/>
        </w:rPr>
        <w:t>Urgent Need</w:t>
      </w:r>
    </w:p>
    <w:p w14:paraId="7CBC2012" w14:textId="77777777" w:rsidR="007C520D" w:rsidRDefault="007C520D" w:rsidP="00A121EE">
      <w:pPr>
        <w:pStyle w:val="ListParagraph"/>
        <w:numPr>
          <w:ilvl w:val="0"/>
          <w:numId w:val="50"/>
        </w:numPr>
        <w:rPr>
          <w:sz w:val="24"/>
          <w:szCs w:val="24"/>
        </w:rPr>
      </w:pPr>
      <w:r>
        <w:rPr>
          <w:sz w:val="24"/>
          <w:szCs w:val="24"/>
        </w:rPr>
        <w:t>State administration and technical assistance</w:t>
      </w:r>
    </w:p>
    <w:p w14:paraId="58275789" w14:textId="77777777" w:rsidR="007C520D" w:rsidRDefault="007C520D" w:rsidP="00A121EE">
      <w:pPr>
        <w:pStyle w:val="ListParagraph"/>
        <w:numPr>
          <w:ilvl w:val="0"/>
          <w:numId w:val="50"/>
        </w:numPr>
        <w:rPr>
          <w:sz w:val="24"/>
          <w:szCs w:val="24"/>
        </w:rPr>
      </w:pPr>
      <w:r>
        <w:rPr>
          <w:sz w:val="24"/>
          <w:szCs w:val="24"/>
        </w:rPr>
        <w:t>First-time homebuyers</w:t>
      </w:r>
    </w:p>
    <w:p w14:paraId="78560C7E" w14:textId="77777777" w:rsidR="007C520D" w:rsidRDefault="007C520D" w:rsidP="00A121EE">
      <w:pPr>
        <w:pStyle w:val="ListParagraph"/>
        <w:numPr>
          <w:ilvl w:val="0"/>
          <w:numId w:val="50"/>
        </w:numPr>
        <w:rPr>
          <w:sz w:val="24"/>
          <w:szCs w:val="24"/>
        </w:rPr>
      </w:pPr>
      <w:r>
        <w:rPr>
          <w:sz w:val="24"/>
          <w:szCs w:val="24"/>
        </w:rPr>
        <w:t>HOME rental development</w:t>
      </w:r>
    </w:p>
    <w:p w14:paraId="182A22EE" w14:textId="77777777" w:rsidR="007C520D" w:rsidRDefault="007C520D" w:rsidP="00A121EE">
      <w:pPr>
        <w:pStyle w:val="ListParagraph"/>
        <w:numPr>
          <w:ilvl w:val="0"/>
          <w:numId w:val="50"/>
        </w:numPr>
        <w:rPr>
          <w:sz w:val="24"/>
          <w:szCs w:val="24"/>
        </w:rPr>
      </w:pPr>
      <w:r>
        <w:rPr>
          <w:sz w:val="24"/>
          <w:szCs w:val="24"/>
        </w:rPr>
        <w:t>Tenant-Based rental assistance</w:t>
      </w:r>
    </w:p>
    <w:p w14:paraId="238AC055" w14:textId="77777777" w:rsidR="007C520D" w:rsidRDefault="007C520D" w:rsidP="00A121EE">
      <w:pPr>
        <w:pStyle w:val="ListParagraph"/>
        <w:numPr>
          <w:ilvl w:val="0"/>
          <w:numId w:val="50"/>
        </w:numPr>
        <w:rPr>
          <w:sz w:val="24"/>
          <w:szCs w:val="24"/>
        </w:rPr>
      </w:pPr>
      <w:r>
        <w:rPr>
          <w:sz w:val="24"/>
          <w:szCs w:val="24"/>
        </w:rPr>
        <w:t>Emergency solutions grant (ESG) program</w:t>
      </w:r>
    </w:p>
    <w:p w14:paraId="1D013561" w14:textId="77777777" w:rsidR="007C520D" w:rsidRPr="008D24FE" w:rsidRDefault="007C520D" w:rsidP="00A121EE">
      <w:pPr>
        <w:pStyle w:val="ListParagraph"/>
        <w:numPr>
          <w:ilvl w:val="0"/>
          <w:numId w:val="50"/>
        </w:numPr>
        <w:rPr>
          <w:sz w:val="24"/>
          <w:szCs w:val="24"/>
        </w:rPr>
      </w:pPr>
      <w:r>
        <w:rPr>
          <w:sz w:val="24"/>
          <w:szCs w:val="24"/>
        </w:rPr>
        <w:t>Housing opportunities for persons with AIDS (HOPWA)</w:t>
      </w:r>
    </w:p>
    <w:p w14:paraId="52697C11" w14:textId="77777777" w:rsidR="007C520D" w:rsidRDefault="007C520D" w:rsidP="007C520D">
      <w:pPr>
        <w:rPr>
          <w:sz w:val="24"/>
          <w:szCs w:val="24"/>
        </w:rPr>
      </w:pPr>
      <w:r>
        <w:rPr>
          <w:sz w:val="24"/>
          <w:szCs w:val="24"/>
        </w:rPr>
        <w:t xml:space="preserve">Each goal is associated with specific outcome indicators, selected from twenty (20) options provided by HUD. </w:t>
      </w:r>
    </w:p>
    <w:p w14:paraId="33C96A00" w14:textId="1D934CE9" w:rsidR="007C520D" w:rsidRDefault="007C520D" w:rsidP="007C520D">
      <w:pPr>
        <w:rPr>
          <w:b/>
          <w:sz w:val="24"/>
          <w:szCs w:val="24"/>
        </w:rPr>
      </w:pPr>
      <w:r>
        <w:rPr>
          <w:b/>
          <w:sz w:val="24"/>
          <w:szCs w:val="24"/>
        </w:rPr>
        <w:t>SP-50 – Barriers to Affordable Housing</w:t>
      </w:r>
    </w:p>
    <w:p w14:paraId="36FA3999" w14:textId="18ED6B7A" w:rsidR="007605E0" w:rsidRPr="007605E0" w:rsidRDefault="007605E0" w:rsidP="007C520D">
      <w:pPr>
        <w:rPr>
          <w:sz w:val="24"/>
          <w:szCs w:val="24"/>
        </w:rPr>
      </w:pPr>
      <w:r>
        <w:rPr>
          <w:sz w:val="24"/>
          <w:szCs w:val="24"/>
        </w:rPr>
        <w:t xml:space="preserve">To be updated after public comment. </w:t>
      </w:r>
    </w:p>
    <w:p w14:paraId="50F442F6" w14:textId="6740DC4B" w:rsidR="007C520D" w:rsidRDefault="007C520D" w:rsidP="007C520D">
      <w:pPr>
        <w:rPr>
          <w:b/>
          <w:sz w:val="24"/>
          <w:szCs w:val="24"/>
        </w:rPr>
      </w:pPr>
      <w:r>
        <w:rPr>
          <w:b/>
          <w:sz w:val="24"/>
          <w:szCs w:val="24"/>
        </w:rPr>
        <w:t>SP-60 – Homelessness Strategy</w:t>
      </w:r>
    </w:p>
    <w:p w14:paraId="3E501332" w14:textId="15218408" w:rsidR="007605E0" w:rsidRPr="007605E0" w:rsidRDefault="007605E0" w:rsidP="007C520D">
      <w:pPr>
        <w:rPr>
          <w:sz w:val="24"/>
          <w:szCs w:val="24"/>
        </w:rPr>
      </w:pPr>
      <w:r>
        <w:rPr>
          <w:sz w:val="24"/>
          <w:szCs w:val="24"/>
        </w:rPr>
        <w:t xml:space="preserve">To be updated after public comment. </w:t>
      </w:r>
    </w:p>
    <w:p w14:paraId="45B9C3B7" w14:textId="41D2ECF7" w:rsidR="007C520D" w:rsidRDefault="007C520D" w:rsidP="007C520D">
      <w:pPr>
        <w:rPr>
          <w:b/>
          <w:sz w:val="24"/>
          <w:szCs w:val="24"/>
        </w:rPr>
      </w:pPr>
      <w:r>
        <w:rPr>
          <w:b/>
          <w:sz w:val="24"/>
          <w:szCs w:val="24"/>
        </w:rPr>
        <w:t>SP-65 – Lead-Based Paint Hazards</w:t>
      </w:r>
    </w:p>
    <w:p w14:paraId="53D99333" w14:textId="496D5F04" w:rsidR="007605E0" w:rsidRPr="007605E0" w:rsidRDefault="007605E0" w:rsidP="007C520D">
      <w:pPr>
        <w:rPr>
          <w:sz w:val="24"/>
          <w:szCs w:val="24"/>
        </w:rPr>
      </w:pPr>
      <w:r>
        <w:rPr>
          <w:sz w:val="24"/>
          <w:szCs w:val="24"/>
        </w:rPr>
        <w:t xml:space="preserve">To be updated after public comment. </w:t>
      </w:r>
    </w:p>
    <w:p w14:paraId="02960FFD" w14:textId="03E2F745" w:rsidR="007C520D" w:rsidRDefault="007C520D" w:rsidP="007C520D">
      <w:pPr>
        <w:rPr>
          <w:b/>
          <w:sz w:val="24"/>
          <w:szCs w:val="24"/>
        </w:rPr>
      </w:pPr>
      <w:r>
        <w:rPr>
          <w:b/>
          <w:sz w:val="24"/>
          <w:szCs w:val="24"/>
        </w:rPr>
        <w:t>SP-70 – Anti-Poverty Strategy</w:t>
      </w:r>
    </w:p>
    <w:p w14:paraId="3534CB3D" w14:textId="5EEA5B82" w:rsidR="007605E0" w:rsidRPr="007605E0" w:rsidRDefault="007605E0" w:rsidP="007C520D">
      <w:pPr>
        <w:rPr>
          <w:sz w:val="24"/>
          <w:szCs w:val="24"/>
        </w:rPr>
      </w:pPr>
      <w:r>
        <w:rPr>
          <w:sz w:val="24"/>
          <w:szCs w:val="24"/>
        </w:rPr>
        <w:t xml:space="preserve">To be updated after public comment. </w:t>
      </w:r>
    </w:p>
    <w:p w14:paraId="51EFFB7B" w14:textId="4F8781AA" w:rsidR="007C520D" w:rsidRDefault="007C520D" w:rsidP="007C520D">
      <w:pPr>
        <w:rPr>
          <w:b/>
          <w:sz w:val="24"/>
          <w:szCs w:val="24"/>
        </w:rPr>
      </w:pPr>
      <w:r>
        <w:rPr>
          <w:b/>
          <w:sz w:val="24"/>
          <w:szCs w:val="24"/>
        </w:rPr>
        <w:t xml:space="preserve">SP-80 </w:t>
      </w:r>
      <w:r w:rsidR="007605E0">
        <w:rPr>
          <w:b/>
          <w:sz w:val="24"/>
          <w:szCs w:val="24"/>
        </w:rPr>
        <w:t>–</w:t>
      </w:r>
      <w:r>
        <w:rPr>
          <w:b/>
          <w:sz w:val="24"/>
          <w:szCs w:val="24"/>
        </w:rPr>
        <w:t xml:space="preserve"> Monitoring</w:t>
      </w:r>
    </w:p>
    <w:p w14:paraId="3326ABA4" w14:textId="26259E5D" w:rsidR="007605E0" w:rsidRPr="007605E0" w:rsidRDefault="007605E0" w:rsidP="007C520D">
      <w:pPr>
        <w:rPr>
          <w:sz w:val="24"/>
          <w:szCs w:val="24"/>
        </w:rPr>
      </w:pPr>
      <w:r>
        <w:rPr>
          <w:sz w:val="24"/>
          <w:szCs w:val="24"/>
        </w:rPr>
        <w:t xml:space="preserve">To be updated after public comment. </w:t>
      </w:r>
    </w:p>
    <w:p w14:paraId="7E8F7BB8" w14:textId="77777777" w:rsidR="007C520D" w:rsidRPr="00E25CC4" w:rsidRDefault="007C520D" w:rsidP="007C520D">
      <w:pPr>
        <w:rPr>
          <w:b/>
          <w:sz w:val="24"/>
          <w:szCs w:val="24"/>
        </w:rPr>
      </w:pPr>
    </w:p>
    <w:p w14:paraId="618A311C" w14:textId="77777777" w:rsidR="007C520D" w:rsidRDefault="007C520D" w:rsidP="007C520D">
      <w:pPr>
        <w:rPr>
          <w:b/>
          <w:sz w:val="24"/>
          <w:szCs w:val="24"/>
        </w:rPr>
      </w:pPr>
    </w:p>
    <w:p w14:paraId="0D8AF556" w14:textId="77777777" w:rsidR="007C520D" w:rsidRDefault="007C520D" w:rsidP="007C520D">
      <w:pPr>
        <w:rPr>
          <w:b/>
          <w:sz w:val="24"/>
          <w:szCs w:val="24"/>
        </w:rPr>
      </w:pPr>
    </w:p>
    <w:p w14:paraId="26F2A8E1" w14:textId="77777777" w:rsidR="007C520D" w:rsidRDefault="007C520D" w:rsidP="007C520D">
      <w:pPr>
        <w:rPr>
          <w:b/>
          <w:sz w:val="24"/>
          <w:szCs w:val="24"/>
        </w:rPr>
      </w:pPr>
    </w:p>
    <w:p w14:paraId="464581E6" w14:textId="77777777" w:rsidR="007C520D" w:rsidRDefault="007C520D" w:rsidP="007C520D">
      <w:pPr>
        <w:rPr>
          <w:b/>
          <w:sz w:val="24"/>
          <w:szCs w:val="24"/>
        </w:rPr>
      </w:pPr>
    </w:p>
    <w:p w14:paraId="73953D4D" w14:textId="77777777" w:rsidR="007C520D" w:rsidRDefault="007C520D" w:rsidP="007C520D">
      <w:pPr>
        <w:rPr>
          <w:b/>
          <w:sz w:val="24"/>
          <w:szCs w:val="24"/>
        </w:rPr>
      </w:pPr>
    </w:p>
    <w:p w14:paraId="3F5DB0A1" w14:textId="77777777" w:rsidR="007C520D" w:rsidRDefault="007C520D" w:rsidP="007C520D">
      <w:pPr>
        <w:rPr>
          <w:b/>
          <w:sz w:val="24"/>
          <w:szCs w:val="24"/>
        </w:rPr>
      </w:pPr>
    </w:p>
    <w:p w14:paraId="084DDB7F" w14:textId="77777777" w:rsidR="007C520D" w:rsidRDefault="007C520D" w:rsidP="007C520D">
      <w:pPr>
        <w:rPr>
          <w:b/>
          <w:sz w:val="24"/>
          <w:szCs w:val="24"/>
        </w:rPr>
      </w:pPr>
    </w:p>
    <w:p w14:paraId="2DEA43CC" w14:textId="77777777" w:rsidR="007C520D" w:rsidRDefault="007C520D" w:rsidP="007C520D">
      <w:pPr>
        <w:rPr>
          <w:b/>
          <w:sz w:val="24"/>
          <w:szCs w:val="24"/>
        </w:rPr>
      </w:pPr>
    </w:p>
    <w:p w14:paraId="0F37A67B" w14:textId="77777777" w:rsidR="007C520D" w:rsidRDefault="007C520D" w:rsidP="007C520D">
      <w:pPr>
        <w:rPr>
          <w:b/>
          <w:sz w:val="24"/>
          <w:szCs w:val="24"/>
        </w:rPr>
      </w:pPr>
    </w:p>
    <w:p w14:paraId="64FA6717" w14:textId="77777777" w:rsidR="007C520D" w:rsidRDefault="007C520D" w:rsidP="007C520D">
      <w:pPr>
        <w:rPr>
          <w:b/>
          <w:sz w:val="24"/>
          <w:szCs w:val="24"/>
        </w:rPr>
      </w:pPr>
    </w:p>
    <w:p w14:paraId="7551D636" w14:textId="77777777" w:rsidR="007C520D" w:rsidRDefault="007C520D" w:rsidP="007C520D">
      <w:pPr>
        <w:rPr>
          <w:b/>
          <w:sz w:val="24"/>
          <w:szCs w:val="24"/>
        </w:rPr>
      </w:pPr>
    </w:p>
    <w:p w14:paraId="5F93D54B" w14:textId="77777777" w:rsidR="007C520D" w:rsidRDefault="007C520D" w:rsidP="007C520D">
      <w:pPr>
        <w:rPr>
          <w:b/>
          <w:sz w:val="24"/>
          <w:szCs w:val="24"/>
        </w:rPr>
      </w:pPr>
    </w:p>
    <w:p w14:paraId="456A8BDE" w14:textId="77777777" w:rsidR="007C520D" w:rsidRDefault="007C520D" w:rsidP="007C520D">
      <w:pPr>
        <w:rPr>
          <w:b/>
          <w:sz w:val="24"/>
          <w:szCs w:val="24"/>
        </w:rPr>
      </w:pPr>
    </w:p>
    <w:p w14:paraId="23849386" w14:textId="77777777" w:rsidR="007C520D" w:rsidRDefault="007C520D" w:rsidP="007C520D">
      <w:pPr>
        <w:rPr>
          <w:b/>
          <w:sz w:val="24"/>
          <w:szCs w:val="24"/>
        </w:rPr>
      </w:pPr>
    </w:p>
    <w:p w14:paraId="301C4749" w14:textId="77777777" w:rsidR="007C520D" w:rsidRDefault="007C520D" w:rsidP="007C520D">
      <w:pPr>
        <w:rPr>
          <w:b/>
          <w:sz w:val="24"/>
          <w:szCs w:val="24"/>
        </w:rPr>
      </w:pPr>
    </w:p>
    <w:p w14:paraId="47E7798F" w14:textId="77777777" w:rsidR="007C520D" w:rsidRDefault="007C520D" w:rsidP="007C520D">
      <w:pPr>
        <w:rPr>
          <w:b/>
          <w:sz w:val="24"/>
          <w:szCs w:val="24"/>
        </w:rPr>
      </w:pPr>
    </w:p>
    <w:p w14:paraId="162F4C14" w14:textId="77777777" w:rsidR="007C520D" w:rsidRDefault="007C520D" w:rsidP="007C520D">
      <w:pPr>
        <w:rPr>
          <w:b/>
          <w:sz w:val="24"/>
          <w:szCs w:val="24"/>
        </w:rPr>
      </w:pPr>
    </w:p>
    <w:p w14:paraId="2F8648AC" w14:textId="77777777" w:rsidR="007C520D" w:rsidRDefault="007C520D" w:rsidP="007C520D">
      <w:pPr>
        <w:rPr>
          <w:b/>
          <w:sz w:val="24"/>
          <w:szCs w:val="24"/>
        </w:rPr>
      </w:pPr>
    </w:p>
    <w:p w14:paraId="4D9ECB2C" w14:textId="77777777" w:rsidR="007C520D" w:rsidRPr="00985A89" w:rsidRDefault="007C520D" w:rsidP="007C520D">
      <w:pPr>
        <w:pStyle w:val="Heading2"/>
        <w:shd w:val="clear" w:color="auto" w:fill="95B3D7" w:themeFill="accent1" w:themeFillTint="99"/>
        <w:rPr>
          <w:rFonts w:ascii="Calibri" w:hAnsi="Calibri"/>
          <w:i w:val="0"/>
        </w:rPr>
      </w:pPr>
      <w:bookmarkStart w:id="45" w:name="_Toc524603030"/>
      <w:r>
        <w:rPr>
          <w:rFonts w:ascii="Calibri" w:hAnsi="Calibri"/>
          <w:i w:val="0"/>
        </w:rPr>
        <w:t>SP-10 Geographic Priorities – 91.315(a)(1)</w:t>
      </w:r>
      <w:bookmarkEnd w:id="45"/>
    </w:p>
    <w:p w14:paraId="5FE524E8" w14:textId="77777777" w:rsidR="007C520D" w:rsidRDefault="007C520D" w:rsidP="007C520D">
      <w:pPr>
        <w:keepNext/>
        <w:widowControl w:val="0"/>
        <w:rPr>
          <w:b/>
          <w:sz w:val="24"/>
          <w:szCs w:val="24"/>
        </w:rPr>
      </w:pPr>
      <w:r>
        <w:rPr>
          <w:b/>
          <w:sz w:val="24"/>
          <w:szCs w:val="24"/>
        </w:rPr>
        <w:t>General Allocation Priorities</w:t>
      </w:r>
    </w:p>
    <w:p w14:paraId="74C5D4E2" w14:textId="16BA729B" w:rsidR="007C520D" w:rsidRDefault="007C520D" w:rsidP="007C520D">
      <w:pPr>
        <w:spacing w:after="0"/>
        <w:rPr>
          <w:sz w:val="24"/>
          <w:szCs w:val="24"/>
        </w:rPr>
      </w:pPr>
      <w:r w:rsidRPr="00DE207C">
        <w:rPr>
          <w:sz w:val="24"/>
          <w:szCs w:val="24"/>
        </w:rPr>
        <w:t xml:space="preserve">The State of Kansas distributes HUD dollars on a competitive basis rather than on an entitlement/formulaic basis. </w:t>
      </w:r>
      <w:r>
        <w:rPr>
          <w:sz w:val="24"/>
          <w:szCs w:val="24"/>
        </w:rPr>
        <w:t xml:space="preserve">HOME and HTF funding for rental development is available statewide, in both entitlement and non-entitlement areas. The State of Kansas only makes HOME Tenant-Based Rental Assistance (TBRA) funds available to entities providing assistance to low-income households in non-entitlement communities. However, TBRA funds are made available to entities serving special needs populations within entitlement communities. The </w:t>
      </w:r>
      <w:r w:rsidR="00211BCE">
        <w:rPr>
          <w:sz w:val="24"/>
          <w:szCs w:val="24"/>
        </w:rPr>
        <w:t xml:space="preserve">HOME </w:t>
      </w:r>
      <w:r>
        <w:rPr>
          <w:sz w:val="24"/>
          <w:szCs w:val="24"/>
        </w:rPr>
        <w:t xml:space="preserve">First-Time Homebuyer Program does not operate in entitlement communities within the </w:t>
      </w:r>
      <w:r w:rsidR="00556755">
        <w:rPr>
          <w:sz w:val="24"/>
          <w:szCs w:val="24"/>
        </w:rPr>
        <w:t>state</w:t>
      </w:r>
      <w:r>
        <w:rPr>
          <w:sz w:val="24"/>
          <w:szCs w:val="24"/>
        </w:rPr>
        <w:t xml:space="preserve">. </w:t>
      </w:r>
    </w:p>
    <w:p w14:paraId="6484E4ED" w14:textId="77777777" w:rsidR="007C520D" w:rsidRDefault="007C520D" w:rsidP="007C520D">
      <w:pPr>
        <w:spacing w:after="0"/>
        <w:rPr>
          <w:sz w:val="24"/>
          <w:szCs w:val="24"/>
        </w:rPr>
      </w:pPr>
    </w:p>
    <w:p w14:paraId="594F37A1" w14:textId="77777777" w:rsidR="007C520D" w:rsidRDefault="007C520D" w:rsidP="007C520D">
      <w:pPr>
        <w:spacing w:after="0" w:line="240" w:lineRule="auto"/>
      </w:pPr>
    </w:p>
    <w:p w14:paraId="4F160C08" w14:textId="77777777" w:rsidR="007C520D" w:rsidRDefault="007C520D" w:rsidP="007C520D">
      <w:pPr>
        <w:spacing w:after="0" w:line="240" w:lineRule="auto"/>
      </w:pPr>
    </w:p>
    <w:p w14:paraId="1BD86201" w14:textId="77777777" w:rsidR="007C520D" w:rsidRDefault="007C520D" w:rsidP="007C520D">
      <w:pPr>
        <w:spacing w:after="0" w:line="240" w:lineRule="auto"/>
      </w:pPr>
    </w:p>
    <w:p w14:paraId="573484B2" w14:textId="77777777" w:rsidR="007C520D" w:rsidRDefault="007C520D" w:rsidP="007C520D">
      <w:pPr>
        <w:spacing w:after="0" w:line="240" w:lineRule="auto"/>
      </w:pPr>
    </w:p>
    <w:p w14:paraId="14D393AF" w14:textId="77777777" w:rsidR="007C520D" w:rsidRDefault="007C520D" w:rsidP="007C520D">
      <w:pPr>
        <w:spacing w:after="0" w:line="240" w:lineRule="auto"/>
      </w:pPr>
    </w:p>
    <w:p w14:paraId="13D54D16" w14:textId="77777777" w:rsidR="007C520D" w:rsidRDefault="007C520D" w:rsidP="007C520D">
      <w:pPr>
        <w:spacing w:after="0" w:line="240" w:lineRule="auto"/>
      </w:pPr>
    </w:p>
    <w:p w14:paraId="78FAF46B" w14:textId="77777777" w:rsidR="007C520D" w:rsidRDefault="007C520D" w:rsidP="007C520D">
      <w:pPr>
        <w:spacing w:after="0" w:line="240" w:lineRule="auto"/>
      </w:pPr>
    </w:p>
    <w:p w14:paraId="4E7FAC40" w14:textId="77777777" w:rsidR="007C520D" w:rsidRDefault="007C520D" w:rsidP="007C520D">
      <w:pPr>
        <w:spacing w:after="0" w:line="240" w:lineRule="auto"/>
      </w:pPr>
    </w:p>
    <w:p w14:paraId="12FFE500" w14:textId="77777777" w:rsidR="007C520D" w:rsidRDefault="007C520D" w:rsidP="007C520D">
      <w:pPr>
        <w:spacing w:after="0" w:line="240" w:lineRule="auto"/>
      </w:pPr>
    </w:p>
    <w:p w14:paraId="7E00EAFE" w14:textId="77777777" w:rsidR="007C520D" w:rsidRDefault="007C520D" w:rsidP="007C520D">
      <w:pPr>
        <w:spacing w:after="0" w:line="240" w:lineRule="auto"/>
      </w:pPr>
    </w:p>
    <w:p w14:paraId="044402BF" w14:textId="77777777" w:rsidR="007C520D" w:rsidRDefault="007C520D" w:rsidP="007C520D">
      <w:pPr>
        <w:spacing w:after="0" w:line="240" w:lineRule="auto"/>
      </w:pPr>
    </w:p>
    <w:p w14:paraId="4029FF3A" w14:textId="77777777" w:rsidR="007C520D" w:rsidRDefault="007C520D" w:rsidP="007C520D">
      <w:pPr>
        <w:spacing w:after="0" w:line="240" w:lineRule="auto"/>
      </w:pPr>
    </w:p>
    <w:p w14:paraId="2631237F" w14:textId="77777777" w:rsidR="007C520D" w:rsidRDefault="007C520D" w:rsidP="007C520D">
      <w:pPr>
        <w:spacing w:after="0" w:line="240" w:lineRule="auto"/>
      </w:pPr>
    </w:p>
    <w:p w14:paraId="462B874B" w14:textId="77777777" w:rsidR="007C520D" w:rsidRDefault="007C520D" w:rsidP="007C520D">
      <w:pPr>
        <w:spacing w:after="0" w:line="240" w:lineRule="auto"/>
      </w:pPr>
    </w:p>
    <w:p w14:paraId="0EF21F04" w14:textId="77777777" w:rsidR="007C520D" w:rsidRDefault="007C520D" w:rsidP="007C520D">
      <w:pPr>
        <w:spacing w:after="0" w:line="240" w:lineRule="auto"/>
      </w:pPr>
    </w:p>
    <w:p w14:paraId="799C9CF7" w14:textId="77777777" w:rsidR="007C520D" w:rsidRDefault="007C520D" w:rsidP="007C520D">
      <w:pPr>
        <w:spacing w:after="0" w:line="240" w:lineRule="auto"/>
      </w:pPr>
    </w:p>
    <w:p w14:paraId="083E98A2" w14:textId="77777777" w:rsidR="007C520D" w:rsidRDefault="007C520D" w:rsidP="007C520D">
      <w:pPr>
        <w:spacing w:after="0" w:line="240" w:lineRule="auto"/>
      </w:pPr>
    </w:p>
    <w:p w14:paraId="64723DB7" w14:textId="77777777" w:rsidR="007C520D" w:rsidRDefault="007C520D" w:rsidP="007C520D">
      <w:pPr>
        <w:spacing w:after="0" w:line="240" w:lineRule="auto"/>
      </w:pPr>
    </w:p>
    <w:p w14:paraId="0DB67E89" w14:textId="77777777" w:rsidR="007C520D" w:rsidRDefault="007C520D" w:rsidP="007C520D">
      <w:pPr>
        <w:spacing w:after="0" w:line="240" w:lineRule="auto"/>
      </w:pPr>
    </w:p>
    <w:p w14:paraId="2D20F436" w14:textId="77777777" w:rsidR="007C520D" w:rsidRDefault="007C520D" w:rsidP="007C520D">
      <w:pPr>
        <w:spacing w:after="0" w:line="240" w:lineRule="auto"/>
      </w:pPr>
    </w:p>
    <w:p w14:paraId="6445760F" w14:textId="77777777" w:rsidR="007C520D" w:rsidRDefault="007C520D" w:rsidP="007C520D">
      <w:pPr>
        <w:spacing w:after="0" w:line="240" w:lineRule="auto"/>
      </w:pPr>
    </w:p>
    <w:p w14:paraId="57CF115D" w14:textId="77777777" w:rsidR="007C520D" w:rsidRDefault="007C520D" w:rsidP="007C520D">
      <w:pPr>
        <w:spacing w:after="0" w:line="240" w:lineRule="auto"/>
      </w:pPr>
    </w:p>
    <w:p w14:paraId="3DD9F68D" w14:textId="77777777" w:rsidR="007C520D" w:rsidRDefault="007C520D" w:rsidP="007C520D">
      <w:pPr>
        <w:spacing w:after="0" w:line="240" w:lineRule="auto"/>
      </w:pPr>
    </w:p>
    <w:p w14:paraId="6DD449EC" w14:textId="77777777" w:rsidR="007C520D" w:rsidRDefault="007C520D" w:rsidP="007C520D">
      <w:pPr>
        <w:spacing w:after="0" w:line="240" w:lineRule="auto"/>
      </w:pPr>
    </w:p>
    <w:p w14:paraId="0424E69D" w14:textId="77777777" w:rsidR="007C520D" w:rsidRDefault="007C520D" w:rsidP="007C520D">
      <w:pPr>
        <w:spacing w:after="0" w:line="240" w:lineRule="auto"/>
      </w:pPr>
    </w:p>
    <w:p w14:paraId="16AFBC86" w14:textId="77777777" w:rsidR="007C520D" w:rsidRDefault="007C520D" w:rsidP="007C520D">
      <w:pPr>
        <w:spacing w:after="0" w:line="240" w:lineRule="auto"/>
      </w:pPr>
    </w:p>
    <w:p w14:paraId="6EE02FF4" w14:textId="77777777" w:rsidR="007C520D" w:rsidRDefault="007C520D" w:rsidP="007C520D">
      <w:pPr>
        <w:spacing w:after="0" w:line="240" w:lineRule="auto"/>
      </w:pPr>
    </w:p>
    <w:p w14:paraId="299C843A" w14:textId="77777777" w:rsidR="007C520D" w:rsidRDefault="007C520D" w:rsidP="007C520D">
      <w:pPr>
        <w:spacing w:after="0" w:line="240" w:lineRule="auto"/>
      </w:pPr>
    </w:p>
    <w:p w14:paraId="74895DCA" w14:textId="77777777" w:rsidR="007C520D" w:rsidRDefault="007C520D" w:rsidP="007C520D">
      <w:pPr>
        <w:spacing w:after="0" w:line="240" w:lineRule="auto"/>
      </w:pPr>
    </w:p>
    <w:p w14:paraId="54DFFB7A" w14:textId="77777777" w:rsidR="007C520D" w:rsidRDefault="007C520D" w:rsidP="007C520D">
      <w:pPr>
        <w:spacing w:after="0" w:line="240" w:lineRule="auto"/>
      </w:pPr>
    </w:p>
    <w:p w14:paraId="2FBF6325" w14:textId="77777777" w:rsidR="007C520D" w:rsidRDefault="007C520D" w:rsidP="007C520D">
      <w:pPr>
        <w:spacing w:after="0" w:line="240" w:lineRule="auto"/>
      </w:pPr>
    </w:p>
    <w:p w14:paraId="5C4B4487" w14:textId="77777777" w:rsidR="007C520D" w:rsidRDefault="007C520D" w:rsidP="007C520D">
      <w:pPr>
        <w:spacing w:after="0" w:line="240" w:lineRule="auto"/>
      </w:pPr>
    </w:p>
    <w:p w14:paraId="4E90D0D3" w14:textId="77777777" w:rsidR="007C520D" w:rsidRDefault="007C520D" w:rsidP="007C520D">
      <w:pPr>
        <w:spacing w:after="0" w:line="240" w:lineRule="auto"/>
      </w:pPr>
    </w:p>
    <w:p w14:paraId="24A80A11" w14:textId="77777777" w:rsidR="007C520D" w:rsidRDefault="007C520D" w:rsidP="007C520D">
      <w:pPr>
        <w:spacing w:after="0" w:line="240" w:lineRule="auto"/>
      </w:pPr>
    </w:p>
    <w:p w14:paraId="5D96F8BA" w14:textId="77777777" w:rsidR="007C520D" w:rsidRDefault="007C520D" w:rsidP="007C520D">
      <w:pPr>
        <w:spacing w:after="0" w:line="240" w:lineRule="auto"/>
      </w:pPr>
    </w:p>
    <w:p w14:paraId="03D0ED83" w14:textId="77777777" w:rsidR="007C520D" w:rsidRDefault="007C520D" w:rsidP="007C520D">
      <w:pPr>
        <w:spacing w:after="0" w:line="240" w:lineRule="auto"/>
      </w:pPr>
    </w:p>
    <w:p w14:paraId="01346A53" w14:textId="77777777" w:rsidR="007C520D" w:rsidRPr="005736EE" w:rsidRDefault="007C520D" w:rsidP="007C520D">
      <w:pPr>
        <w:pStyle w:val="Heading2"/>
        <w:shd w:val="clear" w:color="auto" w:fill="95B3D7" w:themeFill="accent1" w:themeFillTint="99"/>
        <w:rPr>
          <w:rFonts w:ascii="Calibri" w:hAnsi="Calibri"/>
          <w:i w:val="0"/>
        </w:rPr>
      </w:pPr>
      <w:bookmarkStart w:id="46" w:name="_Toc524603031"/>
      <w:r>
        <w:rPr>
          <w:rFonts w:ascii="Calibri" w:hAnsi="Calibri"/>
          <w:i w:val="0"/>
        </w:rPr>
        <w:t>SP-25 Priority Needs – 91.315(a)(2)</w:t>
      </w:r>
      <w:bookmarkEnd w:id="46"/>
      <w:r>
        <w:rPr>
          <w:rFonts w:ascii="Calibri" w:hAnsi="Calibri"/>
          <w:i w:val="0"/>
        </w:rPr>
        <w:t xml:space="preserve">  </w:t>
      </w:r>
    </w:p>
    <w:p w14:paraId="52DF9A50" w14:textId="77777777" w:rsidR="007C520D" w:rsidRDefault="007C520D" w:rsidP="007C520D">
      <w:pPr>
        <w:keepNext/>
        <w:widowControl w:val="0"/>
        <w:rPr>
          <w:b/>
          <w:sz w:val="24"/>
          <w:szCs w:val="24"/>
        </w:rPr>
      </w:pPr>
      <w:r>
        <w:rPr>
          <w:b/>
          <w:sz w:val="24"/>
          <w:szCs w:val="24"/>
        </w:rPr>
        <w:t>Priority Needs</w:t>
      </w:r>
    </w:p>
    <w:p w14:paraId="672FD6B0" w14:textId="77777777" w:rsidR="007C520D" w:rsidRPr="00BB34EF" w:rsidRDefault="007C520D" w:rsidP="007C520D">
      <w:pPr>
        <w:pStyle w:val="TableTitle"/>
        <w:numPr>
          <w:ilvl w:val="0"/>
          <w:numId w:val="0"/>
        </w:numPr>
        <w:rPr>
          <w:sz w:val="24"/>
        </w:rPr>
      </w:pPr>
      <w:r w:rsidRPr="00BB34EF">
        <w:rPr>
          <w:sz w:val="24"/>
        </w:rPr>
        <w:t>Table 1 – Priority Needs Summary</w:t>
      </w:r>
    </w:p>
    <w:tbl>
      <w:tblPr>
        <w:tblStyle w:val="GridTable4-Accent1"/>
        <w:tblW w:w="0" w:type="auto"/>
        <w:tblLook w:val="0600" w:firstRow="0" w:lastRow="0" w:firstColumn="0" w:lastColumn="0" w:noHBand="1" w:noVBand="1"/>
      </w:tblPr>
      <w:tblGrid>
        <w:gridCol w:w="318"/>
        <w:gridCol w:w="1832"/>
        <w:gridCol w:w="7200"/>
      </w:tblGrid>
      <w:tr w:rsidR="007C520D" w:rsidRPr="00953096" w14:paraId="0CC2FF36" w14:textId="77777777" w:rsidTr="007C520D">
        <w:tc>
          <w:tcPr>
            <w:tcW w:w="0" w:type="auto"/>
            <w:vMerge w:val="restart"/>
            <w:shd w:val="clear" w:color="auto" w:fill="4F81BD" w:themeFill="accent1"/>
          </w:tcPr>
          <w:p w14:paraId="314C0B42" w14:textId="77777777" w:rsidR="007C520D" w:rsidRPr="00BB34EF" w:rsidRDefault="007C520D" w:rsidP="007C520D">
            <w:pPr>
              <w:rPr>
                <w:color w:val="FFFFFF" w:themeColor="background1"/>
                <w:sz w:val="20"/>
                <w:szCs w:val="20"/>
              </w:rPr>
            </w:pPr>
            <w:bookmarkStart w:id="47" w:name="_Hlk516214819"/>
            <w:r w:rsidRPr="00BB34EF">
              <w:rPr>
                <w:b/>
                <w:color w:val="FFFFFF" w:themeColor="background1"/>
                <w:sz w:val="20"/>
                <w:szCs w:val="20"/>
              </w:rPr>
              <w:t>1</w:t>
            </w:r>
          </w:p>
        </w:tc>
        <w:tc>
          <w:tcPr>
            <w:tcW w:w="1860" w:type="dxa"/>
            <w:shd w:val="clear" w:color="auto" w:fill="DBE5F1" w:themeFill="accent1" w:themeFillTint="33"/>
          </w:tcPr>
          <w:p w14:paraId="4D58BD57" w14:textId="77777777" w:rsidR="007C520D" w:rsidRPr="00BB34EF" w:rsidRDefault="007C520D" w:rsidP="007C520D">
            <w:pPr>
              <w:keepNext/>
              <w:spacing w:after="0"/>
              <w:rPr>
                <w:sz w:val="20"/>
                <w:szCs w:val="20"/>
              </w:rPr>
            </w:pPr>
            <w:r w:rsidRPr="00BB34EF">
              <w:rPr>
                <w:sz w:val="20"/>
                <w:szCs w:val="20"/>
              </w:rPr>
              <w:t>Priority Need Name</w:t>
            </w:r>
          </w:p>
        </w:tc>
        <w:tc>
          <w:tcPr>
            <w:tcW w:w="7398" w:type="dxa"/>
          </w:tcPr>
          <w:p w14:paraId="60648EB1" w14:textId="77777777" w:rsidR="007C520D" w:rsidRPr="00953096" w:rsidRDefault="007C520D" w:rsidP="007C520D">
            <w:pPr>
              <w:spacing w:after="0"/>
              <w:rPr>
                <w:sz w:val="20"/>
                <w:szCs w:val="20"/>
              </w:rPr>
            </w:pPr>
            <w:r w:rsidRPr="00953096">
              <w:rPr>
                <w:color w:val="000000"/>
                <w:sz w:val="20"/>
                <w:szCs w:val="20"/>
              </w:rPr>
              <w:t>Water and Sewer Improvements</w:t>
            </w:r>
          </w:p>
        </w:tc>
      </w:tr>
      <w:tr w:rsidR="007C520D" w:rsidRPr="00953096" w14:paraId="550D89BC" w14:textId="77777777" w:rsidTr="007C520D">
        <w:tc>
          <w:tcPr>
            <w:tcW w:w="0" w:type="auto"/>
            <w:vMerge/>
            <w:shd w:val="clear" w:color="auto" w:fill="4F81BD" w:themeFill="accent1"/>
          </w:tcPr>
          <w:p w14:paraId="2FC5651A" w14:textId="77777777" w:rsidR="007C520D" w:rsidRPr="00953096" w:rsidRDefault="007C520D" w:rsidP="007C520D">
            <w:pPr>
              <w:rPr>
                <w:sz w:val="20"/>
                <w:szCs w:val="20"/>
              </w:rPr>
            </w:pPr>
          </w:p>
        </w:tc>
        <w:tc>
          <w:tcPr>
            <w:tcW w:w="1860" w:type="dxa"/>
            <w:shd w:val="clear" w:color="auto" w:fill="DBE5F1" w:themeFill="accent1" w:themeFillTint="33"/>
          </w:tcPr>
          <w:p w14:paraId="42C46FE9"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050612D8"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66C28E9A" w14:textId="77777777" w:rsidTr="007C520D">
        <w:tc>
          <w:tcPr>
            <w:tcW w:w="0" w:type="auto"/>
            <w:vMerge/>
            <w:shd w:val="clear" w:color="auto" w:fill="4F81BD" w:themeFill="accent1"/>
          </w:tcPr>
          <w:p w14:paraId="0369E404" w14:textId="77777777" w:rsidR="007C520D" w:rsidRPr="00953096" w:rsidRDefault="007C520D" w:rsidP="007C520D">
            <w:pPr>
              <w:rPr>
                <w:sz w:val="20"/>
                <w:szCs w:val="20"/>
              </w:rPr>
            </w:pPr>
          </w:p>
        </w:tc>
        <w:tc>
          <w:tcPr>
            <w:tcW w:w="1860" w:type="dxa"/>
            <w:shd w:val="clear" w:color="auto" w:fill="DBE5F1" w:themeFill="accent1" w:themeFillTint="33"/>
          </w:tcPr>
          <w:p w14:paraId="105D2474"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604C360E" w14:textId="77777777" w:rsidR="007C520D" w:rsidRPr="00953096" w:rsidRDefault="007C520D" w:rsidP="007C520D">
            <w:pPr>
              <w:spacing w:after="0"/>
              <w:rPr>
                <w:sz w:val="20"/>
                <w:szCs w:val="20"/>
              </w:rPr>
            </w:pPr>
            <w:r w:rsidRPr="00953096">
              <w:rPr>
                <w:color w:val="000000"/>
                <w:sz w:val="20"/>
                <w:szCs w:val="20"/>
              </w:rPr>
              <w:t>Extremely Low</w:t>
            </w:r>
            <w:r w:rsidRPr="00953096">
              <w:rPr>
                <w:color w:val="000000"/>
                <w:sz w:val="20"/>
                <w:szCs w:val="20"/>
              </w:rPr>
              <w:br/>
              <w:t>Low</w:t>
            </w:r>
            <w:r w:rsidRPr="00953096">
              <w:rPr>
                <w:color w:val="000000"/>
                <w:sz w:val="20"/>
                <w:szCs w:val="20"/>
              </w:rPr>
              <w:br/>
              <w:t>Moderate</w:t>
            </w:r>
            <w:r w:rsidRPr="00953096">
              <w:rPr>
                <w:color w:val="000000"/>
                <w:sz w:val="20"/>
                <w:szCs w:val="20"/>
              </w:rPr>
              <w:br/>
              <w:t>Large Families</w:t>
            </w:r>
            <w:r w:rsidRPr="00953096">
              <w:rPr>
                <w:color w:val="000000"/>
                <w:sz w:val="20"/>
                <w:szCs w:val="20"/>
              </w:rPr>
              <w:br/>
              <w:t>Families with Children</w:t>
            </w:r>
            <w:r w:rsidRPr="00953096">
              <w:rPr>
                <w:color w:val="000000"/>
                <w:sz w:val="20"/>
                <w:szCs w:val="20"/>
              </w:rPr>
              <w:br/>
              <w:t>Elderly</w:t>
            </w:r>
            <w:r w:rsidRPr="00953096">
              <w:rPr>
                <w:color w:val="000000"/>
                <w:sz w:val="20"/>
                <w:szCs w:val="20"/>
              </w:rPr>
              <w:br/>
              <w:t>Public Housing Residents</w:t>
            </w:r>
            <w:r w:rsidRPr="00953096">
              <w:rPr>
                <w:color w:val="000000"/>
                <w:sz w:val="20"/>
                <w:szCs w:val="20"/>
              </w:rPr>
              <w:br/>
              <w:t>Non-housing Community Development</w:t>
            </w:r>
          </w:p>
        </w:tc>
      </w:tr>
      <w:tr w:rsidR="007C520D" w:rsidRPr="00953096" w14:paraId="4C21E6BF" w14:textId="77777777" w:rsidTr="007C520D">
        <w:tc>
          <w:tcPr>
            <w:tcW w:w="0" w:type="auto"/>
            <w:vMerge/>
            <w:shd w:val="clear" w:color="auto" w:fill="4F81BD" w:themeFill="accent1"/>
          </w:tcPr>
          <w:p w14:paraId="50E589C7" w14:textId="77777777" w:rsidR="007C520D" w:rsidRPr="00953096" w:rsidRDefault="007C520D" w:rsidP="007C520D">
            <w:pPr>
              <w:rPr>
                <w:sz w:val="20"/>
                <w:szCs w:val="20"/>
              </w:rPr>
            </w:pPr>
          </w:p>
        </w:tc>
        <w:tc>
          <w:tcPr>
            <w:tcW w:w="1860" w:type="dxa"/>
            <w:shd w:val="clear" w:color="auto" w:fill="DBE5F1" w:themeFill="accent1" w:themeFillTint="33"/>
          </w:tcPr>
          <w:p w14:paraId="10E37D59"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024C81F3"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19460A2E" w14:textId="77777777" w:rsidTr="007C520D">
        <w:tc>
          <w:tcPr>
            <w:tcW w:w="0" w:type="auto"/>
            <w:vMerge/>
            <w:shd w:val="clear" w:color="auto" w:fill="4F81BD" w:themeFill="accent1"/>
          </w:tcPr>
          <w:p w14:paraId="4B9E1251" w14:textId="77777777" w:rsidR="007C520D" w:rsidRPr="00953096" w:rsidRDefault="007C520D" w:rsidP="007C520D">
            <w:pPr>
              <w:rPr>
                <w:sz w:val="20"/>
                <w:szCs w:val="20"/>
              </w:rPr>
            </w:pPr>
          </w:p>
        </w:tc>
        <w:tc>
          <w:tcPr>
            <w:tcW w:w="1860" w:type="dxa"/>
            <w:shd w:val="clear" w:color="auto" w:fill="DBE5F1" w:themeFill="accent1" w:themeFillTint="33"/>
          </w:tcPr>
          <w:p w14:paraId="0A31919C"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2AABBB88" w14:textId="77777777" w:rsidR="007C520D" w:rsidRPr="00953096" w:rsidRDefault="007C520D" w:rsidP="007C520D">
            <w:pPr>
              <w:spacing w:after="0"/>
              <w:rPr>
                <w:sz w:val="20"/>
                <w:szCs w:val="20"/>
              </w:rPr>
            </w:pPr>
            <w:r w:rsidRPr="00953096">
              <w:rPr>
                <w:color w:val="000000"/>
                <w:sz w:val="20"/>
                <w:szCs w:val="20"/>
              </w:rPr>
              <w:t>Water and Sewer Improvements</w:t>
            </w:r>
            <w:r w:rsidRPr="00953096">
              <w:rPr>
                <w:color w:val="000000"/>
                <w:sz w:val="20"/>
                <w:szCs w:val="20"/>
              </w:rPr>
              <w:br/>
              <w:t>State Administration and Technical Assistance</w:t>
            </w:r>
          </w:p>
        </w:tc>
      </w:tr>
      <w:tr w:rsidR="007C520D" w:rsidRPr="00953096" w14:paraId="060A164B" w14:textId="77777777" w:rsidTr="007C520D">
        <w:tc>
          <w:tcPr>
            <w:tcW w:w="0" w:type="auto"/>
            <w:vMerge/>
            <w:shd w:val="clear" w:color="auto" w:fill="4F81BD" w:themeFill="accent1"/>
          </w:tcPr>
          <w:p w14:paraId="2F013BE9" w14:textId="77777777" w:rsidR="007C520D" w:rsidRPr="00953096" w:rsidRDefault="007C520D" w:rsidP="007C520D">
            <w:pPr>
              <w:rPr>
                <w:sz w:val="20"/>
                <w:szCs w:val="20"/>
              </w:rPr>
            </w:pPr>
          </w:p>
        </w:tc>
        <w:tc>
          <w:tcPr>
            <w:tcW w:w="1860" w:type="dxa"/>
            <w:shd w:val="clear" w:color="auto" w:fill="DBE5F1" w:themeFill="accent1" w:themeFillTint="33"/>
          </w:tcPr>
          <w:p w14:paraId="5D643222"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67E4300B" w14:textId="2EE9E3EC" w:rsidR="007C520D" w:rsidRPr="00953096" w:rsidRDefault="007C520D" w:rsidP="007C520D">
            <w:pPr>
              <w:spacing w:after="0"/>
              <w:rPr>
                <w:sz w:val="20"/>
                <w:szCs w:val="20"/>
              </w:rPr>
            </w:pPr>
            <w:r w:rsidRPr="00953096">
              <w:rPr>
                <w:color w:val="000000"/>
                <w:sz w:val="20"/>
                <w:szCs w:val="20"/>
              </w:rPr>
              <w:t xml:space="preserve">The Water and Sewer annual competition will be separate from the Community Facilities annual competition, although threshold requirements apply equally to both categories. More specific award criteria for this program will be discussed in the </w:t>
            </w:r>
            <w:r w:rsidR="00211BCE">
              <w:rPr>
                <w:color w:val="000000"/>
                <w:sz w:val="20"/>
                <w:szCs w:val="20"/>
              </w:rPr>
              <w:t xml:space="preserve">annual </w:t>
            </w:r>
            <w:r w:rsidRPr="00953096">
              <w:rPr>
                <w:color w:val="000000"/>
                <w:sz w:val="20"/>
                <w:szCs w:val="20"/>
              </w:rPr>
              <w:t>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 The project grant amount is limited to $2,000 per beneficiary up to a maximum of $500,000.</w:t>
            </w:r>
          </w:p>
          <w:p w14:paraId="7531795F" w14:textId="5DD9AFD8" w:rsidR="007C520D" w:rsidRPr="00953096" w:rsidRDefault="007C520D" w:rsidP="007C520D">
            <w:pPr>
              <w:spacing w:after="0"/>
              <w:rPr>
                <w:sz w:val="20"/>
                <w:szCs w:val="20"/>
              </w:rPr>
            </w:pPr>
            <w:r w:rsidRPr="00953096">
              <w:rPr>
                <w:color w:val="000000"/>
                <w:sz w:val="20"/>
                <w:szCs w:val="20"/>
              </w:rPr>
              <w:t>It is estimated that from 25% to 55% of CDBG funds will be expended on water and sewer facilities in any given year, depending on the level of need for public facilities during the five-year period.</w:t>
            </w:r>
          </w:p>
        </w:tc>
      </w:tr>
      <w:tr w:rsidR="007C520D" w:rsidRPr="00953096" w14:paraId="6C5FED40" w14:textId="77777777" w:rsidTr="007C520D">
        <w:tc>
          <w:tcPr>
            <w:tcW w:w="0" w:type="auto"/>
            <w:vMerge/>
            <w:shd w:val="clear" w:color="auto" w:fill="4F81BD" w:themeFill="accent1"/>
          </w:tcPr>
          <w:p w14:paraId="4C05FA8F" w14:textId="77777777" w:rsidR="007C520D" w:rsidRPr="00953096" w:rsidRDefault="007C520D" w:rsidP="007C520D">
            <w:pPr>
              <w:rPr>
                <w:sz w:val="20"/>
                <w:szCs w:val="20"/>
              </w:rPr>
            </w:pPr>
          </w:p>
        </w:tc>
        <w:tc>
          <w:tcPr>
            <w:tcW w:w="1860" w:type="dxa"/>
            <w:tcBorders>
              <w:bottom w:val="single" w:sz="4" w:space="0" w:color="auto"/>
            </w:tcBorders>
            <w:shd w:val="clear" w:color="auto" w:fill="DBE5F1" w:themeFill="accent1" w:themeFillTint="33"/>
          </w:tcPr>
          <w:p w14:paraId="1C6A2C73"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Borders>
              <w:bottom w:val="single" w:sz="4" w:space="0" w:color="auto"/>
            </w:tcBorders>
          </w:tcPr>
          <w:p w14:paraId="3037EBDB" w14:textId="77777777" w:rsidR="007C520D" w:rsidRPr="00953096" w:rsidRDefault="007C520D" w:rsidP="007C520D">
            <w:pPr>
              <w:spacing w:after="0"/>
              <w:rPr>
                <w:sz w:val="20"/>
                <w:szCs w:val="20"/>
              </w:rPr>
            </w:pPr>
            <w:r w:rsidRPr="00953096">
              <w:rPr>
                <w:color w:val="000000"/>
                <w:sz w:val="20"/>
                <w:szCs w:val="20"/>
              </w:rPr>
              <w:t>Water and sewer projects are consistently the most frequently requested projects for funding assistance</w:t>
            </w:r>
            <w:r>
              <w:rPr>
                <w:color w:val="000000"/>
                <w:sz w:val="20"/>
                <w:szCs w:val="20"/>
              </w:rPr>
              <w:t xml:space="preserve"> due to rural characteristics</w:t>
            </w:r>
            <w:r w:rsidRPr="00953096">
              <w:rPr>
                <w:color w:val="000000"/>
                <w:sz w:val="20"/>
                <w:szCs w:val="20"/>
              </w:rPr>
              <w:t>.  Water improvement projects are the highest need category due to the highest rate of violations (health, safety, etc.). The western portion of Kansas has been especially hard-hit due to the drought, so the request for water-related projects is high.</w:t>
            </w:r>
          </w:p>
        </w:tc>
      </w:tr>
      <w:tr w:rsidR="007C520D" w:rsidRPr="00953096" w14:paraId="2A8AFD53" w14:textId="77777777" w:rsidTr="007C520D">
        <w:tc>
          <w:tcPr>
            <w:tcW w:w="0" w:type="auto"/>
            <w:vMerge w:val="restart"/>
            <w:shd w:val="clear" w:color="auto" w:fill="4F81BD" w:themeFill="accent1"/>
          </w:tcPr>
          <w:p w14:paraId="371D8F09" w14:textId="77777777" w:rsidR="007C520D" w:rsidRPr="00F41392" w:rsidRDefault="007C520D" w:rsidP="007C520D">
            <w:pPr>
              <w:rPr>
                <w:color w:val="FFFFFF" w:themeColor="background1"/>
                <w:sz w:val="20"/>
                <w:szCs w:val="20"/>
              </w:rPr>
            </w:pPr>
            <w:r w:rsidRPr="00F41392">
              <w:rPr>
                <w:b/>
                <w:color w:val="FFFFFF" w:themeColor="background1"/>
                <w:sz w:val="20"/>
                <w:szCs w:val="20"/>
              </w:rPr>
              <w:t>2</w:t>
            </w:r>
          </w:p>
        </w:tc>
        <w:tc>
          <w:tcPr>
            <w:tcW w:w="1860" w:type="dxa"/>
            <w:tcBorders>
              <w:top w:val="single" w:sz="4" w:space="0" w:color="auto"/>
            </w:tcBorders>
            <w:shd w:val="clear" w:color="auto" w:fill="DBE5F1" w:themeFill="accent1" w:themeFillTint="33"/>
          </w:tcPr>
          <w:p w14:paraId="04051D92" w14:textId="77777777" w:rsidR="007C520D" w:rsidRPr="00F41392" w:rsidRDefault="007C520D" w:rsidP="007C520D">
            <w:pPr>
              <w:keepNext/>
              <w:spacing w:after="0"/>
              <w:rPr>
                <w:sz w:val="20"/>
                <w:szCs w:val="20"/>
              </w:rPr>
            </w:pPr>
            <w:r w:rsidRPr="00F41392">
              <w:rPr>
                <w:sz w:val="20"/>
                <w:szCs w:val="20"/>
              </w:rPr>
              <w:t>Priority Need Name</w:t>
            </w:r>
          </w:p>
        </w:tc>
        <w:tc>
          <w:tcPr>
            <w:tcW w:w="7398" w:type="dxa"/>
            <w:tcBorders>
              <w:top w:val="single" w:sz="4" w:space="0" w:color="auto"/>
            </w:tcBorders>
          </w:tcPr>
          <w:p w14:paraId="534C2096" w14:textId="77777777" w:rsidR="007C520D" w:rsidRPr="00953096" w:rsidRDefault="007C520D" w:rsidP="007C520D">
            <w:pPr>
              <w:spacing w:after="0"/>
              <w:rPr>
                <w:sz w:val="20"/>
                <w:szCs w:val="20"/>
              </w:rPr>
            </w:pPr>
            <w:r w:rsidRPr="00953096">
              <w:rPr>
                <w:color w:val="000000"/>
                <w:sz w:val="20"/>
                <w:szCs w:val="20"/>
              </w:rPr>
              <w:t>Affordable Housing</w:t>
            </w:r>
          </w:p>
        </w:tc>
      </w:tr>
      <w:tr w:rsidR="007C520D" w:rsidRPr="00953096" w14:paraId="0C98EF60" w14:textId="77777777" w:rsidTr="007C520D">
        <w:tc>
          <w:tcPr>
            <w:tcW w:w="0" w:type="auto"/>
            <w:vMerge/>
            <w:shd w:val="clear" w:color="auto" w:fill="4F81BD" w:themeFill="accent1"/>
          </w:tcPr>
          <w:p w14:paraId="31252308" w14:textId="77777777" w:rsidR="007C520D" w:rsidRPr="00953096" w:rsidRDefault="007C520D" w:rsidP="007C520D">
            <w:pPr>
              <w:rPr>
                <w:sz w:val="20"/>
                <w:szCs w:val="20"/>
              </w:rPr>
            </w:pPr>
          </w:p>
        </w:tc>
        <w:tc>
          <w:tcPr>
            <w:tcW w:w="1860" w:type="dxa"/>
            <w:shd w:val="clear" w:color="auto" w:fill="DBE5F1" w:themeFill="accent1" w:themeFillTint="33"/>
          </w:tcPr>
          <w:p w14:paraId="78BDC77D"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239B0198"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6B17E96F" w14:textId="77777777" w:rsidTr="007C520D">
        <w:tc>
          <w:tcPr>
            <w:tcW w:w="0" w:type="auto"/>
            <w:vMerge/>
            <w:shd w:val="clear" w:color="auto" w:fill="4F81BD" w:themeFill="accent1"/>
          </w:tcPr>
          <w:p w14:paraId="6223F078" w14:textId="77777777" w:rsidR="007C520D" w:rsidRPr="00953096" w:rsidRDefault="007C520D" w:rsidP="007C520D">
            <w:pPr>
              <w:rPr>
                <w:sz w:val="20"/>
                <w:szCs w:val="20"/>
              </w:rPr>
            </w:pPr>
          </w:p>
        </w:tc>
        <w:tc>
          <w:tcPr>
            <w:tcW w:w="1860" w:type="dxa"/>
            <w:shd w:val="clear" w:color="auto" w:fill="DBE5F1" w:themeFill="accent1" w:themeFillTint="33"/>
          </w:tcPr>
          <w:p w14:paraId="17CD0715"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2F958227" w14:textId="77777777" w:rsidR="007C520D" w:rsidRDefault="007C520D" w:rsidP="007C520D">
            <w:pPr>
              <w:spacing w:after="0"/>
              <w:rPr>
                <w:color w:val="000000"/>
                <w:sz w:val="20"/>
                <w:szCs w:val="20"/>
              </w:rPr>
            </w:pPr>
            <w:r w:rsidRPr="00953096">
              <w:rPr>
                <w:color w:val="000000"/>
                <w:sz w:val="20"/>
                <w:szCs w:val="20"/>
              </w:rPr>
              <w:t>Low</w:t>
            </w:r>
            <w:r w:rsidRPr="00953096">
              <w:rPr>
                <w:color w:val="000000"/>
                <w:sz w:val="20"/>
                <w:szCs w:val="20"/>
              </w:rPr>
              <w:br/>
              <w:t>Moderate</w:t>
            </w:r>
          </w:p>
          <w:p w14:paraId="15AEDDA0" w14:textId="77777777" w:rsidR="007C520D" w:rsidRDefault="007C520D" w:rsidP="007C520D">
            <w:pPr>
              <w:spacing w:after="0"/>
              <w:rPr>
                <w:color w:val="000000"/>
                <w:sz w:val="20"/>
                <w:szCs w:val="20"/>
              </w:rPr>
            </w:pPr>
            <w:r>
              <w:rPr>
                <w:color w:val="000000"/>
                <w:sz w:val="20"/>
                <w:szCs w:val="20"/>
              </w:rPr>
              <w:t>HOME: Low and Very-Low income</w:t>
            </w:r>
          </w:p>
          <w:p w14:paraId="7078F33A" w14:textId="77777777" w:rsidR="007C520D" w:rsidRPr="00953096" w:rsidRDefault="007C520D" w:rsidP="007C520D">
            <w:pPr>
              <w:spacing w:after="0"/>
              <w:rPr>
                <w:sz w:val="20"/>
                <w:szCs w:val="20"/>
              </w:rPr>
            </w:pPr>
            <w:r>
              <w:rPr>
                <w:color w:val="000000"/>
                <w:sz w:val="20"/>
                <w:szCs w:val="20"/>
              </w:rPr>
              <w:t>HTF: Extremely-Low Income</w:t>
            </w:r>
          </w:p>
        </w:tc>
      </w:tr>
      <w:tr w:rsidR="007C520D" w:rsidRPr="00953096" w14:paraId="40B650E1" w14:textId="77777777" w:rsidTr="007C520D">
        <w:tc>
          <w:tcPr>
            <w:tcW w:w="0" w:type="auto"/>
            <w:vMerge/>
            <w:shd w:val="clear" w:color="auto" w:fill="4F81BD" w:themeFill="accent1"/>
          </w:tcPr>
          <w:p w14:paraId="0F6340C9" w14:textId="77777777" w:rsidR="007C520D" w:rsidRPr="00953096" w:rsidRDefault="007C520D" w:rsidP="007C520D">
            <w:pPr>
              <w:rPr>
                <w:sz w:val="20"/>
                <w:szCs w:val="20"/>
              </w:rPr>
            </w:pPr>
          </w:p>
        </w:tc>
        <w:tc>
          <w:tcPr>
            <w:tcW w:w="1860" w:type="dxa"/>
            <w:shd w:val="clear" w:color="auto" w:fill="DBE5F1" w:themeFill="accent1" w:themeFillTint="33"/>
          </w:tcPr>
          <w:p w14:paraId="6DB9236D"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72910694"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57CE42AF" w14:textId="77777777" w:rsidTr="007C520D">
        <w:tc>
          <w:tcPr>
            <w:tcW w:w="0" w:type="auto"/>
            <w:vMerge/>
            <w:shd w:val="clear" w:color="auto" w:fill="4F81BD" w:themeFill="accent1"/>
          </w:tcPr>
          <w:p w14:paraId="2D499DFB" w14:textId="77777777" w:rsidR="007C520D" w:rsidRPr="00953096" w:rsidRDefault="007C520D" w:rsidP="007C520D">
            <w:pPr>
              <w:rPr>
                <w:sz w:val="20"/>
                <w:szCs w:val="20"/>
              </w:rPr>
            </w:pPr>
          </w:p>
        </w:tc>
        <w:tc>
          <w:tcPr>
            <w:tcW w:w="1860" w:type="dxa"/>
            <w:shd w:val="clear" w:color="auto" w:fill="DBE5F1" w:themeFill="accent1" w:themeFillTint="33"/>
          </w:tcPr>
          <w:p w14:paraId="7C3E82A4"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0526D354" w14:textId="77777777" w:rsidR="007C520D" w:rsidRDefault="007C520D" w:rsidP="007C520D">
            <w:pPr>
              <w:spacing w:after="0"/>
              <w:rPr>
                <w:color w:val="000000"/>
                <w:sz w:val="20"/>
                <w:szCs w:val="20"/>
              </w:rPr>
            </w:pPr>
            <w:r w:rsidRPr="00953096">
              <w:rPr>
                <w:color w:val="000000"/>
                <w:sz w:val="20"/>
                <w:szCs w:val="20"/>
              </w:rPr>
              <w:t>Increase the quality</w:t>
            </w:r>
            <w:r>
              <w:rPr>
                <w:color w:val="000000"/>
                <w:sz w:val="20"/>
                <w:szCs w:val="20"/>
              </w:rPr>
              <w:t xml:space="preserve"> of affordable housing: CDBG</w:t>
            </w:r>
            <w:r w:rsidRPr="00953096">
              <w:rPr>
                <w:color w:val="000000"/>
                <w:sz w:val="20"/>
                <w:szCs w:val="20"/>
              </w:rPr>
              <w:br/>
              <w:t>Urgent Need</w:t>
            </w:r>
            <w:r w:rsidRPr="00953096">
              <w:rPr>
                <w:color w:val="000000"/>
                <w:sz w:val="20"/>
                <w:szCs w:val="20"/>
              </w:rPr>
              <w:br/>
              <w:t>State Administration and Technical Assistance</w:t>
            </w:r>
            <w:r w:rsidRPr="00953096">
              <w:rPr>
                <w:color w:val="000000"/>
                <w:sz w:val="20"/>
                <w:szCs w:val="20"/>
              </w:rPr>
              <w:br/>
              <w:t>First-Time Homebuyers</w:t>
            </w:r>
            <w:r w:rsidRPr="00953096">
              <w:rPr>
                <w:color w:val="000000"/>
                <w:sz w:val="20"/>
                <w:szCs w:val="20"/>
              </w:rPr>
              <w:br/>
              <w:t>HOME Rental Development</w:t>
            </w:r>
          </w:p>
          <w:p w14:paraId="3D85F9D5" w14:textId="77777777" w:rsidR="007C520D" w:rsidRPr="00804C16" w:rsidRDefault="007C520D" w:rsidP="007C520D">
            <w:pPr>
              <w:spacing w:after="0"/>
              <w:rPr>
                <w:color w:val="000000"/>
                <w:sz w:val="20"/>
                <w:szCs w:val="20"/>
              </w:rPr>
            </w:pPr>
            <w:r>
              <w:rPr>
                <w:color w:val="000000"/>
                <w:sz w:val="20"/>
                <w:szCs w:val="20"/>
              </w:rPr>
              <w:t>HTF</w:t>
            </w:r>
            <w:r w:rsidRPr="00953096">
              <w:rPr>
                <w:color w:val="000000"/>
                <w:sz w:val="20"/>
                <w:szCs w:val="20"/>
              </w:rPr>
              <w:br/>
              <w:t>Tenant Based Rental Assistance (TBRA)</w:t>
            </w:r>
          </w:p>
        </w:tc>
      </w:tr>
      <w:tr w:rsidR="007C520D" w:rsidRPr="00953096" w14:paraId="593C8346" w14:textId="77777777" w:rsidTr="007C520D">
        <w:tc>
          <w:tcPr>
            <w:tcW w:w="0" w:type="auto"/>
            <w:vMerge/>
            <w:shd w:val="clear" w:color="auto" w:fill="4F81BD" w:themeFill="accent1"/>
          </w:tcPr>
          <w:p w14:paraId="1EE11967" w14:textId="77777777" w:rsidR="007C520D" w:rsidRPr="00953096" w:rsidRDefault="007C520D" w:rsidP="007C520D">
            <w:pPr>
              <w:rPr>
                <w:sz w:val="20"/>
                <w:szCs w:val="20"/>
              </w:rPr>
            </w:pPr>
          </w:p>
        </w:tc>
        <w:tc>
          <w:tcPr>
            <w:tcW w:w="1860" w:type="dxa"/>
            <w:shd w:val="clear" w:color="auto" w:fill="DBE5F1" w:themeFill="accent1" w:themeFillTint="33"/>
          </w:tcPr>
          <w:p w14:paraId="3C98587D"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3B87859B" w14:textId="77777777" w:rsidR="007C520D" w:rsidRPr="00953096" w:rsidRDefault="007C520D" w:rsidP="007C520D">
            <w:pPr>
              <w:spacing w:after="0"/>
              <w:rPr>
                <w:sz w:val="20"/>
                <w:szCs w:val="20"/>
              </w:rPr>
            </w:pPr>
            <w:r w:rsidRPr="00953096">
              <w:rPr>
                <w:color w:val="000000"/>
                <w:sz w:val="20"/>
                <w:szCs w:val="20"/>
              </w:rPr>
              <w:t>Housing rehabilitation was consistently identified by communities as a key need within the respective regions of Kansas.  </w:t>
            </w:r>
          </w:p>
          <w:p w14:paraId="591D6F1D" w14:textId="256CCDD1" w:rsidR="007C520D" w:rsidRPr="00953096" w:rsidRDefault="007C520D" w:rsidP="007C520D">
            <w:pPr>
              <w:spacing w:after="0"/>
              <w:rPr>
                <w:sz w:val="20"/>
                <w:szCs w:val="20"/>
              </w:rPr>
            </w:pPr>
            <w:r w:rsidRPr="00953096">
              <w:rPr>
                <w:color w:val="000000"/>
                <w:sz w:val="20"/>
                <w:szCs w:val="20"/>
              </w:rPr>
              <w:t xml:space="preserve">CDBG: CDBG </w:t>
            </w:r>
            <w:r>
              <w:rPr>
                <w:color w:val="000000"/>
                <w:sz w:val="20"/>
                <w:szCs w:val="20"/>
              </w:rPr>
              <w:t>h</w:t>
            </w:r>
            <w:r w:rsidRPr="00953096">
              <w:rPr>
                <w:color w:val="000000"/>
                <w:sz w:val="20"/>
                <w:szCs w:val="20"/>
              </w:rPr>
              <w:t>ousing grants are awarded on a competitive basis annually. All CDBG housing rehabilitation grants include both owner-occupied and renter-occupied units. It may include demolition of substandard structures. The maximum grant is $400,000. Housing Assessment Tool (HAT) is required.</w:t>
            </w:r>
          </w:p>
        </w:tc>
      </w:tr>
      <w:tr w:rsidR="007C520D" w:rsidRPr="00953096" w14:paraId="2C4FD56F" w14:textId="77777777" w:rsidTr="007C520D">
        <w:tc>
          <w:tcPr>
            <w:tcW w:w="0" w:type="auto"/>
            <w:vMerge/>
            <w:shd w:val="clear" w:color="auto" w:fill="4F81BD" w:themeFill="accent1"/>
          </w:tcPr>
          <w:p w14:paraId="0185092C" w14:textId="77777777" w:rsidR="007C520D" w:rsidRPr="00953096" w:rsidRDefault="007C520D" w:rsidP="007C520D">
            <w:pPr>
              <w:rPr>
                <w:sz w:val="20"/>
                <w:szCs w:val="20"/>
              </w:rPr>
            </w:pPr>
          </w:p>
        </w:tc>
        <w:tc>
          <w:tcPr>
            <w:tcW w:w="1860" w:type="dxa"/>
            <w:tcBorders>
              <w:bottom w:val="single" w:sz="4" w:space="0" w:color="auto"/>
            </w:tcBorders>
            <w:shd w:val="clear" w:color="auto" w:fill="DBE5F1" w:themeFill="accent1" w:themeFillTint="33"/>
          </w:tcPr>
          <w:p w14:paraId="67BD904F"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Borders>
              <w:bottom w:val="single" w:sz="4" w:space="0" w:color="auto"/>
            </w:tcBorders>
          </w:tcPr>
          <w:p w14:paraId="6E5610CC" w14:textId="77777777" w:rsidR="007C520D" w:rsidRPr="00953096" w:rsidRDefault="007C520D" w:rsidP="007C520D">
            <w:pPr>
              <w:spacing w:after="0"/>
              <w:rPr>
                <w:sz w:val="20"/>
                <w:szCs w:val="20"/>
              </w:rPr>
            </w:pPr>
            <w:r w:rsidRPr="00953096">
              <w:rPr>
                <w:color w:val="000000"/>
                <w:sz w:val="20"/>
                <w:szCs w:val="20"/>
              </w:rPr>
              <w:t>A State Housing Strategy outlined a list of the customer priorities to address housing issues in Kansas:</w:t>
            </w:r>
          </w:p>
          <w:p w14:paraId="76CF4F34" w14:textId="77777777" w:rsidR="007C520D" w:rsidRPr="00953096" w:rsidRDefault="007C520D" w:rsidP="007C520D">
            <w:pPr>
              <w:spacing w:after="0"/>
              <w:rPr>
                <w:sz w:val="20"/>
                <w:szCs w:val="20"/>
              </w:rPr>
            </w:pPr>
            <w:r w:rsidRPr="00953096">
              <w:rPr>
                <w:color w:val="000000"/>
                <w:sz w:val="20"/>
                <w:szCs w:val="20"/>
              </w:rPr>
              <w:t>1) Owners</w:t>
            </w:r>
          </w:p>
          <w:p w14:paraId="0A1E69B7" w14:textId="77777777" w:rsidR="007C520D" w:rsidRPr="00953096" w:rsidRDefault="007C520D" w:rsidP="007C520D">
            <w:pPr>
              <w:spacing w:after="0"/>
              <w:rPr>
                <w:sz w:val="20"/>
                <w:szCs w:val="20"/>
              </w:rPr>
            </w:pPr>
            <w:r w:rsidRPr="00953096">
              <w:rPr>
                <w:color w:val="000000"/>
                <w:sz w:val="20"/>
                <w:szCs w:val="20"/>
              </w:rPr>
              <w:t>2) Renters</w:t>
            </w:r>
          </w:p>
          <w:p w14:paraId="4BCA53A4" w14:textId="77777777" w:rsidR="007C520D" w:rsidRPr="00953096" w:rsidRDefault="007C520D" w:rsidP="007C520D">
            <w:pPr>
              <w:spacing w:after="0"/>
              <w:rPr>
                <w:sz w:val="20"/>
                <w:szCs w:val="20"/>
              </w:rPr>
            </w:pPr>
            <w:r w:rsidRPr="00953096">
              <w:rPr>
                <w:color w:val="000000"/>
                <w:sz w:val="20"/>
                <w:szCs w:val="20"/>
              </w:rPr>
              <w:t>3) Vulnerable populations</w:t>
            </w:r>
            <w:r>
              <w:rPr>
                <w:color w:val="000000"/>
                <w:sz w:val="20"/>
                <w:szCs w:val="20"/>
              </w:rPr>
              <w:t xml:space="preserve"> as described in 92.253(d)(3)</w:t>
            </w:r>
          </w:p>
          <w:p w14:paraId="2BF7A354" w14:textId="77777777" w:rsidR="007C520D" w:rsidRPr="00953096" w:rsidRDefault="007C520D" w:rsidP="007C520D">
            <w:pPr>
              <w:spacing w:after="0"/>
              <w:rPr>
                <w:sz w:val="20"/>
                <w:szCs w:val="20"/>
              </w:rPr>
            </w:pPr>
            <w:r w:rsidRPr="00953096">
              <w:rPr>
                <w:color w:val="000000"/>
                <w:sz w:val="20"/>
                <w:szCs w:val="20"/>
              </w:rPr>
              <w:t>4) Homeless persons</w:t>
            </w:r>
          </w:p>
          <w:p w14:paraId="5641A4CE" w14:textId="77777777" w:rsidR="007C520D" w:rsidRPr="00953096" w:rsidRDefault="007C520D" w:rsidP="007C520D">
            <w:pPr>
              <w:spacing w:after="0"/>
              <w:rPr>
                <w:sz w:val="20"/>
                <w:szCs w:val="20"/>
              </w:rPr>
            </w:pPr>
            <w:r w:rsidRPr="00953096">
              <w:rPr>
                <w:color w:val="000000"/>
                <w:sz w:val="20"/>
                <w:szCs w:val="20"/>
              </w:rPr>
              <w:t>The Strategy stated that Kansas views affordable single</w:t>
            </w:r>
            <w:r>
              <w:rPr>
                <w:color w:val="000000"/>
                <w:sz w:val="20"/>
                <w:szCs w:val="20"/>
              </w:rPr>
              <w:t>-</w:t>
            </w:r>
            <w:r w:rsidRPr="00953096">
              <w:rPr>
                <w:color w:val="000000"/>
                <w:sz w:val="20"/>
                <w:szCs w:val="20"/>
              </w:rPr>
              <w:t>family housing as a priority activity</w:t>
            </w:r>
            <w:r>
              <w:rPr>
                <w:color w:val="000000"/>
                <w:sz w:val="20"/>
                <w:szCs w:val="20"/>
              </w:rPr>
              <w:t xml:space="preserve">/goal. </w:t>
            </w:r>
            <w:r w:rsidRPr="00953096">
              <w:rPr>
                <w:color w:val="000000"/>
                <w:sz w:val="20"/>
                <w:szCs w:val="20"/>
              </w:rPr>
              <w:t>The following are the priorities: First Time Homebuyers, Existing Homeowners, and Renters (unit shortage).   </w:t>
            </w:r>
          </w:p>
          <w:p w14:paraId="2F5C6421" w14:textId="77777777" w:rsidR="007C520D" w:rsidRPr="00953096" w:rsidRDefault="007C520D" w:rsidP="007C520D">
            <w:pPr>
              <w:spacing w:after="0"/>
              <w:rPr>
                <w:sz w:val="20"/>
                <w:szCs w:val="20"/>
              </w:rPr>
            </w:pPr>
            <w:r w:rsidRPr="00953096">
              <w:rPr>
                <w:color w:val="000000"/>
                <w:sz w:val="20"/>
                <w:szCs w:val="20"/>
              </w:rPr>
              <w:t>The following are the housing programs under both the CDBG and HOME programs:</w:t>
            </w:r>
          </w:p>
          <w:p w14:paraId="067A120B" w14:textId="77777777" w:rsidR="007C520D" w:rsidRPr="00953096" w:rsidRDefault="007C520D" w:rsidP="007C520D">
            <w:pPr>
              <w:spacing w:after="0"/>
              <w:rPr>
                <w:sz w:val="20"/>
                <w:szCs w:val="20"/>
              </w:rPr>
            </w:pPr>
            <w:r w:rsidRPr="00953096">
              <w:rPr>
                <w:color w:val="000000"/>
                <w:sz w:val="20"/>
                <w:szCs w:val="20"/>
              </w:rPr>
              <w:t>CDBG: housing rehabilitation, both owner-occupied and renter-occupied.</w:t>
            </w:r>
          </w:p>
          <w:p w14:paraId="1412F17D" w14:textId="77777777" w:rsidR="007C520D" w:rsidRDefault="007C520D" w:rsidP="007C520D">
            <w:pPr>
              <w:spacing w:after="0"/>
              <w:rPr>
                <w:color w:val="000000"/>
                <w:sz w:val="20"/>
                <w:szCs w:val="20"/>
              </w:rPr>
            </w:pPr>
            <w:r w:rsidRPr="00953096">
              <w:rPr>
                <w:color w:val="000000"/>
                <w:sz w:val="20"/>
                <w:szCs w:val="20"/>
              </w:rPr>
              <w:t xml:space="preserve">HOME: First Time Homebuyer Program, </w:t>
            </w:r>
            <w:r>
              <w:rPr>
                <w:color w:val="000000"/>
                <w:sz w:val="20"/>
                <w:szCs w:val="20"/>
              </w:rPr>
              <w:t>R</w:t>
            </w:r>
            <w:r w:rsidRPr="00953096">
              <w:rPr>
                <w:color w:val="000000"/>
                <w:sz w:val="20"/>
                <w:szCs w:val="20"/>
              </w:rPr>
              <w:t xml:space="preserve">ental </w:t>
            </w:r>
            <w:r>
              <w:rPr>
                <w:color w:val="000000"/>
                <w:sz w:val="20"/>
                <w:szCs w:val="20"/>
              </w:rPr>
              <w:t>D</w:t>
            </w:r>
            <w:r w:rsidRPr="00953096">
              <w:rPr>
                <w:color w:val="000000"/>
                <w:sz w:val="20"/>
                <w:szCs w:val="20"/>
              </w:rPr>
              <w:t>evelopment, Tenant Based Rental Assistance (TBRA)</w:t>
            </w:r>
          </w:p>
          <w:p w14:paraId="35C6F272" w14:textId="77777777" w:rsidR="007C520D" w:rsidRPr="00953096" w:rsidRDefault="007C520D" w:rsidP="007C520D">
            <w:pPr>
              <w:spacing w:after="0"/>
              <w:rPr>
                <w:sz w:val="20"/>
                <w:szCs w:val="20"/>
              </w:rPr>
            </w:pPr>
            <w:r>
              <w:rPr>
                <w:color w:val="000000"/>
                <w:sz w:val="20"/>
                <w:szCs w:val="20"/>
              </w:rPr>
              <w:t>HTF &amp; HOME: These programs address affordable housing with a focus on multi-family housing developments</w:t>
            </w:r>
          </w:p>
        </w:tc>
      </w:tr>
      <w:tr w:rsidR="007C520D" w:rsidRPr="00953096" w14:paraId="7C82EC04" w14:textId="77777777" w:rsidTr="007C520D">
        <w:tc>
          <w:tcPr>
            <w:tcW w:w="0" w:type="auto"/>
            <w:vMerge w:val="restart"/>
            <w:shd w:val="clear" w:color="auto" w:fill="4F81BD" w:themeFill="accent1"/>
          </w:tcPr>
          <w:p w14:paraId="0DBBCAE2" w14:textId="77777777" w:rsidR="007C520D" w:rsidRPr="00F41392" w:rsidRDefault="007C520D" w:rsidP="007C520D">
            <w:pPr>
              <w:rPr>
                <w:color w:val="FFFFFF" w:themeColor="background1"/>
                <w:sz w:val="20"/>
                <w:szCs w:val="20"/>
              </w:rPr>
            </w:pPr>
            <w:r w:rsidRPr="00F41392">
              <w:rPr>
                <w:b/>
                <w:color w:val="FFFFFF" w:themeColor="background1"/>
                <w:sz w:val="20"/>
                <w:szCs w:val="20"/>
              </w:rPr>
              <w:t>3</w:t>
            </w:r>
          </w:p>
        </w:tc>
        <w:tc>
          <w:tcPr>
            <w:tcW w:w="1860" w:type="dxa"/>
            <w:tcBorders>
              <w:top w:val="single" w:sz="4" w:space="0" w:color="auto"/>
            </w:tcBorders>
            <w:shd w:val="clear" w:color="auto" w:fill="DBE5F1" w:themeFill="accent1" w:themeFillTint="33"/>
          </w:tcPr>
          <w:p w14:paraId="7863057B" w14:textId="77777777" w:rsidR="007C520D" w:rsidRPr="00F41392" w:rsidRDefault="007C520D" w:rsidP="007C520D">
            <w:pPr>
              <w:keepNext/>
              <w:spacing w:after="0"/>
              <w:rPr>
                <w:sz w:val="20"/>
                <w:szCs w:val="20"/>
              </w:rPr>
            </w:pPr>
            <w:r w:rsidRPr="00F41392">
              <w:rPr>
                <w:sz w:val="20"/>
                <w:szCs w:val="20"/>
              </w:rPr>
              <w:t>Priority Need Name</w:t>
            </w:r>
          </w:p>
        </w:tc>
        <w:tc>
          <w:tcPr>
            <w:tcW w:w="7398" w:type="dxa"/>
            <w:tcBorders>
              <w:top w:val="single" w:sz="4" w:space="0" w:color="auto"/>
            </w:tcBorders>
          </w:tcPr>
          <w:p w14:paraId="09D64788" w14:textId="77777777" w:rsidR="007C520D" w:rsidRPr="00953096" w:rsidRDefault="007C520D" w:rsidP="007C520D">
            <w:pPr>
              <w:spacing w:after="0"/>
              <w:rPr>
                <w:sz w:val="20"/>
                <w:szCs w:val="20"/>
              </w:rPr>
            </w:pPr>
            <w:r w:rsidRPr="00953096">
              <w:rPr>
                <w:color w:val="000000"/>
                <w:sz w:val="20"/>
                <w:szCs w:val="20"/>
              </w:rPr>
              <w:t>Economic Development</w:t>
            </w:r>
          </w:p>
        </w:tc>
      </w:tr>
      <w:tr w:rsidR="007C520D" w:rsidRPr="00953096" w14:paraId="3E494E22" w14:textId="77777777" w:rsidTr="007C520D">
        <w:tc>
          <w:tcPr>
            <w:tcW w:w="0" w:type="auto"/>
            <w:vMerge/>
            <w:shd w:val="clear" w:color="auto" w:fill="4F81BD" w:themeFill="accent1"/>
          </w:tcPr>
          <w:p w14:paraId="45A55DD3" w14:textId="77777777" w:rsidR="007C520D" w:rsidRPr="00953096" w:rsidRDefault="007C520D" w:rsidP="007C520D">
            <w:pPr>
              <w:rPr>
                <w:sz w:val="20"/>
                <w:szCs w:val="20"/>
              </w:rPr>
            </w:pPr>
          </w:p>
        </w:tc>
        <w:tc>
          <w:tcPr>
            <w:tcW w:w="1860" w:type="dxa"/>
            <w:shd w:val="clear" w:color="auto" w:fill="DBE5F1" w:themeFill="accent1" w:themeFillTint="33"/>
          </w:tcPr>
          <w:p w14:paraId="740D319B"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3934EBDD"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54DD5B8B" w14:textId="77777777" w:rsidTr="007C520D">
        <w:tc>
          <w:tcPr>
            <w:tcW w:w="0" w:type="auto"/>
            <w:vMerge/>
            <w:shd w:val="clear" w:color="auto" w:fill="4F81BD" w:themeFill="accent1"/>
          </w:tcPr>
          <w:p w14:paraId="1D4747D2" w14:textId="77777777" w:rsidR="007C520D" w:rsidRPr="00953096" w:rsidRDefault="007C520D" w:rsidP="007C520D">
            <w:pPr>
              <w:rPr>
                <w:sz w:val="20"/>
                <w:szCs w:val="20"/>
              </w:rPr>
            </w:pPr>
          </w:p>
        </w:tc>
        <w:tc>
          <w:tcPr>
            <w:tcW w:w="1860" w:type="dxa"/>
            <w:shd w:val="clear" w:color="auto" w:fill="DBE5F1" w:themeFill="accent1" w:themeFillTint="33"/>
          </w:tcPr>
          <w:p w14:paraId="529AF21E"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1D4756E5" w14:textId="77777777" w:rsidR="007C520D" w:rsidRPr="00953096" w:rsidRDefault="007C520D" w:rsidP="007C520D">
            <w:pPr>
              <w:spacing w:after="0"/>
              <w:rPr>
                <w:sz w:val="20"/>
                <w:szCs w:val="20"/>
              </w:rPr>
            </w:pPr>
            <w:r w:rsidRPr="00953096">
              <w:rPr>
                <w:color w:val="000000"/>
                <w:sz w:val="20"/>
                <w:szCs w:val="20"/>
              </w:rPr>
              <w:t>Low</w:t>
            </w:r>
            <w:r w:rsidRPr="00953096">
              <w:rPr>
                <w:color w:val="000000"/>
                <w:sz w:val="20"/>
                <w:szCs w:val="20"/>
              </w:rPr>
              <w:br/>
              <w:t>Moderate</w:t>
            </w:r>
          </w:p>
        </w:tc>
      </w:tr>
      <w:tr w:rsidR="007C520D" w:rsidRPr="00953096" w14:paraId="3A41D7CF" w14:textId="77777777" w:rsidTr="007C520D">
        <w:tc>
          <w:tcPr>
            <w:tcW w:w="0" w:type="auto"/>
            <w:vMerge/>
            <w:shd w:val="clear" w:color="auto" w:fill="4F81BD" w:themeFill="accent1"/>
          </w:tcPr>
          <w:p w14:paraId="4B0DC0DB" w14:textId="77777777" w:rsidR="007C520D" w:rsidRPr="00953096" w:rsidRDefault="007C520D" w:rsidP="007C520D">
            <w:pPr>
              <w:rPr>
                <w:sz w:val="20"/>
                <w:szCs w:val="20"/>
              </w:rPr>
            </w:pPr>
          </w:p>
        </w:tc>
        <w:tc>
          <w:tcPr>
            <w:tcW w:w="1860" w:type="dxa"/>
            <w:shd w:val="clear" w:color="auto" w:fill="DBE5F1" w:themeFill="accent1" w:themeFillTint="33"/>
          </w:tcPr>
          <w:p w14:paraId="69AC77D5"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187E2443"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785EFED8" w14:textId="77777777" w:rsidTr="007C520D">
        <w:tc>
          <w:tcPr>
            <w:tcW w:w="0" w:type="auto"/>
            <w:vMerge/>
            <w:shd w:val="clear" w:color="auto" w:fill="4F81BD" w:themeFill="accent1"/>
          </w:tcPr>
          <w:p w14:paraId="0B010641" w14:textId="77777777" w:rsidR="007C520D" w:rsidRPr="00953096" w:rsidRDefault="007C520D" w:rsidP="007C520D">
            <w:pPr>
              <w:rPr>
                <w:sz w:val="20"/>
                <w:szCs w:val="20"/>
              </w:rPr>
            </w:pPr>
          </w:p>
        </w:tc>
        <w:tc>
          <w:tcPr>
            <w:tcW w:w="1860" w:type="dxa"/>
            <w:shd w:val="clear" w:color="auto" w:fill="DBE5F1" w:themeFill="accent1" w:themeFillTint="33"/>
          </w:tcPr>
          <w:p w14:paraId="4159AE3A"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287DACE8" w14:textId="77777777" w:rsidR="007C520D" w:rsidRPr="00953096" w:rsidRDefault="007C520D" w:rsidP="007C520D">
            <w:pPr>
              <w:spacing w:after="0"/>
              <w:rPr>
                <w:sz w:val="20"/>
                <w:szCs w:val="20"/>
              </w:rPr>
            </w:pPr>
            <w:r w:rsidRPr="00953096">
              <w:rPr>
                <w:color w:val="000000"/>
                <w:sz w:val="20"/>
                <w:szCs w:val="20"/>
              </w:rPr>
              <w:t>Economic Development</w:t>
            </w:r>
            <w:r w:rsidRPr="00953096">
              <w:rPr>
                <w:color w:val="000000"/>
                <w:sz w:val="20"/>
                <w:szCs w:val="20"/>
              </w:rPr>
              <w:br/>
              <w:t>Urgent Need</w:t>
            </w:r>
            <w:r w:rsidRPr="00953096">
              <w:rPr>
                <w:color w:val="000000"/>
                <w:sz w:val="20"/>
                <w:szCs w:val="20"/>
              </w:rPr>
              <w:br/>
              <w:t>State Administration and Technical Assistance</w:t>
            </w:r>
          </w:p>
        </w:tc>
      </w:tr>
      <w:tr w:rsidR="007C520D" w:rsidRPr="00953096" w14:paraId="077D8BFF" w14:textId="77777777" w:rsidTr="007C520D">
        <w:tc>
          <w:tcPr>
            <w:tcW w:w="0" w:type="auto"/>
            <w:vMerge/>
            <w:shd w:val="clear" w:color="auto" w:fill="4F81BD" w:themeFill="accent1"/>
          </w:tcPr>
          <w:p w14:paraId="6F639801" w14:textId="77777777" w:rsidR="007C520D" w:rsidRPr="00953096" w:rsidRDefault="007C520D" w:rsidP="007C520D">
            <w:pPr>
              <w:rPr>
                <w:sz w:val="20"/>
                <w:szCs w:val="20"/>
              </w:rPr>
            </w:pPr>
          </w:p>
        </w:tc>
        <w:tc>
          <w:tcPr>
            <w:tcW w:w="1860" w:type="dxa"/>
            <w:shd w:val="clear" w:color="auto" w:fill="DBE5F1" w:themeFill="accent1" w:themeFillTint="33"/>
          </w:tcPr>
          <w:p w14:paraId="5ACB6229"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4781AC37" w14:textId="77777777" w:rsidR="007C520D" w:rsidRDefault="007C520D" w:rsidP="007C520D">
            <w:pPr>
              <w:spacing w:after="0" w:line="240" w:lineRule="auto"/>
              <w:rPr>
                <w:sz w:val="20"/>
                <w:szCs w:val="20"/>
              </w:rPr>
            </w:pPr>
            <w:r>
              <w:rPr>
                <w:sz w:val="20"/>
                <w:szCs w:val="20"/>
              </w:rPr>
              <w:t xml:space="preserve">Economic Development funds may be used by a local unit of government to provide infrastructure or business financing assistance for a new business locating in or an existing business expanding in, a community. The local government may choose to offer assistance to an existing local firm by attempting to remain in business. Technical assistance is available from the State during the preparation of the application to ensure that the application will meet threshold requirements. </w:t>
            </w:r>
          </w:p>
          <w:p w14:paraId="54B89458" w14:textId="77777777" w:rsidR="007C520D" w:rsidRPr="00C230E2" w:rsidRDefault="007C520D" w:rsidP="007C520D">
            <w:pPr>
              <w:spacing w:before="100" w:beforeAutospacing="1" w:after="100" w:afterAutospacing="1" w:line="240" w:lineRule="auto"/>
              <w:rPr>
                <w:rFonts w:asciiTheme="minorHAnsi" w:eastAsia="Times New Roman" w:hAnsiTheme="minorHAnsi" w:cstheme="minorHAnsi"/>
                <w:color w:val="000000"/>
                <w:sz w:val="20"/>
                <w:szCs w:val="20"/>
              </w:rPr>
            </w:pPr>
            <w:r w:rsidRPr="00C230E2">
              <w:rPr>
                <w:rFonts w:asciiTheme="minorHAnsi" w:eastAsia="Times New Roman" w:hAnsiTheme="minorHAnsi" w:cstheme="minorHAnsi"/>
                <w:color w:val="000000"/>
                <w:sz w:val="20"/>
                <w:szCs w:val="20"/>
              </w:rPr>
              <w:t>Funds are available through an ‘open window process” starting on January 1 and closing on December 10. The maximum amount that can be applied for is $750,000, and the minimum amount is $100,000. Projects must meet the public benefit test of at least 1 full-time job per $35,000 of assistance. All projects must meet the “low-and-moderate income” national objective.</w:t>
            </w:r>
          </w:p>
          <w:p w14:paraId="481FD00E" w14:textId="2F7ADA9A" w:rsidR="007C520D" w:rsidRPr="0080441E" w:rsidRDefault="007C520D" w:rsidP="007C520D">
            <w:pPr>
              <w:spacing w:after="0" w:line="240" w:lineRule="auto"/>
              <w:rPr>
                <w:rFonts w:asciiTheme="minorHAnsi" w:eastAsia="Times New Roman" w:hAnsiTheme="minorHAnsi" w:cstheme="minorHAnsi"/>
                <w:color w:val="000000"/>
                <w:sz w:val="20"/>
                <w:szCs w:val="20"/>
              </w:rPr>
            </w:pPr>
          </w:p>
        </w:tc>
      </w:tr>
      <w:tr w:rsidR="007C520D" w:rsidRPr="00953096" w14:paraId="6BA51893" w14:textId="77777777" w:rsidTr="007C520D">
        <w:tc>
          <w:tcPr>
            <w:tcW w:w="0" w:type="auto"/>
            <w:vMerge/>
            <w:shd w:val="clear" w:color="auto" w:fill="4F81BD" w:themeFill="accent1"/>
          </w:tcPr>
          <w:p w14:paraId="7670601E" w14:textId="77777777" w:rsidR="007C520D" w:rsidRPr="00953096" w:rsidRDefault="007C520D" w:rsidP="007C520D">
            <w:pPr>
              <w:rPr>
                <w:sz w:val="20"/>
                <w:szCs w:val="20"/>
              </w:rPr>
            </w:pPr>
          </w:p>
        </w:tc>
        <w:tc>
          <w:tcPr>
            <w:tcW w:w="1860" w:type="dxa"/>
            <w:tcBorders>
              <w:bottom w:val="single" w:sz="4" w:space="0" w:color="auto"/>
            </w:tcBorders>
            <w:shd w:val="clear" w:color="auto" w:fill="DBE5F1" w:themeFill="accent1" w:themeFillTint="33"/>
          </w:tcPr>
          <w:p w14:paraId="50245EBA"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Borders>
              <w:bottom w:val="single" w:sz="4" w:space="0" w:color="auto"/>
            </w:tcBorders>
          </w:tcPr>
          <w:p w14:paraId="1E52DAEB" w14:textId="77777777" w:rsidR="007C520D" w:rsidRPr="00953096" w:rsidRDefault="007C520D" w:rsidP="007C520D">
            <w:pPr>
              <w:spacing w:after="0"/>
              <w:rPr>
                <w:sz w:val="20"/>
                <w:szCs w:val="20"/>
              </w:rPr>
            </w:pPr>
            <w:r w:rsidRPr="00953096">
              <w:rPr>
                <w:color w:val="000000"/>
                <w:sz w:val="20"/>
                <w:szCs w:val="20"/>
              </w:rPr>
              <w:t>Economic development and job creation was identified as a key part of the identified goals and objectives for Kansas.  </w:t>
            </w:r>
          </w:p>
        </w:tc>
      </w:tr>
      <w:tr w:rsidR="007C520D" w:rsidRPr="00953096" w14:paraId="44D2A0B7" w14:textId="77777777" w:rsidTr="007C520D">
        <w:tc>
          <w:tcPr>
            <w:tcW w:w="0" w:type="auto"/>
            <w:vMerge w:val="restart"/>
            <w:shd w:val="clear" w:color="auto" w:fill="4F81BD" w:themeFill="accent1"/>
          </w:tcPr>
          <w:p w14:paraId="37ACA9E0" w14:textId="77777777" w:rsidR="007C520D" w:rsidRPr="00F41392" w:rsidRDefault="007C520D" w:rsidP="007C520D">
            <w:pPr>
              <w:rPr>
                <w:color w:val="FFFFFF" w:themeColor="background1"/>
                <w:sz w:val="20"/>
                <w:szCs w:val="20"/>
              </w:rPr>
            </w:pPr>
            <w:r w:rsidRPr="00F41392">
              <w:rPr>
                <w:b/>
                <w:color w:val="FFFFFF" w:themeColor="background1"/>
                <w:sz w:val="20"/>
                <w:szCs w:val="20"/>
              </w:rPr>
              <w:t>4</w:t>
            </w:r>
          </w:p>
        </w:tc>
        <w:tc>
          <w:tcPr>
            <w:tcW w:w="1860" w:type="dxa"/>
            <w:tcBorders>
              <w:top w:val="single" w:sz="4" w:space="0" w:color="auto"/>
            </w:tcBorders>
            <w:shd w:val="clear" w:color="auto" w:fill="DBE5F1" w:themeFill="accent1" w:themeFillTint="33"/>
          </w:tcPr>
          <w:p w14:paraId="75FDD48F" w14:textId="77777777" w:rsidR="007C520D" w:rsidRPr="00F41392" w:rsidRDefault="007C520D" w:rsidP="007C520D">
            <w:pPr>
              <w:keepNext/>
              <w:spacing w:after="0"/>
              <w:rPr>
                <w:sz w:val="20"/>
                <w:szCs w:val="20"/>
              </w:rPr>
            </w:pPr>
            <w:r w:rsidRPr="00F41392">
              <w:rPr>
                <w:sz w:val="20"/>
                <w:szCs w:val="20"/>
              </w:rPr>
              <w:t>Priority Need Name</w:t>
            </w:r>
          </w:p>
        </w:tc>
        <w:tc>
          <w:tcPr>
            <w:tcW w:w="7398" w:type="dxa"/>
            <w:tcBorders>
              <w:top w:val="single" w:sz="4" w:space="0" w:color="auto"/>
            </w:tcBorders>
          </w:tcPr>
          <w:p w14:paraId="25D05827" w14:textId="77777777" w:rsidR="007C520D" w:rsidRPr="00953096" w:rsidRDefault="007C520D" w:rsidP="007C520D">
            <w:pPr>
              <w:spacing w:after="0"/>
              <w:rPr>
                <w:sz w:val="20"/>
                <w:szCs w:val="20"/>
              </w:rPr>
            </w:pPr>
            <w:r w:rsidRPr="00953096">
              <w:rPr>
                <w:color w:val="000000"/>
                <w:sz w:val="20"/>
                <w:szCs w:val="20"/>
              </w:rPr>
              <w:t>Homeless Prevention and Housing</w:t>
            </w:r>
          </w:p>
        </w:tc>
      </w:tr>
      <w:tr w:rsidR="007C520D" w:rsidRPr="00953096" w14:paraId="4E0F9693" w14:textId="77777777" w:rsidTr="007C520D">
        <w:tc>
          <w:tcPr>
            <w:tcW w:w="0" w:type="auto"/>
            <w:vMerge/>
            <w:shd w:val="clear" w:color="auto" w:fill="4F81BD" w:themeFill="accent1"/>
          </w:tcPr>
          <w:p w14:paraId="5F6C706F" w14:textId="77777777" w:rsidR="007C520D" w:rsidRPr="00953096" w:rsidRDefault="007C520D" w:rsidP="007C520D">
            <w:pPr>
              <w:rPr>
                <w:sz w:val="20"/>
                <w:szCs w:val="20"/>
              </w:rPr>
            </w:pPr>
          </w:p>
        </w:tc>
        <w:tc>
          <w:tcPr>
            <w:tcW w:w="1860" w:type="dxa"/>
            <w:shd w:val="clear" w:color="auto" w:fill="DBE5F1" w:themeFill="accent1" w:themeFillTint="33"/>
          </w:tcPr>
          <w:p w14:paraId="5E223800"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61CB447F"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01AC10C1" w14:textId="77777777" w:rsidTr="007C520D">
        <w:tc>
          <w:tcPr>
            <w:tcW w:w="0" w:type="auto"/>
            <w:vMerge/>
            <w:shd w:val="clear" w:color="auto" w:fill="4F81BD" w:themeFill="accent1"/>
          </w:tcPr>
          <w:p w14:paraId="47106875" w14:textId="77777777" w:rsidR="007C520D" w:rsidRPr="00953096" w:rsidRDefault="007C520D" w:rsidP="007C520D">
            <w:pPr>
              <w:rPr>
                <w:sz w:val="20"/>
                <w:szCs w:val="20"/>
              </w:rPr>
            </w:pPr>
          </w:p>
        </w:tc>
        <w:tc>
          <w:tcPr>
            <w:tcW w:w="1860" w:type="dxa"/>
            <w:shd w:val="clear" w:color="auto" w:fill="DBE5F1" w:themeFill="accent1" w:themeFillTint="33"/>
          </w:tcPr>
          <w:p w14:paraId="5B842F49"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7916FB1A" w14:textId="77777777" w:rsidR="007C520D" w:rsidRPr="00953096" w:rsidRDefault="007C520D" w:rsidP="007C520D">
            <w:pPr>
              <w:spacing w:after="0"/>
              <w:rPr>
                <w:sz w:val="20"/>
                <w:szCs w:val="20"/>
              </w:rPr>
            </w:pPr>
            <w:r w:rsidRPr="00953096">
              <w:rPr>
                <w:color w:val="000000"/>
                <w:sz w:val="20"/>
                <w:szCs w:val="20"/>
              </w:rPr>
              <w:t>Extremely Low</w:t>
            </w:r>
            <w:r w:rsidRPr="00953096">
              <w:rPr>
                <w:color w:val="000000"/>
                <w:sz w:val="20"/>
                <w:szCs w:val="20"/>
              </w:rPr>
              <w:br/>
              <w:t>Low</w:t>
            </w:r>
            <w:r w:rsidRPr="00953096">
              <w:rPr>
                <w:color w:val="000000"/>
                <w:sz w:val="20"/>
                <w:szCs w:val="20"/>
              </w:rPr>
              <w:br/>
              <w:t>Moderate</w:t>
            </w:r>
            <w:r w:rsidRPr="00953096">
              <w:rPr>
                <w:color w:val="000000"/>
                <w:sz w:val="20"/>
                <w:szCs w:val="20"/>
              </w:rPr>
              <w:br/>
              <w:t>Middle</w:t>
            </w:r>
            <w:r w:rsidRPr="00953096">
              <w:rPr>
                <w:color w:val="000000"/>
                <w:sz w:val="20"/>
                <w:szCs w:val="20"/>
              </w:rPr>
              <w:br/>
              <w:t>Large Families</w:t>
            </w:r>
            <w:r w:rsidRPr="00953096">
              <w:rPr>
                <w:color w:val="000000"/>
                <w:sz w:val="20"/>
                <w:szCs w:val="20"/>
              </w:rPr>
              <w:br/>
              <w:t>Families with Children</w:t>
            </w:r>
            <w:r w:rsidRPr="00953096">
              <w:rPr>
                <w:color w:val="000000"/>
                <w:sz w:val="20"/>
                <w:szCs w:val="20"/>
              </w:rPr>
              <w:br/>
              <w:t>Elderly</w:t>
            </w:r>
            <w:r w:rsidRPr="00953096">
              <w:rPr>
                <w:color w:val="000000"/>
                <w:sz w:val="20"/>
                <w:szCs w:val="20"/>
              </w:rPr>
              <w:br/>
              <w:t>Rural</w:t>
            </w:r>
            <w:r w:rsidRPr="00953096">
              <w:rPr>
                <w:color w:val="000000"/>
                <w:sz w:val="20"/>
                <w:szCs w:val="20"/>
              </w:rPr>
              <w:br/>
              <w:t>Chronic Homelessness</w:t>
            </w:r>
            <w:r w:rsidRPr="00953096">
              <w:rPr>
                <w:color w:val="000000"/>
                <w:sz w:val="20"/>
                <w:szCs w:val="20"/>
              </w:rPr>
              <w:br/>
              <w:t>Individuals</w:t>
            </w:r>
            <w:r w:rsidRPr="00953096">
              <w:rPr>
                <w:color w:val="000000"/>
                <w:sz w:val="20"/>
                <w:szCs w:val="20"/>
              </w:rPr>
              <w:br/>
              <w:t>Families with Children</w:t>
            </w:r>
            <w:r w:rsidRPr="00953096">
              <w:rPr>
                <w:color w:val="000000"/>
                <w:sz w:val="20"/>
                <w:szCs w:val="20"/>
              </w:rPr>
              <w:br/>
              <w:t>Mentally Ill</w:t>
            </w:r>
            <w:r w:rsidRPr="00953096">
              <w:rPr>
                <w:color w:val="000000"/>
                <w:sz w:val="20"/>
                <w:szCs w:val="20"/>
              </w:rPr>
              <w:br/>
              <w:t>Chronic Substance Abuse</w:t>
            </w:r>
            <w:r w:rsidRPr="00953096">
              <w:rPr>
                <w:color w:val="000000"/>
                <w:sz w:val="20"/>
                <w:szCs w:val="20"/>
              </w:rPr>
              <w:br/>
            </w:r>
            <w:r>
              <w:rPr>
                <w:color w:val="000000"/>
                <w:sz w:val="20"/>
                <w:szCs w:val="20"/>
              </w:rPr>
              <w:t>V</w:t>
            </w:r>
            <w:r w:rsidRPr="00953096">
              <w:rPr>
                <w:color w:val="000000"/>
                <w:sz w:val="20"/>
                <w:szCs w:val="20"/>
              </w:rPr>
              <w:t>eterans</w:t>
            </w:r>
            <w:r w:rsidRPr="00953096">
              <w:rPr>
                <w:color w:val="000000"/>
                <w:sz w:val="20"/>
                <w:szCs w:val="20"/>
              </w:rPr>
              <w:br/>
              <w:t>Persons with HIV/AIDS</w:t>
            </w:r>
            <w:r w:rsidRPr="00953096">
              <w:rPr>
                <w:color w:val="000000"/>
                <w:sz w:val="20"/>
                <w:szCs w:val="20"/>
              </w:rPr>
              <w:br/>
              <w:t>Victims of Domestic Violence</w:t>
            </w:r>
            <w:r w:rsidRPr="00953096">
              <w:rPr>
                <w:color w:val="000000"/>
                <w:sz w:val="20"/>
                <w:szCs w:val="20"/>
              </w:rPr>
              <w:br/>
              <w:t>Unaccompanied Youth</w:t>
            </w:r>
          </w:p>
        </w:tc>
      </w:tr>
      <w:tr w:rsidR="007C520D" w:rsidRPr="00953096" w14:paraId="5FF2FD88" w14:textId="77777777" w:rsidTr="007C520D">
        <w:tc>
          <w:tcPr>
            <w:tcW w:w="0" w:type="auto"/>
            <w:vMerge/>
            <w:shd w:val="clear" w:color="auto" w:fill="4F81BD" w:themeFill="accent1"/>
          </w:tcPr>
          <w:p w14:paraId="410B7CC7" w14:textId="77777777" w:rsidR="007C520D" w:rsidRPr="00953096" w:rsidRDefault="007C520D" w:rsidP="007C520D">
            <w:pPr>
              <w:rPr>
                <w:sz w:val="20"/>
                <w:szCs w:val="20"/>
              </w:rPr>
            </w:pPr>
          </w:p>
        </w:tc>
        <w:tc>
          <w:tcPr>
            <w:tcW w:w="1860" w:type="dxa"/>
            <w:shd w:val="clear" w:color="auto" w:fill="DBE5F1" w:themeFill="accent1" w:themeFillTint="33"/>
          </w:tcPr>
          <w:p w14:paraId="70BEAEC4"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5E438931"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1F390C8A" w14:textId="77777777" w:rsidTr="007C520D">
        <w:tc>
          <w:tcPr>
            <w:tcW w:w="0" w:type="auto"/>
            <w:vMerge/>
            <w:shd w:val="clear" w:color="auto" w:fill="4F81BD" w:themeFill="accent1"/>
          </w:tcPr>
          <w:p w14:paraId="07F5375B" w14:textId="77777777" w:rsidR="007C520D" w:rsidRPr="00953096" w:rsidRDefault="007C520D" w:rsidP="007C520D">
            <w:pPr>
              <w:rPr>
                <w:sz w:val="20"/>
                <w:szCs w:val="20"/>
              </w:rPr>
            </w:pPr>
          </w:p>
        </w:tc>
        <w:tc>
          <w:tcPr>
            <w:tcW w:w="1860" w:type="dxa"/>
            <w:shd w:val="clear" w:color="auto" w:fill="DBE5F1" w:themeFill="accent1" w:themeFillTint="33"/>
          </w:tcPr>
          <w:p w14:paraId="65595594"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2F34FF76" w14:textId="77777777" w:rsidR="007C520D" w:rsidRPr="00953096" w:rsidRDefault="007C520D" w:rsidP="007C520D">
            <w:pPr>
              <w:spacing w:after="0"/>
              <w:rPr>
                <w:sz w:val="20"/>
                <w:szCs w:val="20"/>
              </w:rPr>
            </w:pPr>
            <w:r w:rsidRPr="00953096">
              <w:rPr>
                <w:color w:val="000000"/>
                <w:sz w:val="20"/>
                <w:szCs w:val="20"/>
              </w:rPr>
              <w:t>Emergency S</w:t>
            </w:r>
            <w:r>
              <w:rPr>
                <w:color w:val="000000"/>
                <w:sz w:val="20"/>
                <w:szCs w:val="20"/>
              </w:rPr>
              <w:t>olutions</w:t>
            </w:r>
            <w:r w:rsidRPr="00953096">
              <w:rPr>
                <w:color w:val="000000"/>
                <w:sz w:val="20"/>
                <w:szCs w:val="20"/>
              </w:rPr>
              <w:t xml:space="preserve"> Grant (ESG) Program</w:t>
            </w:r>
          </w:p>
        </w:tc>
      </w:tr>
      <w:tr w:rsidR="007C520D" w:rsidRPr="00953096" w14:paraId="2258D6F8" w14:textId="77777777" w:rsidTr="007C520D">
        <w:tc>
          <w:tcPr>
            <w:tcW w:w="0" w:type="auto"/>
            <w:vMerge/>
            <w:shd w:val="clear" w:color="auto" w:fill="4F81BD" w:themeFill="accent1"/>
          </w:tcPr>
          <w:p w14:paraId="6AA2C639" w14:textId="77777777" w:rsidR="007C520D" w:rsidRPr="00953096" w:rsidRDefault="007C520D" w:rsidP="007C520D">
            <w:pPr>
              <w:rPr>
                <w:sz w:val="20"/>
                <w:szCs w:val="20"/>
              </w:rPr>
            </w:pPr>
          </w:p>
        </w:tc>
        <w:tc>
          <w:tcPr>
            <w:tcW w:w="1860" w:type="dxa"/>
            <w:shd w:val="clear" w:color="auto" w:fill="DBE5F1" w:themeFill="accent1" w:themeFillTint="33"/>
          </w:tcPr>
          <w:p w14:paraId="019B6C7A"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429D29C9" w14:textId="77777777" w:rsidR="007C520D" w:rsidRPr="00953096" w:rsidRDefault="007C520D" w:rsidP="007C520D">
            <w:pPr>
              <w:spacing w:after="0"/>
              <w:rPr>
                <w:sz w:val="20"/>
                <w:szCs w:val="20"/>
              </w:rPr>
            </w:pPr>
            <w:r w:rsidRPr="00953096">
              <w:rPr>
                <w:color w:val="000000"/>
                <w:sz w:val="20"/>
                <w:szCs w:val="20"/>
              </w:rPr>
              <w:t>The Kansas Balance of State (BoS) Continuum of Care (CoC) covers a diverse area with a r</w:t>
            </w:r>
            <w:r>
              <w:rPr>
                <w:color w:val="000000"/>
                <w:sz w:val="20"/>
                <w:szCs w:val="20"/>
              </w:rPr>
              <w:t>ange of homeless housing issues</w:t>
            </w:r>
            <w:r w:rsidRPr="00953096">
              <w:rPr>
                <w:color w:val="000000"/>
                <w:sz w:val="20"/>
                <w:szCs w:val="20"/>
              </w:rPr>
              <w:t xml:space="preserve"> from lack of affordable units to issues of housing quality.</w:t>
            </w:r>
          </w:p>
        </w:tc>
      </w:tr>
      <w:tr w:rsidR="007C520D" w:rsidRPr="00953096" w14:paraId="79F470E5" w14:textId="77777777" w:rsidTr="007C520D">
        <w:tc>
          <w:tcPr>
            <w:tcW w:w="0" w:type="auto"/>
            <w:vMerge/>
            <w:shd w:val="clear" w:color="auto" w:fill="4F81BD" w:themeFill="accent1"/>
          </w:tcPr>
          <w:p w14:paraId="453BA9F5" w14:textId="77777777" w:rsidR="007C520D" w:rsidRPr="00953096" w:rsidRDefault="007C520D" w:rsidP="007C520D">
            <w:pPr>
              <w:rPr>
                <w:sz w:val="20"/>
                <w:szCs w:val="20"/>
              </w:rPr>
            </w:pPr>
          </w:p>
        </w:tc>
        <w:tc>
          <w:tcPr>
            <w:tcW w:w="1860" w:type="dxa"/>
            <w:tcBorders>
              <w:bottom w:val="single" w:sz="4" w:space="0" w:color="auto"/>
            </w:tcBorders>
            <w:shd w:val="clear" w:color="auto" w:fill="DBE5F1" w:themeFill="accent1" w:themeFillTint="33"/>
          </w:tcPr>
          <w:p w14:paraId="1CF3E8E2"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Borders>
              <w:bottom w:val="single" w:sz="4" w:space="0" w:color="auto"/>
            </w:tcBorders>
          </w:tcPr>
          <w:p w14:paraId="5439E783" w14:textId="77777777" w:rsidR="007C520D" w:rsidRPr="00953096" w:rsidRDefault="007C520D" w:rsidP="007C520D">
            <w:pPr>
              <w:spacing w:after="0"/>
              <w:rPr>
                <w:sz w:val="20"/>
                <w:szCs w:val="20"/>
              </w:rPr>
            </w:pPr>
            <w:r w:rsidRPr="00953096">
              <w:rPr>
                <w:color w:val="000000"/>
                <w:sz w:val="20"/>
                <w:szCs w:val="20"/>
              </w:rPr>
              <w:t>Addressing homelessness in Kansas is a critical issue.</w:t>
            </w:r>
          </w:p>
          <w:p w14:paraId="4C737C62" w14:textId="77777777" w:rsidR="007C520D" w:rsidRPr="00953096" w:rsidRDefault="007C520D" w:rsidP="007C520D">
            <w:pPr>
              <w:spacing w:after="0"/>
              <w:rPr>
                <w:sz w:val="20"/>
                <w:szCs w:val="20"/>
              </w:rPr>
            </w:pPr>
            <w:r w:rsidRPr="00953096">
              <w:rPr>
                <w:color w:val="000000"/>
                <w:sz w:val="20"/>
                <w:szCs w:val="20"/>
              </w:rPr>
              <w:t>Kansas Housing Resources Corporation (KHRC) will use ESG funds for Street Outreach, Emergency Shelters, Homelessness Prevention, Rapid Re-Housing, HMIS, and administrative activities. These activities will be targeted to households</w:t>
            </w:r>
            <w:r>
              <w:rPr>
                <w:color w:val="000000"/>
                <w:sz w:val="20"/>
                <w:szCs w:val="20"/>
              </w:rPr>
              <w:t xml:space="preserve"> that are homeless or at imminent risk of homelessness</w:t>
            </w:r>
            <w:r w:rsidRPr="00953096">
              <w:rPr>
                <w:color w:val="000000"/>
                <w:sz w:val="20"/>
                <w:szCs w:val="20"/>
              </w:rPr>
              <w:t xml:space="preserve"> whose income is 0-30% of Area Median Family Income and to individuals and families that are in the follow</w:t>
            </w:r>
            <w:r>
              <w:rPr>
                <w:color w:val="000000"/>
                <w:sz w:val="20"/>
                <w:szCs w:val="20"/>
              </w:rPr>
              <w:t>ing at risk homeless categories:</w:t>
            </w:r>
            <w:r w:rsidRPr="00953096">
              <w:rPr>
                <w:color w:val="000000"/>
                <w:sz w:val="20"/>
                <w:szCs w:val="20"/>
              </w:rPr>
              <w:t xml:space="preserve"> Chronically homeless, HIV/AIDS, Elderly, Veterans, Mental Health, Youth, Domestic Violence Victims and Substance abuse.</w:t>
            </w:r>
          </w:p>
          <w:p w14:paraId="057795BF" w14:textId="77777777" w:rsidR="007C520D" w:rsidRPr="00953096" w:rsidRDefault="007C520D" w:rsidP="007C520D">
            <w:pPr>
              <w:spacing w:after="0"/>
              <w:rPr>
                <w:sz w:val="20"/>
                <w:szCs w:val="20"/>
              </w:rPr>
            </w:pPr>
            <w:r w:rsidRPr="00953096">
              <w:rPr>
                <w:color w:val="000000"/>
                <w:sz w:val="20"/>
                <w:szCs w:val="20"/>
              </w:rPr>
              <w:t> </w:t>
            </w:r>
          </w:p>
          <w:p w14:paraId="57B86134" w14:textId="77777777" w:rsidR="007C520D" w:rsidRPr="00953096" w:rsidRDefault="007C520D" w:rsidP="007C520D">
            <w:pPr>
              <w:spacing w:after="0"/>
              <w:rPr>
                <w:sz w:val="20"/>
                <w:szCs w:val="20"/>
              </w:rPr>
            </w:pPr>
            <w:r w:rsidRPr="00953096">
              <w:rPr>
                <w:color w:val="000000"/>
                <w:sz w:val="20"/>
                <w:szCs w:val="20"/>
              </w:rPr>
              <w:t>KHRC will emphasize objectives by prioritizing applicants whose projects propose to achieve the following outcomes: exiting to permanent housing destination, diverting shelter enrollments, receiving case management, maintaining permanent housing, persons with higher incomes at program exit, persons with more non-cash benefits at program exit, and increased employment rates upon service exits. Applications whose proposed projects meet these objectives will rank more competitively.</w:t>
            </w:r>
          </w:p>
          <w:p w14:paraId="5775F728" w14:textId="77777777" w:rsidR="007C520D" w:rsidRPr="00953096" w:rsidRDefault="007C520D" w:rsidP="007C520D">
            <w:pPr>
              <w:spacing w:after="0"/>
              <w:rPr>
                <w:sz w:val="20"/>
                <w:szCs w:val="20"/>
              </w:rPr>
            </w:pPr>
            <w:r w:rsidRPr="00953096">
              <w:rPr>
                <w:color w:val="000000"/>
                <w:sz w:val="20"/>
                <w:szCs w:val="20"/>
              </w:rPr>
              <w:t> </w:t>
            </w:r>
          </w:p>
          <w:p w14:paraId="7084861D" w14:textId="4DCA7F30" w:rsidR="00083C0D" w:rsidRPr="00953096" w:rsidRDefault="00083C0D" w:rsidP="00083C0D">
            <w:pPr>
              <w:spacing w:after="0"/>
              <w:rPr>
                <w:sz w:val="20"/>
                <w:szCs w:val="20"/>
              </w:rPr>
            </w:pPr>
            <w:r w:rsidRPr="00083C0D">
              <w:rPr>
                <w:color w:val="000000"/>
                <w:sz w:val="20"/>
                <w:szCs w:val="20"/>
              </w:rPr>
              <w:t>KHRC’s ESG Program</w:t>
            </w:r>
            <w:r>
              <w:rPr>
                <w:color w:val="000000"/>
                <w:sz w:val="20"/>
                <w:szCs w:val="20"/>
              </w:rPr>
              <w:t>s</w:t>
            </w:r>
            <w:r w:rsidRPr="00083C0D">
              <w:rPr>
                <w:color w:val="000000"/>
                <w:sz w:val="20"/>
                <w:szCs w:val="20"/>
              </w:rPr>
              <w:t xml:space="preserve"> collaborate, leverage</w:t>
            </w:r>
            <w:r>
              <w:rPr>
                <w:color w:val="000000"/>
                <w:sz w:val="20"/>
                <w:szCs w:val="20"/>
              </w:rPr>
              <w:t>,</w:t>
            </w:r>
            <w:r w:rsidRPr="00083C0D">
              <w:rPr>
                <w:color w:val="000000"/>
                <w:sz w:val="20"/>
                <w:szCs w:val="20"/>
              </w:rPr>
              <w:t xml:space="preserve"> and partner with other homeless assistance programs including, but not limited to</w:t>
            </w:r>
            <w:r>
              <w:rPr>
                <w:color w:val="000000"/>
                <w:sz w:val="20"/>
                <w:szCs w:val="20"/>
              </w:rPr>
              <w:t>:</w:t>
            </w:r>
            <w:r w:rsidRPr="00083C0D">
              <w:rPr>
                <w:color w:val="000000"/>
                <w:sz w:val="20"/>
                <w:szCs w:val="20"/>
              </w:rPr>
              <w:t xml:space="preserve"> CoC, PATH, SSVF, etc. Partnering with these programs will ensure that all consumers receive the services and support necessary </w:t>
            </w:r>
            <w:r>
              <w:rPr>
                <w:color w:val="000000"/>
                <w:sz w:val="20"/>
                <w:szCs w:val="20"/>
              </w:rPr>
              <w:t xml:space="preserve">to </w:t>
            </w:r>
            <w:r w:rsidRPr="00083C0D">
              <w:rPr>
                <w:color w:val="000000"/>
                <w:sz w:val="20"/>
                <w:szCs w:val="20"/>
              </w:rPr>
              <w:t xml:space="preserve">end </w:t>
            </w:r>
            <w:r>
              <w:rPr>
                <w:color w:val="000000"/>
                <w:sz w:val="20"/>
                <w:szCs w:val="20"/>
              </w:rPr>
              <w:t>their current homelessness experience and/or prevent the next one</w:t>
            </w:r>
            <w:r w:rsidRPr="00083C0D">
              <w:rPr>
                <w:color w:val="000000"/>
                <w:sz w:val="20"/>
                <w:szCs w:val="20"/>
              </w:rPr>
              <w:t>.</w:t>
            </w:r>
            <w:r>
              <w:rPr>
                <w:color w:val="000000"/>
                <w:sz w:val="20"/>
                <w:szCs w:val="20"/>
              </w:rPr>
              <w:t xml:space="preserve"> </w:t>
            </w:r>
          </w:p>
          <w:p w14:paraId="4E36BFBE" w14:textId="77777777" w:rsidR="00083C0D" w:rsidRDefault="00083C0D" w:rsidP="007C520D">
            <w:pPr>
              <w:spacing w:after="0"/>
              <w:rPr>
                <w:color w:val="000000"/>
                <w:sz w:val="20"/>
                <w:szCs w:val="20"/>
              </w:rPr>
            </w:pPr>
          </w:p>
          <w:p w14:paraId="6397AF9E" w14:textId="0D609B69" w:rsidR="007C520D" w:rsidRPr="00953096" w:rsidRDefault="007C520D" w:rsidP="007C520D">
            <w:pPr>
              <w:spacing w:after="0"/>
              <w:rPr>
                <w:sz w:val="20"/>
                <w:szCs w:val="20"/>
              </w:rPr>
            </w:pPr>
            <w:r w:rsidRPr="00953096">
              <w:rPr>
                <w:color w:val="000000"/>
                <w:sz w:val="20"/>
                <w:szCs w:val="20"/>
              </w:rPr>
              <w:t>Kansas is a state with many rural areas which have limited service providers addressing the needs of homeless persons and those at-risk of homelessness. To address this need, KHRC’s ESG scoring criteria will provide preference for applicants serving persons in rural counties.</w:t>
            </w:r>
          </w:p>
          <w:p w14:paraId="4D39246D" w14:textId="77777777" w:rsidR="007C520D" w:rsidRPr="00953096" w:rsidRDefault="007C520D" w:rsidP="007C520D">
            <w:pPr>
              <w:spacing w:after="0"/>
              <w:rPr>
                <w:sz w:val="20"/>
                <w:szCs w:val="20"/>
              </w:rPr>
            </w:pPr>
            <w:r w:rsidRPr="00953096">
              <w:rPr>
                <w:b/>
                <w:color w:val="000000"/>
                <w:sz w:val="20"/>
                <w:szCs w:val="20"/>
              </w:rPr>
              <w:t> </w:t>
            </w:r>
          </w:p>
          <w:p w14:paraId="2437563F" w14:textId="77777777" w:rsidR="007C520D" w:rsidRPr="00953096" w:rsidRDefault="007C520D" w:rsidP="007C520D">
            <w:pPr>
              <w:spacing w:after="0"/>
              <w:rPr>
                <w:sz w:val="20"/>
                <w:szCs w:val="20"/>
              </w:rPr>
            </w:pPr>
            <w:r w:rsidRPr="00953096">
              <w:rPr>
                <w:color w:val="000000"/>
                <w:sz w:val="20"/>
                <w:szCs w:val="20"/>
              </w:rPr>
              <w:t>The first priority of the KESG is to fund emergency solutions beds in an attempt to decrease the homeless street population.</w:t>
            </w:r>
          </w:p>
        </w:tc>
      </w:tr>
      <w:tr w:rsidR="007C520D" w:rsidRPr="00953096" w14:paraId="3C6F3D36" w14:textId="77777777" w:rsidTr="007C520D">
        <w:tc>
          <w:tcPr>
            <w:tcW w:w="0" w:type="auto"/>
            <w:vMerge w:val="restart"/>
            <w:shd w:val="clear" w:color="auto" w:fill="4F81BD" w:themeFill="accent1"/>
          </w:tcPr>
          <w:p w14:paraId="319C025E" w14:textId="77777777" w:rsidR="007C520D" w:rsidRPr="00F41392" w:rsidRDefault="007C520D" w:rsidP="007C520D">
            <w:pPr>
              <w:rPr>
                <w:color w:val="FFFFFF" w:themeColor="background1"/>
                <w:sz w:val="20"/>
                <w:szCs w:val="20"/>
              </w:rPr>
            </w:pPr>
            <w:r w:rsidRPr="00F41392">
              <w:rPr>
                <w:b/>
                <w:color w:val="FFFFFF" w:themeColor="background1"/>
                <w:sz w:val="20"/>
                <w:szCs w:val="20"/>
              </w:rPr>
              <w:t>5</w:t>
            </w:r>
          </w:p>
        </w:tc>
        <w:tc>
          <w:tcPr>
            <w:tcW w:w="1860" w:type="dxa"/>
            <w:tcBorders>
              <w:top w:val="single" w:sz="4" w:space="0" w:color="auto"/>
            </w:tcBorders>
            <w:shd w:val="clear" w:color="auto" w:fill="DBE5F1" w:themeFill="accent1" w:themeFillTint="33"/>
          </w:tcPr>
          <w:p w14:paraId="4913AFAF" w14:textId="77777777" w:rsidR="007C520D" w:rsidRPr="00F41392" w:rsidRDefault="007C520D" w:rsidP="007C520D">
            <w:pPr>
              <w:keepNext/>
              <w:spacing w:after="0"/>
              <w:rPr>
                <w:sz w:val="20"/>
                <w:szCs w:val="20"/>
              </w:rPr>
            </w:pPr>
            <w:r w:rsidRPr="00F41392">
              <w:rPr>
                <w:sz w:val="20"/>
                <w:szCs w:val="20"/>
              </w:rPr>
              <w:t>Priority Need Name</w:t>
            </w:r>
          </w:p>
        </w:tc>
        <w:tc>
          <w:tcPr>
            <w:tcW w:w="7398" w:type="dxa"/>
            <w:tcBorders>
              <w:top w:val="single" w:sz="4" w:space="0" w:color="auto"/>
            </w:tcBorders>
          </w:tcPr>
          <w:p w14:paraId="134796C2" w14:textId="77777777" w:rsidR="007C520D" w:rsidRPr="00953096" w:rsidRDefault="007C520D" w:rsidP="007C520D">
            <w:pPr>
              <w:spacing w:after="0"/>
              <w:rPr>
                <w:sz w:val="20"/>
                <w:szCs w:val="20"/>
              </w:rPr>
            </w:pPr>
            <w:r w:rsidRPr="00953096">
              <w:rPr>
                <w:color w:val="000000"/>
                <w:sz w:val="20"/>
                <w:szCs w:val="20"/>
              </w:rPr>
              <w:t>Community Facility Improvements</w:t>
            </w:r>
          </w:p>
        </w:tc>
      </w:tr>
      <w:tr w:rsidR="007C520D" w:rsidRPr="00953096" w14:paraId="3F763DB1" w14:textId="77777777" w:rsidTr="007C520D">
        <w:tc>
          <w:tcPr>
            <w:tcW w:w="0" w:type="auto"/>
            <w:vMerge/>
            <w:shd w:val="clear" w:color="auto" w:fill="4F81BD" w:themeFill="accent1"/>
          </w:tcPr>
          <w:p w14:paraId="128C04F4" w14:textId="77777777" w:rsidR="007C520D" w:rsidRPr="00953096" w:rsidRDefault="007C520D" w:rsidP="007C520D">
            <w:pPr>
              <w:rPr>
                <w:sz w:val="20"/>
                <w:szCs w:val="20"/>
              </w:rPr>
            </w:pPr>
          </w:p>
        </w:tc>
        <w:tc>
          <w:tcPr>
            <w:tcW w:w="1860" w:type="dxa"/>
            <w:shd w:val="clear" w:color="auto" w:fill="DBE5F1" w:themeFill="accent1" w:themeFillTint="33"/>
          </w:tcPr>
          <w:p w14:paraId="20A6D14B"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3AB7FD1E"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6C859738" w14:textId="77777777" w:rsidTr="007C520D">
        <w:tc>
          <w:tcPr>
            <w:tcW w:w="0" w:type="auto"/>
            <w:vMerge/>
            <w:shd w:val="clear" w:color="auto" w:fill="4F81BD" w:themeFill="accent1"/>
          </w:tcPr>
          <w:p w14:paraId="36298851" w14:textId="77777777" w:rsidR="007C520D" w:rsidRPr="00953096" w:rsidRDefault="007C520D" w:rsidP="007C520D">
            <w:pPr>
              <w:rPr>
                <w:sz w:val="20"/>
                <w:szCs w:val="20"/>
              </w:rPr>
            </w:pPr>
          </w:p>
        </w:tc>
        <w:tc>
          <w:tcPr>
            <w:tcW w:w="1860" w:type="dxa"/>
            <w:shd w:val="clear" w:color="auto" w:fill="DBE5F1" w:themeFill="accent1" w:themeFillTint="33"/>
          </w:tcPr>
          <w:p w14:paraId="725F5D2B"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4F864157" w14:textId="77777777" w:rsidR="007C520D" w:rsidRPr="00953096" w:rsidRDefault="007C520D" w:rsidP="007C520D">
            <w:pPr>
              <w:spacing w:after="0"/>
              <w:rPr>
                <w:sz w:val="20"/>
                <w:szCs w:val="20"/>
              </w:rPr>
            </w:pPr>
            <w:r w:rsidRPr="00953096">
              <w:rPr>
                <w:color w:val="000000"/>
                <w:sz w:val="20"/>
                <w:szCs w:val="20"/>
              </w:rPr>
              <w:t>Low</w:t>
            </w:r>
            <w:r w:rsidRPr="00953096">
              <w:rPr>
                <w:color w:val="000000"/>
                <w:sz w:val="20"/>
                <w:szCs w:val="20"/>
              </w:rPr>
              <w:br/>
              <w:t>Moderate</w:t>
            </w:r>
            <w:r w:rsidRPr="00953096">
              <w:rPr>
                <w:color w:val="000000"/>
                <w:sz w:val="20"/>
                <w:szCs w:val="20"/>
              </w:rPr>
              <w:br/>
              <w:t>Non-housing Community Development</w:t>
            </w:r>
          </w:p>
        </w:tc>
      </w:tr>
      <w:tr w:rsidR="007C520D" w:rsidRPr="00953096" w14:paraId="22CC9DBA" w14:textId="77777777" w:rsidTr="007C520D">
        <w:tc>
          <w:tcPr>
            <w:tcW w:w="0" w:type="auto"/>
            <w:vMerge/>
            <w:shd w:val="clear" w:color="auto" w:fill="4F81BD" w:themeFill="accent1"/>
          </w:tcPr>
          <w:p w14:paraId="5C073FC5" w14:textId="77777777" w:rsidR="007C520D" w:rsidRPr="00953096" w:rsidRDefault="007C520D" w:rsidP="007C520D">
            <w:pPr>
              <w:rPr>
                <w:sz w:val="20"/>
                <w:szCs w:val="20"/>
              </w:rPr>
            </w:pPr>
          </w:p>
        </w:tc>
        <w:tc>
          <w:tcPr>
            <w:tcW w:w="1860" w:type="dxa"/>
            <w:shd w:val="clear" w:color="auto" w:fill="DBE5F1" w:themeFill="accent1" w:themeFillTint="33"/>
          </w:tcPr>
          <w:p w14:paraId="1D264F4C"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61BCCB35"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2C7D1EF8" w14:textId="77777777" w:rsidTr="007C520D">
        <w:tc>
          <w:tcPr>
            <w:tcW w:w="0" w:type="auto"/>
            <w:vMerge/>
            <w:shd w:val="clear" w:color="auto" w:fill="4F81BD" w:themeFill="accent1"/>
          </w:tcPr>
          <w:p w14:paraId="1ECBAA82" w14:textId="77777777" w:rsidR="007C520D" w:rsidRPr="00953096" w:rsidRDefault="007C520D" w:rsidP="007C520D">
            <w:pPr>
              <w:rPr>
                <w:sz w:val="20"/>
                <w:szCs w:val="20"/>
              </w:rPr>
            </w:pPr>
          </w:p>
        </w:tc>
        <w:tc>
          <w:tcPr>
            <w:tcW w:w="1860" w:type="dxa"/>
            <w:shd w:val="clear" w:color="auto" w:fill="DBE5F1" w:themeFill="accent1" w:themeFillTint="33"/>
          </w:tcPr>
          <w:p w14:paraId="06591113"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21F0C332" w14:textId="77777777" w:rsidR="007C520D" w:rsidRPr="00953096" w:rsidRDefault="007C520D" w:rsidP="007C520D">
            <w:pPr>
              <w:spacing w:after="0"/>
              <w:rPr>
                <w:sz w:val="20"/>
                <w:szCs w:val="20"/>
              </w:rPr>
            </w:pPr>
            <w:r w:rsidRPr="00953096">
              <w:rPr>
                <w:color w:val="000000"/>
                <w:sz w:val="20"/>
                <w:szCs w:val="20"/>
              </w:rPr>
              <w:t>Community Facilities</w:t>
            </w:r>
            <w:r w:rsidRPr="00953096">
              <w:rPr>
                <w:color w:val="000000"/>
                <w:sz w:val="20"/>
                <w:szCs w:val="20"/>
              </w:rPr>
              <w:br/>
              <w:t>Urgent Need</w:t>
            </w:r>
            <w:r w:rsidRPr="00953096">
              <w:rPr>
                <w:color w:val="000000"/>
                <w:sz w:val="20"/>
                <w:szCs w:val="20"/>
              </w:rPr>
              <w:br/>
              <w:t>State Administration and Technical Assistance</w:t>
            </w:r>
          </w:p>
        </w:tc>
      </w:tr>
      <w:tr w:rsidR="007C520D" w:rsidRPr="00953096" w14:paraId="29F746F4" w14:textId="77777777" w:rsidTr="007C520D">
        <w:tc>
          <w:tcPr>
            <w:tcW w:w="0" w:type="auto"/>
            <w:vMerge/>
            <w:shd w:val="clear" w:color="auto" w:fill="4F81BD" w:themeFill="accent1"/>
          </w:tcPr>
          <w:p w14:paraId="5719E6B6" w14:textId="77777777" w:rsidR="007C520D" w:rsidRPr="00953096" w:rsidRDefault="007C520D" w:rsidP="007C520D">
            <w:pPr>
              <w:rPr>
                <w:sz w:val="20"/>
                <w:szCs w:val="20"/>
              </w:rPr>
            </w:pPr>
          </w:p>
        </w:tc>
        <w:tc>
          <w:tcPr>
            <w:tcW w:w="1860" w:type="dxa"/>
            <w:shd w:val="clear" w:color="auto" w:fill="DBE5F1" w:themeFill="accent1" w:themeFillTint="33"/>
          </w:tcPr>
          <w:p w14:paraId="17B4AD0F"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095FE33B" w14:textId="77777777" w:rsidR="007C520D" w:rsidRPr="00953096" w:rsidRDefault="007C520D" w:rsidP="007C520D">
            <w:pPr>
              <w:spacing w:after="0"/>
              <w:rPr>
                <w:sz w:val="20"/>
                <w:szCs w:val="20"/>
              </w:rPr>
            </w:pPr>
            <w:r w:rsidRPr="00953096">
              <w:rPr>
                <w:color w:val="000000"/>
                <w:sz w:val="20"/>
                <w:szCs w:val="20"/>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The project grant amount is limited to $2,000 per beneficiary up to a maximum of $400,000.</w:t>
            </w:r>
          </w:p>
          <w:p w14:paraId="3E9D0C8D" w14:textId="77777777" w:rsidR="007C520D" w:rsidRPr="00953096" w:rsidRDefault="007C520D" w:rsidP="007C520D">
            <w:pPr>
              <w:spacing w:after="0"/>
              <w:rPr>
                <w:sz w:val="20"/>
                <w:szCs w:val="20"/>
              </w:rPr>
            </w:pPr>
            <w:r w:rsidRPr="00953096">
              <w:rPr>
                <w:color w:val="000000"/>
                <w:sz w:val="20"/>
                <w:szCs w:val="20"/>
              </w:rPr>
              <w:t>It is estimated that from 15% to 35% of CDBG funds will be expended on community facilities in any given year, depending on the level of need for public facilities during the five-year period.</w:t>
            </w:r>
          </w:p>
        </w:tc>
      </w:tr>
      <w:tr w:rsidR="007C520D" w:rsidRPr="00953096" w14:paraId="4034F26D" w14:textId="77777777" w:rsidTr="007C520D">
        <w:tc>
          <w:tcPr>
            <w:tcW w:w="0" w:type="auto"/>
            <w:vMerge/>
            <w:shd w:val="clear" w:color="auto" w:fill="4F81BD" w:themeFill="accent1"/>
          </w:tcPr>
          <w:p w14:paraId="0E69CE4B" w14:textId="77777777" w:rsidR="007C520D" w:rsidRPr="00953096" w:rsidRDefault="007C520D" w:rsidP="007C520D">
            <w:pPr>
              <w:rPr>
                <w:sz w:val="20"/>
                <w:szCs w:val="20"/>
              </w:rPr>
            </w:pPr>
          </w:p>
        </w:tc>
        <w:tc>
          <w:tcPr>
            <w:tcW w:w="1860" w:type="dxa"/>
            <w:tcBorders>
              <w:bottom w:val="single" w:sz="4" w:space="0" w:color="auto"/>
            </w:tcBorders>
            <w:shd w:val="clear" w:color="auto" w:fill="DBE5F1" w:themeFill="accent1" w:themeFillTint="33"/>
          </w:tcPr>
          <w:p w14:paraId="0C1BC9F2"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Borders>
              <w:bottom w:val="single" w:sz="4" w:space="0" w:color="auto"/>
            </w:tcBorders>
          </w:tcPr>
          <w:p w14:paraId="211F1352" w14:textId="77777777" w:rsidR="007C520D" w:rsidRPr="00953096" w:rsidRDefault="007C520D" w:rsidP="007C520D">
            <w:pPr>
              <w:spacing w:after="0"/>
              <w:rPr>
                <w:sz w:val="20"/>
                <w:szCs w:val="20"/>
              </w:rPr>
            </w:pPr>
            <w:r w:rsidRPr="00953096">
              <w:rPr>
                <w:color w:val="000000"/>
                <w:sz w:val="20"/>
                <w:szCs w:val="20"/>
              </w:rPr>
              <w:t>Community facility improvements, with projects ranging from improving bridges and streets</w:t>
            </w:r>
            <w:r>
              <w:rPr>
                <w:color w:val="000000"/>
                <w:sz w:val="20"/>
                <w:szCs w:val="20"/>
              </w:rPr>
              <w:t xml:space="preserve"> to public facilities or gathering places, especially in low-moderate income and rural areas</w:t>
            </w:r>
            <w:r w:rsidRPr="00953096">
              <w:rPr>
                <w:color w:val="000000"/>
                <w:sz w:val="20"/>
                <w:szCs w:val="20"/>
              </w:rPr>
              <w:t>, w</w:t>
            </w:r>
            <w:r>
              <w:rPr>
                <w:color w:val="000000"/>
                <w:sz w:val="20"/>
                <w:szCs w:val="20"/>
              </w:rPr>
              <w:t>ere</w:t>
            </w:r>
            <w:r w:rsidRPr="00953096">
              <w:rPr>
                <w:color w:val="000000"/>
                <w:sz w:val="20"/>
                <w:szCs w:val="20"/>
              </w:rPr>
              <w:t xml:space="preserve"> identified as a high priority during community meetings and feedback from stakeholders.</w:t>
            </w:r>
          </w:p>
        </w:tc>
      </w:tr>
      <w:tr w:rsidR="007C520D" w:rsidRPr="00953096" w14:paraId="429906F4" w14:textId="77777777" w:rsidTr="007C520D">
        <w:tc>
          <w:tcPr>
            <w:tcW w:w="0" w:type="auto"/>
            <w:vMerge w:val="restart"/>
            <w:shd w:val="clear" w:color="auto" w:fill="4F81BD" w:themeFill="accent1"/>
          </w:tcPr>
          <w:p w14:paraId="4A451DEF" w14:textId="77777777" w:rsidR="007C520D" w:rsidRPr="00F41392" w:rsidRDefault="007C520D" w:rsidP="007C520D">
            <w:pPr>
              <w:rPr>
                <w:color w:val="FFFFFF" w:themeColor="background1"/>
                <w:sz w:val="20"/>
                <w:szCs w:val="20"/>
              </w:rPr>
            </w:pPr>
            <w:r w:rsidRPr="00F41392">
              <w:rPr>
                <w:b/>
                <w:color w:val="FFFFFF" w:themeColor="background1"/>
                <w:sz w:val="20"/>
                <w:szCs w:val="20"/>
              </w:rPr>
              <w:t>6</w:t>
            </w:r>
          </w:p>
        </w:tc>
        <w:tc>
          <w:tcPr>
            <w:tcW w:w="1860" w:type="dxa"/>
            <w:tcBorders>
              <w:top w:val="single" w:sz="4" w:space="0" w:color="auto"/>
            </w:tcBorders>
            <w:shd w:val="clear" w:color="auto" w:fill="DBE5F1" w:themeFill="accent1" w:themeFillTint="33"/>
          </w:tcPr>
          <w:p w14:paraId="589A2799" w14:textId="77777777" w:rsidR="007C520D" w:rsidRPr="00F41392" w:rsidRDefault="007C520D" w:rsidP="007C520D">
            <w:pPr>
              <w:keepNext/>
              <w:spacing w:after="0"/>
              <w:rPr>
                <w:sz w:val="20"/>
                <w:szCs w:val="20"/>
              </w:rPr>
            </w:pPr>
            <w:r w:rsidRPr="00F41392">
              <w:rPr>
                <w:sz w:val="20"/>
                <w:szCs w:val="20"/>
              </w:rPr>
              <w:t>Priority Need Name</w:t>
            </w:r>
          </w:p>
        </w:tc>
        <w:tc>
          <w:tcPr>
            <w:tcW w:w="7398" w:type="dxa"/>
            <w:tcBorders>
              <w:top w:val="single" w:sz="4" w:space="0" w:color="auto"/>
            </w:tcBorders>
          </w:tcPr>
          <w:p w14:paraId="2CEE0741" w14:textId="77777777" w:rsidR="007C520D" w:rsidRPr="00953096" w:rsidRDefault="007C520D" w:rsidP="007C520D">
            <w:pPr>
              <w:spacing w:after="0"/>
              <w:rPr>
                <w:sz w:val="20"/>
                <w:szCs w:val="20"/>
              </w:rPr>
            </w:pPr>
            <w:r w:rsidRPr="00953096">
              <w:rPr>
                <w:color w:val="000000"/>
                <w:sz w:val="20"/>
                <w:szCs w:val="20"/>
              </w:rPr>
              <w:t>Downtown Commercial Rehabilitation</w:t>
            </w:r>
          </w:p>
        </w:tc>
      </w:tr>
      <w:tr w:rsidR="007C520D" w:rsidRPr="00953096" w14:paraId="04215AFC" w14:textId="77777777" w:rsidTr="007C520D">
        <w:tc>
          <w:tcPr>
            <w:tcW w:w="0" w:type="auto"/>
            <w:vMerge/>
            <w:shd w:val="clear" w:color="auto" w:fill="4F81BD" w:themeFill="accent1"/>
          </w:tcPr>
          <w:p w14:paraId="03AC9D47" w14:textId="77777777" w:rsidR="007C520D" w:rsidRPr="00953096" w:rsidRDefault="007C520D" w:rsidP="007C520D">
            <w:pPr>
              <w:rPr>
                <w:sz w:val="20"/>
                <w:szCs w:val="20"/>
              </w:rPr>
            </w:pPr>
          </w:p>
        </w:tc>
        <w:tc>
          <w:tcPr>
            <w:tcW w:w="1860" w:type="dxa"/>
            <w:shd w:val="clear" w:color="auto" w:fill="DBE5F1" w:themeFill="accent1" w:themeFillTint="33"/>
          </w:tcPr>
          <w:p w14:paraId="101A7015"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614A8D73"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1E91DFA7" w14:textId="77777777" w:rsidTr="007C520D">
        <w:tc>
          <w:tcPr>
            <w:tcW w:w="0" w:type="auto"/>
            <w:vMerge/>
            <w:shd w:val="clear" w:color="auto" w:fill="4F81BD" w:themeFill="accent1"/>
          </w:tcPr>
          <w:p w14:paraId="0EAC1FBC" w14:textId="77777777" w:rsidR="007C520D" w:rsidRPr="00953096" w:rsidRDefault="007C520D" w:rsidP="007C520D">
            <w:pPr>
              <w:rPr>
                <w:sz w:val="20"/>
                <w:szCs w:val="20"/>
              </w:rPr>
            </w:pPr>
          </w:p>
        </w:tc>
        <w:tc>
          <w:tcPr>
            <w:tcW w:w="1860" w:type="dxa"/>
            <w:shd w:val="clear" w:color="auto" w:fill="DBE5F1" w:themeFill="accent1" w:themeFillTint="33"/>
          </w:tcPr>
          <w:p w14:paraId="7C4A2CE2"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44A8E625" w14:textId="77777777" w:rsidR="007C520D" w:rsidRPr="00953096" w:rsidRDefault="007C520D" w:rsidP="007C520D">
            <w:pPr>
              <w:spacing w:after="0"/>
              <w:rPr>
                <w:sz w:val="20"/>
                <w:szCs w:val="20"/>
              </w:rPr>
            </w:pPr>
            <w:r w:rsidRPr="00953096">
              <w:rPr>
                <w:color w:val="000000"/>
                <w:sz w:val="20"/>
                <w:szCs w:val="20"/>
              </w:rPr>
              <w:t>Non-housing Community Development</w:t>
            </w:r>
          </w:p>
        </w:tc>
      </w:tr>
      <w:tr w:rsidR="007C520D" w:rsidRPr="00953096" w14:paraId="52C179CD" w14:textId="77777777" w:rsidTr="007C520D">
        <w:tc>
          <w:tcPr>
            <w:tcW w:w="0" w:type="auto"/>
            <w:vMerge/>
            <w:shd w:val="clear" w:color="auto" w:fill="4F81BD" w:themeFill="accent1"/>
          </w:tcPr>
          <w:p w14:paraId="5D3DC4B6" w14:textId="77777777" w:rsidR="007C520D" w:rsidRPr="00953096" w:rsidRDefault="007C520D" w:rsidP="007C520D">
            <w:pPr>
              <w:rPr>
                <w:sz w:val="20"/>
                <w:szCs w:val="20"/>
              </w:rPr>
            </w:pPr>
          </w:p>
        </w:tc>
        <w:tc>
          <w:tcPr>
            <w:tcW w:w="1860" w:type="dxa"/>
            <w:shd w:val="clear" w:color="auto" w:fill="DBE5F1" w:themeFill="accent1" w:themeFillTint="33"/>
          </w:tcPr>
          <w:p w14:paraId="25B0590E"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795526E1"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2D5AA5E1" w14:textId="77777777" w:rsidTr="007C520D">
        <w:tc>
          <w:tcPr>
            <w:tcW w:w="0" w:type="auto"/>
            <w:vMerge/>
            <w:shd w:val="clear" w:color="auto" w:fill="4F81BD" w:themeFill="accent1"/>
          </w:tcPr>
          <w:p w14:paraId="636A953F" w14:textId="77777777" w:rsidR="007C520D" w:rsidRPr="00953096" w:rsidRDefault="007C520D" w:rsidP="007C520D">
            <w:pPr>
              <w:rPr>
                <w:sz w:val="20"/>
                <w:szCs w:val="20"/>
              </w:rPr>
            </w:pPr>
          </w:p>
        </w:tc>
        <w:tc>
          <w:tcPr>
            <w:tcW w:w="1860" w:type="dxa"/>
            <w:shd w:val="clear" w:color="auto" w:fill="DBE5F1" w:themeFill="accent1" w:themeFillTint="33"/>
          </w:tcPr>
          <w:p w14:paraId="0AEC81AF"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2E37CA5A" w14:textId="77777777" w:rsidR="007C520D" w:rsidRPr="00953096" w:rsidRDefault="007C520D" w:rsidP="007C520D">
            <w:pPr>
              <w:spacing w:after="0"/>
              <w:rPr>
                <w:sz w:val="20"/>
                <w:szCs w:val="20"/>
              </w:rPr>
            </w:pPr>
            <w:r w:rsidRPr="00953096">
              <w:rPr>
                <w:color w:val="000000"/>
                <w:sz w:val="20"/>
                <w:szCs w:val="20"/>
              </w:rPr>
              <w:t>Downtown Commercial Rehabilitation</w:t>
            </w:r>
            <w:r w:rsidRPr="00953096">
              <w:rPr>
                <w:color w:val="000000"/>
                <w:sz w:val="20"/>
                <w:szCs w:val="20"/>
              </w:rPr>
              <w:br/>
              <w:t>State Administration and Technical Assistance</w:t>
            </w:r>
          </w:p>
        </w:tc>
      </w:tr>
      <w:tr w:rsidR="007C520D" w:rsidRPr="00953096" w14:paraId="62D29AAA" w14:textId="77777777" w:rsidTr="007C520D">
        <w:tc>
          <w:tcPr>
            <w:tcW w:w="0" w:type="auto"/>
            <w:vMerge/>
            <w:shd w:val="clear" w:color="auto" w:fill="4F81BD" w:themeFill="accent1"/>
          </w:tcPr>
          <w:p w14:paraId="099A71A6" w14:textId="77777777" w:rsidR="007C520D" w:rsidRPr="00953096" w:rsidRDefault="007C520D" w:rsidP="007C520D">
            <w:pPr>
              <w:rPr>
                <w:sz w:val="20"/>
                <w:szCs w:val="20"/>
              </w:rPr>
            </w:pPr>
          </w:p>
        </w:tc>
        <w:tc>
          <w:tcPr>
            <w:tcW w:w="1860" w:type="dxa"/>
            <w:shd w:val="clear" w:color="auto" w:fill="DBE5F1" w:themeFill="accent1" w:themeFillTint="33"/>
          </w:tcPr>
          <w:p w14:paraId="050696AB"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68CEDBC9" w14:textId="77777777" w:rsidR="007C520D" w:rsidRPr="00953096" w:rsidRDefault="007C520D" w:rsidP="007C520D">
            <w:pPr>
              <w:spacing w:after="0"/>
              <w:rPr>
                <w:sz w:val="20"/>
                <w:szCs w:val="20"/>
              </w:rPr>
            </w:pPr>
            <w:r w:rsidRPr="00953096">
              <w:rPr>
                <w:color w:val="000000"/>
                <w:sz w:val="20"/>
                <w:szCs w:val="20"/>
              </w:rPr>
              <w:t xml:space="preserve">The purpose of the program is to help communities improve the quality of their downtown commercial districts by assisting private property owners in the rehabilitation of blighted buildings. All projects must meet the “slum and blight” national objective. </w:t>
            </w:r>
            <w:r w:rsidRPr="0082124E">
              <w:rPr>
                <w:sz w:val="20"/>
                <w:szCs w:val="20"/>
              </w:rPr>
              <w:t xml:space="preserve">The number of application rounds and the due dates for the </w:t>
            </w:r>
            <w:r>
              <w:rPr>
                <w:sz w:val="20"/>
                <w:szCs w:val="20"/>
              </w:rPr>
              <w:t>2019</w:t>
            </w:r>
            <w:r w:rsidRPr="0082124E">
              <w:rPr>
                <w:sz w:val="20"/>
                <w:szCs w:val="20"/>
              </w:rPr>
              <w:t xml:space="preserve"> applications will be determined at a later date. </w:t>
            </w:r>
            <w:r w:rsidRPr="0082124E">
              <w:rPr>
                <w:color w:val="000000"/>
                <w:sz w:val="20"/>
                <w:szCs w:val="20"/>
              </w:rPr>
              <w:t xml:space="preserve"> </w:t>
            </w:r>
            <w:r w:rsidRPr="00953096">
              <w:rPr>
                <w:color w:val="000000"/>
                <w:sz w:val="20"/>
                <w:szCs w:val="20"/>
              </w:rPr>
              <w:t>The maximum grant award is $250,000. A private match of at least 25% will be required.</w:t>
            </w:r>
          </w:p>
        </w:tc>
      </w:tr>
      <w:tr w:rsidR="007C520D" w:rsidRPr="00953096" w14:paraId="0C11E6EE" w14:textId="77777777" w:rsidTr="007C520D">
        <w:tc>
          <w:tcPr>
            <w:tcW w:w="0" w:type="auto"/>
            <w:vMerge/>
            <w:shd w:val="clear" w:color="auto" w:fill="4F81BD" w:themeFill="accent1"/>
          </w:tcPr>
          <w:p w14:paraId="44845422" w14:textId="77777777" w:rsidR="007C520D" w:rsidRPr="00953096" w:rsidRDefault="007C520D" w:rsidP="007C520D">
            <w:pPr>
              <w:rPr>
                <w:sz w:val="20"/>
                <w:szCs w:val="20"/>
              </w:rPr>
            </w:pPr>
          </w:p>
        </w:tc>
        <w:tc>
          <w:tcPr>
            <w:tcW w:w="1860" w:type="dxa"/>
            <w:tcBorders>
              <w:bottom w:val="single" w:sz="4" w:space="0" w:color="auto"/>
            </w:tcBorders>
            <w:shd w:val="clear" w:color="auto" w:fill="DBE5F1" w:themeFill="accent1" w:themeFillTint="33"/>
          </w:tcPr>
          <w:p w14:paraId="239C772B"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Borders>
              <w:bottom w:val="single" w:sz="4" w:space="0" w:color="auto"/>
            </w:tcBorders>
          </w:tcPr>
          <w:p w14:paraId="449465CB" w14:textId="77777777" w:rsidR="007C520D" w:rsidRPr="00953096" w:rsidRDefault="007C520D" w:rsidP="007C520D">
            <w:pPr>
              <w:spacing w:after="0"/>
              <w:rPr>
                <w:sz w:val="20"/>
                <w:szCs w:val="20"/>
              </w:rPr>
            </w:pPr>
            <w:r w:rsidRPr="00953096">
              <w:rPr>
                <w:color w:val="000000"/>
                <w:sz w:val="20"/>
                <w:szCs w:val="20"/>
              </w:rPr>
              <w:t>Creating communities of opportunity and supporting economic opportunities for target areas is the basis for the high priority given to downtown commercial rehabilitation.  Addressing downtown commercial districts by assisting private property owners in the rehabilitation of blighted buildings is one method of addressing downtown redevelopment. All projects must meet the “slum and blight” national objective.</w:t>
            </w:r>
          </w:p>
        </w:tc>
      </w:tr>
      <w:tr w:rsidR="007C520D" w:rsidRPr="00953096" w14:paraId="79A5251C" w14:textId="77777777" w:rsidTr="007C520D">
        <w:tc>
          <w:tcPr>
            <w:tcW w:w="0" w:type="auto"/>
            <w:vMerge w:val="restart"/>
            <w:shd w:val="clear" w:color="auto" w:fill="4F81BD" w:themeFill="accent1"/>
          </w:tcPr>
          <w:p w14:paraId="25D4E532" w14:textId="77777777" w:rsidR="007C520D" w:rsidRPr="00F41392" w:rsidRDefault="007C520D" w:rsidP="007C520D">
            <w:pPr>
              <w:rPr>
                <w:color w:val="FFFFFF" w:themeColor="background1"/>
                <w:sz w:val="20"/>
                <w:szCs w:val="20"/>
              </w:rPr>
            </w:pPr>
            <w:r w:rsidRPr="00F41392">
              <w:rPr>
                <w:b/>
                <w:color w:val="FFFFFF" w:themeColor="background1"/>
                <w:sz w:val="20"/>
                <w:szCs w:val="20"/>
              </w:rPr>
              <w:t>7</w:t>
            </w:r>
          </w:p>
        </w:tc>
        <w:tc>
          <w:tcPr>
            <w:tcW w:w="1860" w:type="dxa"/>
            <w:tcBorders>
              <w:top w:val="single" w:sz="4" w:space="0" w:color="auto"/>
            </w:tcBorders>
            <w:shd w:val="clear" w:color="auto" w:fill="DBE5F1" w:themeFill="accent1" w:themeFillTint="33"/>
          </w:tcPr>
          <w:p w14:paraId="7369737F" w14:textId="77777777" w:rsidR="007C520D" w:rsidRPr="00F41392" w:rsidRDefault="007C520D" w:rsidP="007C520D">
            <w:pPr>
              <w:keepNext/>
              <w:spacing w:after="0"/>
              <w:rPr>
                <w:sz w:val="20"/>
                <w:szCs w:val="20"/>
              </w:rPr>
            </w:pPr>
            <w:r w:rsidRPr="00F41392">
              <w:rPr>
                <w:sz w:val="20"/>
                <w:szCs w:val="20"/>
              </w:rPr>
              <w:t>Priority Need Name</w:t>
            </w:r>
          </w:p>
        </w:tc>
        <w:tc>
          <w:tcPr>
            <w:tcW w:w="7398" w:type="dxa"/>
            <w:tcBorders>
              <w:top w:val="single" w:sz="4" w:space="0" w:color="auto"/>
            </w:tcBorders>
          </w:tcPr>
          <w:p w14:paraId="2F80C227" w14:textId="77777777" w:rsidR="007C520D" w:rsidRPr="00953096" w:rsidRDefault="007C520D" w:rsidP="007C520D">
            <w:pPr>
              <w:spacing w:after="0"/>
              <w:rPr>
                <w:sz w:val="20"/>
                <w:szCs w:val="20"/>
              </w:rPr>
            </w:pPr>
            <w:r w:rsidRPr="00953096">
              <w:rPr>
                <w:color w:val="000000"/>
                <w:sz w:val="20"/>
                <w:szCs w:val="20"/>
              </w:rPr>
              <w:t>Housing Opportunities for Persons with AIDS</w:t>
            </w:r>
          </w:p>
        </w:tc>
      </w:tr>
      <w:tr w:rsidR="007C520D" w:rsidRPr="00953096" w14:paraId="10E1782B" w14:textId="77777777" w:rsidTr="007C520D">
        <w:tc>
          <w:tcPr>
            <w:tcW w:w="0" w:type="auto"/>
            <w:vMerge/>
            <w:shd w:val="clear" w:color="auto" w:fill="4F81BD" w:themeFill="accent1"/>
          </w:tcPr>
          <w:p w14:paraId="4F8DA64C" w14:textId="77777777" w:rsidR="007C520D" w:rsidRPr="00953096" w:rsidRDefault="007C520D" w:rsidP="007C520D">
            <w:pPr>
              <w:rPr>
                <w:sz w:val="20"/>
                <w:szCs w:val="20"/>
              </w:rPr>
            </w:pPr>
          </w:p>
        </w:tc>
        <w:tc>
          <w:tcPr>
            <w:tcW w:w="1860" w:type="dxa"/>
            <w:shd w:val="clear" w:color="auto" w:fill="DBE5F1" w:themeFill="accent1" w:themeFillTint="33"/>
          </w:tcPr>
          <w:p w14:paraId="083186A8" w14:textId="77777777" w:rsidR="007C520D" w:rsidRPr="00F41392" w:rsidRDefault="007C520D" w:rsidP="007C520D">
            <w:pPr>
              <w:keepNext/>
              <w:spacing w:after="0"/>
              <w:rPr>
                <w:sz w:val="20"/>
                <w:szCs w:val="20"/>
              </w:rPr>
            </w:pPr>
            <w:r w:rsidRPr="00F41392">
              <w:rPr>
                <w:sz w:val="20"/>
                <w:szCs w:val="20"/>
              </w:rPr>
              <w:t>Priority Level</w:t>
            </w:r>
          </w:p>
        </w:tc>
        <w:tc>
          <w:tcPr>
            <w:tcW w:w="7398" w:type="dxa"/>
          </w:tcPr>
          <w:p w14:paraId="6F0794B9" w14:textId="77777777" w:rsidR="007C520D" w:rsidRPr="00953096" w:rsidRDefault="007C520D" w:rsidP="007C520D">
            <w:pPr>
              <w:spacing w:after="0"/>
              <w:rPr>
                <w:sz w:val="20"/>
                <w:szCs w:val="20"/>
              </w:rPr>
            </w:pPr>
            <w:r w:rsidRPr="00953096">
              <w:rPr>
                <w:color w:val="000000"/>
                <w:sz w:val="20"/>
                <w:szCs w:val="20"/>
              </w:rPr>
              <w:t>High</w:t>
            </w:r>
          </w:p>
        </w:tc>
      </w:tr>
      <w:tr w:rsidR="007C520D" w:rsidRPr="00953096" w14:paraId="0ED25CCC" w14:textId="77777777" w:rsidTr="007C520D">
        <w:tc>
          <w:tcPr>
            <w:tcW w:w="0" w:type="auto"/>
            <w:vMerge/>
            <w:shd w:val="clear" w:color="auto" w:fill="4F81BD" w:themeFill="accent1"/>
          </w:tcPr>
          <w:p w14:paraId="34CBBFF2" w14:textId="77777777" w:rsidR="007C520D" w:rsidRPr="00953096" w:rsidRDefault="007C520D" w:rsidP="007C520D">
            <w:pPr>
              <w:rPr>
                <w:sz w:val="20"/>
                <w:szCs w:val="20"/>
              </w:rPr>
            </w:pPr>
          </w:p>
        </w:tc>
        <w:tc>
          <w:tcPr>
            <w:tcW w:w="1860" w:type="dxa"/>
            <w:shd w:val="clear" w:color="auto" w:fill="DBE5F1" w:themeFill="accent1" w:themeFillTint="33"/>
          </w:tcPr>
          <w:p w14:paraId="078F74D8" w14:textId="77777777" w:rsidR="007C520D" w:rsidRPr="00F41392" w:rsidRDefault="007C520D" w:rsidP="007C520D">
            <w:pPr>
              <w:keepNext/>
              <w:spacing w:after="0"/>
              <w:rPr>
                <w:sz w:val="20"/>
                <w:szCs w:val="20"/>
              </w:rPr>
            </w:pPr>
            <w:r w:rsidRPr="00F41392">
              <w:rPr>
                <w:sz w:val="20"/>
                <w:szCs w:val="20"/>
              </w:rPr>
              <w:t>Population</w:t>
            </w:r>
          </w:p>
        </w:tc>
        <w:tc>
          <w:tcPr>
            <w:tcW w:w="7398" w:type="dxa"/>
          </w:tcPr>
          <w:p w14:paraId="2582325A" w14:textId="77777777" w:rsidR="007C520D" w:rsidRPr="00953096" w:rsidRDefault="007C520D" w:rsidP="007C520D">
            <w:pPr>
              <w:spacing w:after="0"/>
              <w:rPr>
                <w:sz w:val="20"/>
                <w:szCs w:val="20"/>
              </w:rPr>
            </w:pPr>
            <w:r w:rsidRPr="00953096">
              <w:rPr>
                <w:color w:val="000000"/>
                <w:sz w:val="20"/>
                <w:szCs w:val="20"/>
              </w:rPr>
              <w:t>Low</w:t>
            </w:r>
            <w:r w:rsidRPr="00953096">
              <w:rPr>
                <w:color w:val="000000"/>
                <w:sz w:val="20"/>
                <w:szCs w:val="20"/>
              </w:rPr>
              <w:br/>
              <w:t>Moderate</w:t>
            </w:r>
            <w:r w:rsidRPr="00953096">
              <w:rPr>
                <w:color w:val="000000"/>
                <w:sz w:val="20"/>
                <w:szCs w:val="20"/>
              </w:rPr>
              <w:br/>
              <w:t>Persons with HIV/AIDS</w:t>
            </w:r>
            <w:r w:rsidRPr="00953096">
              <w:rPr>
                <w:color w:val="000000"/>
                <w:sz w:val="20"/>
                <w:szCs w:val="20"/>
              </w:rPr>
              <w:br/>
              <w:t>Persons with HIV/AIDS and their Families</w:t>
            </w:r>
          </w:p>
        </w:tc>
      </w:tr>
      <w:tr w:rsidR="007C520D" w:rsidRPr="00953096" w14:paraId="3FD5129C" w14:textId="77777777" w:rsidTr="007C520D">
        <w:tc>
          <w:tcPr>
            <w:tcW w:w="0" w:type="auto"/>
            <w:vMerge/>
            <w:shd w:val="clear" w:color="auto" w:fill="4F81BD" w:themeFill="accent1"/>
          </w:tcPr>
          <w:p w14:paraId="373EB721" w14:textId="77777777" w:rsidR="007C520D" w:rsidRPr="00953096" w:rsidRDefault="007C520D" w:rsidP="007C520D">
            <w:pPr>
              <w:rPr>
                <w:sz w:val="20"/>
                <w:szCs w:val="20"/>
              </w:rPr>
            </w:pPr>
          </w:p>
        </w:tc>
        <w:tc>
          <w:tcPr>
            <w:tcW w:w="1860" w:type="dxa"/>
            <w:shd w:val="clear" w:color="auto" w:fill="DBE5F1" w:themeFill="accent1" w:themeFillTint="33"/>
          </w:tcPr>
          <w:p w14:paraId="7C044F97" w14:textId="77777777" w:rsidR="007C520D" w:rsidRPr="00F41392" w:rsidRDefault="007C520D" w:rsidP="007C520D">
            <w:pPr>
              <w:keepNext/>
              <w:spacing w:after="0"/>
              <w:rPr>
                <w:sz w:val="20"/>
                <w:szCs w:val="20"/>
              </w:rPr>
            </w:pPr>
            <w:r w:rsidRPr="00F41392">
              <w:rPr>
                <w:sz w:val="20"/>
                <w:szCs w:val="20"/>
              </w:rPr>
              <w:t>Geographic Areas Affected</w:t>
            </w:r>
          </w:p>
        </w:tc>
        <w:tc>
          <w:tcPr>
            <w:tcW w:w="7398" w:type="dxa"/>
          </w:tcPr>
          <w:p w14:paraId="4C6E558E" w14:textId="77777777" w:rsidR="007C520D" w:rsidRPr="00953096" w:rsidRDefault="007C520D" w:rsidP="007C520D">
            <w:pPr>
              <w:spacing w:after="0"/>
              <w:rPr>
                <w:sz w:val="20"/>
                <w:szCs w:val="20"/>
              </w:rPr>
            </w:pPr>
            <w:r w:rsidRPr="00953096">
              <w:rPr>
                <w:color w:val="000000"/>
                <w:sz w:val="20"/>
                <w:szCs w:val="20"/>
              </w:rPr>
              <w:t xml:space="preserve"> </w:t>
            </w:r>
            <w:r>
              <w:rPr>
                <w:color w:val="000000"/>
                <w:sz w:val="20"/>
                <w:szCs w:val="20"/>
              </w:rPr>
              <w:t>Statewide</w:t>
            </w:r>
          </w:p>
        </w:tc>
      </w:tr>
      <w:tr w:rsidR="007C520D" w:rsidRPr="00953096" w14:paraId="450DBC43" w14:textId="77777777" w:rsidTr="007C520D">
        <w:tc>
          <w:tcPr>
            <w:tcW w:w="0" w:type="auto"/>
            <w:vMerge/>
            <w:shd w:val="clear" w:color="auto" w:fill="4F81BD" w:themeFill="accent1"/>
          </w:tcPr>
          <w:p w14:paraId="6C37C555" w14:textId="77777777" w:rsidR="007C520D" w:rsidRPr="00953096" w:rsidRDefault="007C520D" w:rsidP="007C520D">
            <w:pPr>
              <w:rPr>
                <w:sz w:val="20"/>
                <w:szCs w:val="20"/>
              </w:rPr>
            </w:pPr>
          </w:p>
        </w:tc>
        <w:tc>
          <w:tcPr>
            <w:tcW w:w="1860" w:type="dxa"/>
            <w:shd w:val="clear" w:color="auto" w:fill="DBE5F1" w:themeFill="accent1" w:themeFillTint="33"/>
          </w:tcPr>
          <w:p w14:paraId="329A45D7" w14:textId="77777777" w:rsidR="007C520D" w:rsidRPr="00F41392" w:rsidRDefault="007C520D" w:rsidP="007C520D">
            <w:pPr>
              <w:keepNext/>
              <w:spacing w:after="0"/>
              <w:rPr>
                <w:sz w:val="20"/>
                <w:szCs w:val="20"/>
              </w:rPr>
            </w:pPr>
            <w:r w:rsidRPr="00F41392">
              <w:rPr>
                <w:sz w:val="20"/>
                <w:szCs w:val="20"/>
              </w:rPr>
              <w:t>Associated Goals</w:t>
            </w:r>
          </w:p>
        </w:tc>
        <w:tc>
          <w:tcPr>
            <w:tcW w:w="7398" w:type="dxa"/>
          </w:tcPr>
          <w:p w14:paraId="63761B9A" w14:textId="1C740E95" w:rsidR="007C520D" w:rsidRPr="00953096" w:rsidRDefault="007C520D" w:rsidP="007C520D">
            <w:pPr>
              <w:spacing w:after="0"/>
              <w:rPr>
                <w:sz w:val="20"/>
                <w:szCs w:val="20"/>
              </w:rPr>
            </w:pPr>
            <w:r w:rsidRPr="00953096">
              <w:rPr>
                <w:color w:val="000000"/>
                <w:sz w:val="20"/>
                <w:szCs w:val="20"/>
              </w:rPr>
              <w:t>Housing Opportunities for Persons with AIDS</w:t>
            </w:r>
            <w:r w:rsidR="00C14ADA">
              <w:rPr>
                <w:color w:val="000000"/>
                <w:sz w:val="20"/>
                <w:szCs w:val="20"/>
              </w:rPr>
              <w:t xml:space="preserve"> </w:t>
            </w:r>
            <w:r w:rsidRPr="00953096">
              <w:rPr>
                <w:color w:val="000000"/>
                <w:sz w:val="20"/>
                <w:szCs w:val="20"/>
              </w:rPr>
              <w:t>(HOPWA)</w:t>
            </w:r>
          </w:p>
        </w:tc>
      </w:tr>
      <w:tr w:rsidR="007C520D" w:rsidRPr="00953096" w14:paraId="2EBA6A4A" w14:textId="77777777" w:rsidTr="007C520D">
        <w:tc>
          <w:tcPr>
            <w:tcW w:w="0" w:type="auto"/>
            <w:vMerge/>
            <w:shd w:val="clear" w:color="auto" w:fill="4F81BD" w:themeFill="accent1"/>
          </w:tcPr>
          <w:p w14:paraId="3AFC1D99" w14:textId="77777777" w:rsidR="007C520D" w:rsidRPr="00953096" w:rsidRDefault="007C520D" w:rsidP="007C520D">
            <w:pPr>
              <w:rPr>
                <w:sz w:val="20"/>
                <w:szCs w:val="20"/>
              </w:rPr>
            </w:pPr>
          </w:p>
        </w:tc>
        <w:tc>
          <w:tcPr>
            <w:tcW w:w="1860" w:type="dxa"/>
            <w:shd w:val="clear" w:color="auto" w:fill="DBE5F1" w:themeFill="accent1" w:themeFillTint="33"/>
          </w:tcPr>
          <w:p w14:paraId="75084674" w14:textId="77777777" w:rsidR="007C520D" w:rsidRPr="00F41392" w:rsidRDefault="007C520D" w:rsidP="007C520D">
            <w:pPr>
              <w:keepNext/>
              <w:spacing w:after="0"/>
              <w:rPr>
                <w:sz w:val="20"/>
                <w:szCs w:val="20"/>
              </w:rPr>
            </w:pPr>
            <w:r w:rsidRPr="00F41392">
              <w:rPr>
                <w:sz w:val="20"/>
                <w:szCs w:val="20"/>
              </w:rPr>
              <w:t>Description</w:t>
            </w:r>
          </w:p>
        </w:tc>
        <w:tc>
          <w:tcPr>
            <w:tcW w:w="7398" w:type="dxa"/>
          </w:tcPr>
          <w:p w14:paraId="5983C21B" w14:textId="77777777" w:rsidR="007C520D" w:rsidRPr="00953096" w:rsidRDefault="007C520D" w:rsidP="007C520D">
            <w:pPr>
              <w:spacing w:after="0"/>
              <w:rPr>
                <w:sz w:val="20"/>
                <w:szCs w:val="20"/>
              </w:rPr>
            </w:pPr>
            <w:r w:rsidRPr="00953096">
              <w:rPr>
                <w:color w:val="000000"/>
                <w:sz w:val="20"/>
                <w:szCs w:val="20"/>
              </w:rPr>
              <w:t>Ongoing analysis of quality of life through surveys and Steering Committee recommendations indicate the highest priority of need based on reduced funding will be for short term rent, mortgage and utility payments. While long-term housing solutions are critical to the stability of HIV clients, regions will have to rely more on Section 8, Shelter-Plus Care and self-sufficiency as housing plans for long-term solutions.</w:t>
            </w:r>
          </w:p>
        </w:tc>
      </w:tr>
      <w:tr w:rsidR="007C520D" w:rsidRPr="00953096" w14:paraId="47EFA59E" w14:textId="77777777" w:rsidTr="007C520D">
        <w:tc>
          <w:tcPr>
            <w:tcW w:w="0" w:type="auto"/>
            <w:vMerge/>
            <w:shd w:val="clear" w:color="auto" w:fill="4F81BD" w:themeFill="accent1"/>
          </w:tcPr>
          <w:p w14:paraId="408C629D" w14:textId="77777777" w:rsidR="007C520D" w:rsidRPr="00953096" w:rsidRDefault="007C520D" w:rsidP="007C520D">
            <w:pPr>
              <w:rPr>
                <w:sz w:val="20"/>
                <w:szCs w:val="20"/>
              </w:rPr>
            </w:pPr>
          </w:p>
        </w:tc>
        <w:tc>
          <w:tcPr>
            <w:tcW w:w="1860" w:type="dxa"/>
            <w:shd w:val="clear" w:color="auto" w:fill="DBE5F1" w:themeFill="accent1" w:themeFillTint="33"/>
          </w:tcPr>
          <w:p w14:paraId="64AFF0AF" w14:textId="77777777" w:rsidR="007C520D" w:rsidRPr="00F41392" w:rsidRDefault="007C520D" w:rsidP="007C520D">
            <w:pPr>
              <w:keepNext/>
              <w:spacing w:after="0"/>
              <w:rPr>
                <w:sz w:val="20"/>
                <w:szCs w:val="20"/>
              </w:rPr>
            </w:pPr>
            <w:r w:rsidRPr="00F41392">
              <w:rPr>
                <w:sz w:val="20"/>
                <w:szCs w:val="20"/>
              </w:rPr>
              <w:t>Basis for Relative Priority</w:t>
            </w:r>
          </w:p>
        </w:tc>
        <w:tc>
          <w:tcPr>
            <w:tcW w:w="7398" w:type="dxa"/>
          </w:tcPr>
          <w:p w14:paraId="4CB146A2" w14:textId="17212123" w:rsidR="007C520D" w:rsidRPr="00953096" w:rsidRDefault="007C520D" w:rsidP="007C520D">
            <w:pPr>
              <w:spacing w:after="0"/>
              <w:rPr>
                <w:sz w:val="20"/>
                <w:szCs w:val="20"/>
              </w:rPr>
            </w:pPr>
            <w:r w:rsidRPr="00953096">
              <w:rPr>
                <w:color w:val="000000"/>
                <w:sz w:val="20"/>
                <w:szCs w:val="20"/>
              </w:rPr>
              <w:t xml:space="preserve">HOPWA formula and competitive funding has provided statewide housing resources for persons living with HIV/AIDS in Kansas </w:t>
            </w:r>
            <w:r>
              <w:rPr>
                <w:color w:val="000000"/>
                <w:sz w:val="20"/>
                <w:szCs w:val="20"/>
              </w:rPr>
              <w:t xml:space="preserve">and has been an ongoing priority throughout the </w:t>
            </w:r>
            <w:r w:rsidR="00556755">
              <w:rPr>
                <w:color w:val="000000"/>
                <w:sz w:val="20"/>
                <w:szCs w:val="20"/>
              </w:rPr>
              <w:t>state</w:t>
            </w:r>
            <w:r>
              <w:rPr>
                <w:color w:val="000000"/>
                <w:sz w:val="20"/>
                <w:szCs w:val="20"/>
              </w:rPr>
              <w:t xml:space="preserve">. </w:t>
            </w:r>
          </w:p>
        </w:tc>
      </w:tr>
    </w:tbl>
    <w:bookmarkEnd w:id="47"/>
    <w:p w14:paraId="4FB18666" w14:textId="77777777" w:rsidR="007C520D" w:rsidRDefault="007C520D" w:rsidP="007C520D">
      <w:r>
        <w:t>*The “Associated Goals” column refers to the specific CDBG programs listed in SP-45</w:t>
      </w:r>
    </w:p>
    <w:p w14:paraId="687DD563" w14:textId="77777777" w:rsidR="007C520D" w:rsidRDefault="007C520D" w:rsidP="007C520D"/>
    <w:p w14:paraId="3E702B1B" w14:textId="77777777" w:rsidR="007C520D" w:rsidRDefault="007C520D" w:rsidP="007C520D"/>
    <w:p w14:paraId="7032731D" w14:textId="77777777" w:rsidR="007C520D" w:rsidRDefault="007C520D" w:rsidP="007C520D"/>
    <w:p w14:paraId="5A77043D" w14:textId="77777777" w:rsidR="007C520D" w:rsidRDefault="007C520D" w:rsidP="007C520D"/>
    <w:p w14:paraId="22EA76CC" w14:textId="77777777" w:rsidR="007C520D" w:rsidRDefault="007C520D" w:rsidP="007C520D"/>
    <w:p w14:paraId="17DC3366" w14:textId="77777777" w:rsidR="007C520D" w:rsidRDefault="007C520D" w:rsidP="007C520D"/>
    <w:p w14:paraId="75AC87E0" w14:textId="77777777" w:rsidR="007C520D" w:rsidRDefault="007C520D" w:rsidP="007C520D"/>
    <w:p w14:paraId="76E58293" w14:textId="77777777" w:rsidR="007C520D" w:rsidRDefault="007C520D" w:rsidP="007C520D"/>
    <w:p w14:paraId="5DCF3850" w14:textId="77777777" w:rsidR="007C520D" w:rsidRDefault="007C520D" w:rsidP="007C520D"/>
    <w:p w14:paraId="71B03917" w14:textId="77777777" w:rsidR="007C520D" w:rsidRDefault="007C520D" w:rsidP="007C520D"/>
    <w:p w14:paraId="108B1401" w14:textId="77777777" w:rsidR="007C520D" w:rsidRDefault="007C520D" w:rsidP="007C520D"/>
    <w:p w14:paraId="428B2C86" w14:textId="77777777" w:rsidR="007C520D" w:rsidRDefault="007C520D" w:rsidP="007C520D"/>
    <w:p w14:paraId="7037F96D" w14:textId="77777777" w:rsidR="007C520D" w:rsidRDefault="007C520D" w:rsidP="007C520D"/>
    <w:p w14:paraId="2E68C841" w14:textId="77777777" w:rsidR="007C520D" w:rsidRPr="00985A89" w:rsidRDefault="007C520D" w:rsidP="007C520D"/>
    <w:p w14:paraId="04D7309F" w14:textId="77777777" w:rsidR="007C520D" w:rsidRPr="00985A89" w:rsidRDefault="007C520D" w:rsidP="007C520D">
      <w:pPr>
        <w:pStyle w:val="Heading2"/>
        <w:shd w:val="clear" w:color="auto" w:fill="95B3D7" w:themeFill="accent1" w:themeFillTint="99"/>
        <w:rPr>
          <w:rFonts w:ascii="Calibri" w:hAnsi="Calibri"/>
          <w:i w:val="0"/>
        </w:rPr>
      </w:pPr>
      <w:bookmarkStart w:id="48" w:name="_Toc524603032"/>
      <w:r>
        <w:rPr>
          <w:rFonts w:ascii="Calibri" w:hAnsi="Calibri"/>
          <w:i w:val="0"/>
        </w:rPr>
        <w:t>SP-30 Influence of Market Conditions – 91.315(b)</w:t>
      </w:r>
      <w:bookmarkEnd w:id="48"/>
    </w:p>
    <w:p w14:paraId="4E70F06B" w14:textId="77777777" w:rsidR="007C520D" w:rsidRDefault="007C520D" w:rsidP="007C520D">
      <w:pPr>
        <w:keepNext/>
        <w:widowControl w:val="0"/>
        <w:rPr>
          <w:b/>
          <w:sz w:val="24"/>
          <w:szCs w:val="24"/>
        </w:rPr>
      </w:pPr>
      <w:r>
        <w:rPr>
          <w:b/>
          <w:sz w:val="24"/>
          <w:szCs w:val="24"/>
        </w:rPr>
        <w:t>Influence of Market Conditions</w:t>
      </w:r>
    </w:p>
    <w:p w14:paraId="5DC41C99" w14:textId="77777777" w:rsidR="007C520D" w:rsidRDefault="007C520D" w:rsidP="007C520D">
      <w:pPr>
        <w:keepNext/>
        <w:widowControl w:val="0"/>
        <w:spacing w:line="240" w:lineRule="auto"/>
        <w:contextualSpacing/>
        <w:rPr>
          <w:b/>
          <w:sz w:val="24"/>
          <w:szCs w:val="24"/>
        </w:rPr>
      </w:pPr>
      <w:r>
        <w:rPr>
          <w:b/>
          <w:sz w:val="24"/>
          <w:szCs w:val="24"/>
        </w:rPr>
        <w:t>Table 2 – Influence of Market Conditions</w:t>
      </w:r>
    </w:p>
    <w:tbl>
      <w:tblPr>
        <w:tblStyle w:val="GridTable4-Accent1"/>
        <w:tblW w:w="0" w:type="auto"/>
        <w:tblLook w:val="0420" w:firstRow="1" w:lastRow="0" w:firstColumn="0" w:lastColumn="0" w:noHBand="0" w:noVBand="1"/>
      </w:tblPr>
      <w:tblGrid>
        <w:gridCol w:w="1903"/>
        <w:gridCol w:w="7447"/>
      </w:tblGrid>
      <w:tr w:rsidR="007C520D" w14:paraId="00FB23ED" w14:textId="77777777" w:rsidTr="007C520D">
        <w:trPr>
          <w:cnfStyle w:val="100000000000" w:firstRow="1" w:lastRow="0" w:firstColumn="0" w:lastColumn="0" w:oddVBand="0" w:evenVBand="0" w:oddHBand="0" w:evenHBand="0" w:firstRowFirstColumn="0" w:firstRowLastColumn="0" w:lastRowFirstColumn="0" w:lastRowLastColumn="0"/>
        </w:trPr>
        <w:tc>
          <w:tcPr>
            <w:tcW w:w="0" w:type="auto"/>
          </w:tcPr>
          <w:p w14:paraId="478A10B8" w14:textId="77777777" w:rsidR="007C520D" w:rsidRDefault="007C520D" w:rsidP="007C520D">
            <w:pPr>
              <w:keepNext/>
              <w:widowControl w:val="0"/>
              <w:spacing w:after="0" w:line="240" w:lineRule="auto"/>
              <w:contextualSpacing/>
              <w:jc w:val="center"/>
              <w:rPr>
                <w:b w:val="0"/>
                <w:sz w:val="24"/>
                <w:szCs w:val="24"/>
              </w:rPr>
            </w:pPr>
            <w:r>
              <w:t>Affordable Housing Type</w:t>
            </w:r>
          </w:p>
        </w:tc>
        <w:tc>
          <w:tcPr>
            <w:tcW w:w="0" w:type="auto"/>
          </w:tcPr>
          <w:p w14:paraId="16B03558" w14:textId="77777777" w:rsidR="007C520D" w:rsidRDefault="007C520D" w:rsidP="007C520D">
            <w:pPr>
              <w:keepNext/>
              <w:widowControl w:val="0"/>
              <w:spacing w:after="0" w:line="240" w:lineRule="auto"/>
              <w:contextualSpacing/>
              <w:jc w:val="center"/>
              <w:rPr>
                <w:b w:val="0"/>
                <w:sz w:val="24"/>
                <w:szCs w:val="24"/>
              </w:rPr>
            </w:pPr>
            <w:r>
              <w:t xml:space="preserve">Market Characteristics that will influence </w:t>
            </w:r>
            <w:r>
              <w:br/>
              <w:t>the use of funds available for housing type</w:t>
            </w:r>
          </w:p>
        </w:tc>
      </w:tr>
      <w:tr w:rsidR="007C520D" w14:paraId="5914F628" w14:textId="77777777" w:rsidTr="007C520D">
        <w:trPr>
          <w:cnfStyle w:val="000000100000" w:firstRow="0" w:lastRow="0" w:firstColumn="0" w:lastColumn="0" w:oddVBand="0" w:evenVBand="0" w:oddHBand="1" w:evenHBand="0" w:firstRowFirstColumn="0" w:firstRowLastColumn="0" w:lastRowFirstColumn="0" w:lastRowLastColumn="0"/>
        </w:trPr>
        <w:tc>
          <w:tcPr>
            <w:tcW w:w="0" w:type="auto"/>
          </w:tcPr>
          <w:p w14:paraId="3D9DDBFE" w14:textId="77777777" w:rsidR="007C520D" w:rsidRDefault="007C520D" w:rsidP="007C520D">
            <w:pPr>
              <w:keepNext/>
              <w:widowControl w:val="0"/>
              <w:spacing w:after="0" w:line="240" w:lineRule="auto"/>
              <w:rPr>
                <w:szCs w:val="24"/>
              </w:rPr>
            </w:pPr>
            <w:r>
              <w:t>Tenant Based Rental Assistance (TBRA)</w:t>
            </w:r>
          </w:p>
        </w:tc>
        <w:tc>
          <w:tcPr>
            <w:tcW w:w="0" w:type="auto"/>
          </w:tcPr>
          <w:p w14:paraId="6C0D6F25" w14:textId="583858B9" w:rsidR="007C520D" w:rsidRPr="00E02635" w:rsidRDefault="007C520D" w:rsidP="007C520D">
            <w:pPr>
              <w:spacing w:beforeAutospacing="1" w:afterAutospacing="1"/>
              <w:rPr>
                <w:sz w:val="20"/>
                <w:szCs w:val="20"/>
              </w:rPr>
            </w:pPr>
            <w:r w:rsidRPr="00E02635">
              <w:rPr>
                <w:sz w:val="20"/>
                <w:szCs w:val="20"/>
              </w:rPr>
              <w:t xml:space="preserve">Preservation of affordable housing will be most important to the Kansas City Metro Area which has the highest market rental rates in the </w:t>
            </w:r>
            <w:r w:rsidR="00556755">
              <w:rPr>
                <w:sz w:val="20"/>
                <w:szCs w:val="20"/>
              </w:rPr>
              <w:t>state</w:t>
            </w:r>
            <w:r w:rsidRPr="00E02635">
              <w:rPr>
                <w:sz w:val="20"/>
                <w:szCs w:val="20"/>
              </w:rPr>
              <w:t xml:space="preserve"> and HOME rents/ FMRs more or less equal to the median rental rates in the area. Preservation of affordable housing will also be very important in the Northeast and South Central regions which have the second and third highest market rental rates by region in the </w:t>
            </w:r>
            <w:r w:rsidR="00556755">
              <w:rPr>
                <w:sz w:val="20"/>
                <w:szCs w:val="20"/>
              </w:rPr>
              <w:t>state</w:t>
            </w:r>
            <w:r w:rsidRPr="00E02635">
              <w:rPr>
                <w:sz w:val="20"/>
                <w:szCs w:val="20"/>
              </w:rPr>
              <w:t xml:space="preserve">. </w:t>
            </w:r>
          </w:p>
          <w:p w14:paraId="5A6DDBDF" w14:textId="77777777" w:rsidR="007C520D" w:rsidRDefault="007C520D" w:rsidP="007C520D">
            <w:pPr>
              <w:spacing w:beforeAutospacing="1" w:afterAutospacing="1"/>
              <w:rPr>
                <w:color w:val="000000"/>
                <w:sz w:val="20"/>
                <w:szCs w:val="20"/>
              </w:rPr>
            </w:pPr>
            <w:r>
              <w:rPr>
                <w:color w:val="000000"/>
                <w:sz w:val="20"/>
                <w:szCs w:val="20"/>
              </w:rPr>
              <w:t xml:space="preserve">Although in general, nation-wide at 37th, Kansas has a relatively affordable rental housing stock, but regional and urban vs. rural variability can be problematic.  According to the National Low Income Housing Coalition’s (NLIHC) annual report “Out of Reach” for 2017, the income needed to afford a 2-BR unit in Kansas is $15.59, but the average renter’s wage is $13.21 (using a $811/mo. 2-BR Fair Market Rent (FMR)). It should also be noted that the state-wide FMR in 2014 was $712. These figures are on a state-wide basis, but some regions have a more acute affordability issue. </w:t>
            </w:r>
          </w:p>
          <w:p w14:paraId="4398D68C" w14:textId="77777777" w:rsidR="007C520D" w:rsidRDefault="007C520D" w:rsidP="007C520D">
            <w:pPr>
              <w:spacing w:beforeAutospacing="1" w:afterAutospacing="1"/>
              <w:rPr>
                <w:color w:val="000000"/>
                <w:sz w:val="20"/>
                <w:szCs w:val="20"/>
              </w:rPr>
            </w:pPr>
            <w:r>
              <w:rPr>
                <w:color w:val="000000"/>
                <w:sz w:val="20"/>
                <w:szCs w:val="20"/>
              </w:rPr>
              <w:t>For example, a 2-BR unit FMR in rural western counties such as Gove and Kearney is $681, but a 2-BR unit in Wichita is $764, and Lawrence is $845.  Only 63 miles from Kansas City (FMR $946), the 2-BR FMR in Topeka is $746</w:t>
            </w:r>
          </w:p>
          <w:p w14:paraId="596B9F36" w14:textId="77777777" w:rsidR="007C520D" w:rsidRPr="00953096" w:rsidRDefault="007C520D" w:rsidP="007C520D">
            <w:pPr>
              <w:spacing w:beforeAutospacing="1" w:afterAutospacing="1"/>
              <w:rPr>
                <w:sz w:val="20"/>
                <w:szCs w:val="20"/>
              </w:rPr>
            </w:pPr>
            <w:r w:rsidRPr="00953096">
              <w:rPr>
                <w:color w:val="000000"/>
                <w:sz w:val="20"/>
                <w:szCs w:val="20"/>
              </w:rPr>
              <w:t>The State has established criteria for funding an activity based on project need related to special populations addressed in the application, such as the homeless, involuntarily displaced, etc. Points are awarded for th</w:t>
            </w:r>
            <w:r>
              <w:rPr>
                <w:color w:val="000000"/>
                <w:sz w:val="20"/>
                <w:szCs w:val="20"/>
              </w:rPr>
              <w:t xml:space="preserve">ose paying more than 30% </w:t>
            </w:r>
            <w:r w:rsidRPr="00953096">
              <w:rPr>
                <w:color w:val="000000"/>
                <w:sz w:val="20"/>
                <w:szCs w:val="20"/>
              </w:rPr>
              <w:t>o</w:t>
            </w:r>
            <w:r>
              <w:rPr>
                <w:color w:val="000000"/>
                <w:sz w:val="20"/>
                <w:szCs w:val="20"/>
              </w:rPr>
              <w:t xml:space="preserve">f income for rent, more than 50% </w:t>
            </w:r>
            <w:r w:rsidRPr="00953096">
              <w:rPr>
                <w:color w:val="000000"/>
                <w:sz w:val="20"/>
                <w:szCs w:val="20"/>
              </w:rPr>
              <w:t>of income for rent, the number of homeless persons identified in the application, the number of identified single parent households, poverty levels to be targeted, length of the agency’s waiting list, special population needs, and overall community need.</w:t>
            </w:r>
          </w:p>
          <w:p w14:paraId="10C7B91B" w14:textId="031B2550" w:rsidR="007C520D" w:rsidRDefault="007C520D" w:rsidP="007C520D">
            <w:pPr>
              <w:keepNext/>
              <w:widowControl w:val="0"/>
              <w:spacing w:after="0" w:line="240" w:lineRule="auto"/>
            </w:pPr>
            <w:r w:rsidRPr="00953096">
              <w:rPr>
                <w:color w:val="000000"/>
                <w:sz w:val="20"/>
                <w:szCs w:val="20"/>
              </w:rPr>
              <w:t xml:space="preserve">Program funds are made available for TBRA activities to local housing authorities and other non-profit organizations throughout the </w:t>
            </w:r>
            <w:r w:rsidR="00556755">
              <w:rPr>
                <w:color w:val="000000"/>
                <w:sz w:val="20"/>
                <w:szCs w:val="20"/>
              </w:rPr>
              <w:t>state</w:t>
            </w:r>
            <w:r w:rsidRPr="00953096">
              <w:rPr>
                <w:color w:val="000000"/>
                <w:sz w:val="20"/>
                <w:szCs w:val="20"/>
              </w:rPr>
              <w:t>.</w:t>
            </w:r>
          </w:p>
        </w:tc>
      </w:tr>
      <w:tr w:rsidR="007C520D" w14:paraId="090DDE19" w14:textId="77777777" w:rsidTr="007C520D">
        <w:tc>
          <w:tcPr>
            <w:tcW w:w="0" w:type="auto"/>
          </w:tcPr>
          <w:p w14:paraId="143442F6" w14:textId="77777777" w:rsidR="007C520D" w:rsidRDefault="007C520D" w:rsidP="007C520D">
            <w:pPr>
              <w:keepNext/>
              <w:widowControl w:val="0"/>
              <w:spacing w:after="0" w:line="240" w:lineRule="auto"/>
            </w:pPr>
            <w:r>
              <w:t>TBRA for Non-Homeless Special Needs</w:t>
            </w:r>
          </w:p>
        </w:tc>
        <w:tc>
          <w:tcPr>
            <w:tcW w:w="0" w:type="auto"/>
          </w:tcPr>
          <w:p w14:paraId="33F99675" w14:textId="77777777" w:rsidR="007C520D" w:rsidRDefault="007C520D" w:rsidP="007C520D">
            <w:pPr>
              <w:keepNext/>
              <w:widowControl w:val="0"/>
              <w:spacing w:after="0" w:line="240" w:lineRule="auto"/>
            </w:pPr>
            <w:r>
              <w:rPr>
                <w:color w:val="000000"/>
                <w:sz w:val="20"/>
                <w:szCs w:val="20"/>
              </w:rPr>
              <w:t>TBRA also serves non-homeless special needs, including the elderly and the disabled.</w:t>
            </w:r>
          </w:p>
        </w:tc>
      </w:tr>
      <w:tr w:rsidR="007C520D" w14:paraId="360FD92C" w14:textId="77777777" w:rsidTr="007C520D">
        <w:trPr>
          <w:cnfStyle w:val="000000100000" w:firstRow="0" w:lastRow="0" w:firstColumn="0" w:lastColumn="0" w:oddVBand="0" w:evenVBand="0" w:oddHBand="1" w:evenHBand="0" w:firstRowFirstColumn="0" w:firstRowLastColumn="0" w:lastRowFirstColumn="0" w:lastRowLastColumn="0"/>
        </w:trPr>
        <w:tc>
          <w:tcPr>
            <w:tcW w:w="0" w:type="auto"/>
          </w:tcPr>
          <w:p w14:paraId="740E2584" w14:textId="77777777" w:rsidR="007C520D" w:rsidRDefault="007C520D" w:rsidP="007C520D">
            <w:pPr>
              <w:keepNext/>
              <w:widowControl w:val="0"/>
              <w:spacing w:after="0" w:line="240" w:lineRule="auto"/>
              <w:rPr>
                <w:szCs w:val="24"/>
              </w:rPr>
            </w:pPr>
            <w:r>
              <w:t>New Unit Production</w:t>
            </w:r>
          </w:p>
        </w:tc>
        <w:tc>
          <w:tcPr>
            <w:tcW w:w="0" w:type="auto"/>
          </w:tcPr>
          <w:p w14:paraId="5DC2413F" w14:textId="77777777" w:rsidR="007C520D" w:rsidRDefault="007C520D" w:rsidP="007C520D">
            <w:pPr>
              <w:spacing w:beforeAutospacing="1" w:afterAutospacing="1"/>
              <w:rPr>
                <w:color w:val="000000"/>
                <w:sz w:val="20"/>
                <w:szCs w:val="20"/>
              </w:rPr>
            </w:pPr>
            <w:r>
              <w:rPr>
                <w:color w:val="000000"/>
                <w:sz w:val="20"/>
                <w:szCs w:val="20"/>
              </w:rPr>
              <w:t>Simply put, the production of new rental units is the most effective method to address the state-wide shortage of affordable units defined earlier in this Consolidated Plan. The issue is particularly problematic in the Northeast, (the Kansas City MSA), and the Lawrence MSA.</w:t>
            </w:r>
          </w:p>
          <w:p w14:paraId="004DF751" w14:textId="77777777" w:rsidR="007C520D" w:rsidRPr="00953096" w:rsidRDefault="007C520D" w:rsidP="007C520D">
            <w:pPr>
              <w:spacing w:beforeAutospacing="1" w:afterAutospacing="1"/>
              <w:rPr>
                <w:sz w:val="20"/>
                <w:szCs w:val="20"/>
              </w:rPr>
            </w:pPr>
            <w:r w:rsidRPr="00953096">
              <w:rPr>
                <w:color w:val="000000"/>
                <w:sz w:val="20"/>
                <w:szCs w:val="20"/>
              </w:rPr>
              <w:t>Through partnership with non-profit housing organizations, funding will support the objective of the HOME</w:t>
            </w:r>
            <w:r>
              <w:rPr>
                <w:color w:val="000000"/>
                <w:sz w:val="20"/>
                <w:szCs w:val="20"/>
              </w:rPr>
              <w:t xml:space="preserve"> and HTF</w:t>
            </w:r>
            <w:r w:rsidRPr="00953096">
              <w:rPr>
                <w:color w:val="000000"/>
                <w:sz w:val="20"/>
                <w:szCs w:val="20"/>
              </w:rPr>
              <w:t xml:space="preserve"> program</w:t>
            </w:r>
            <w:r>
              <w:rPr>
                <w:color w:val="000000"/>
                <w:sz w:val="20"/>
                <w:szCs w:val="20"/>
              </w:rPr>
              <w:t>s</w:t>
            </w:r>
            <w:r w:rsidRPr="00953096">
              <w:rPr>
                <w:color w:val="000000"/>
                <w:sz w:val="20"/>
                <w:szCs w:val="20"/>
              </w:rPr>
              <w:t xml:space="preserve">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w:t>
            </w:r>
            <w:r>
              <w:rPr>
                <w:color w:val="000000"/>
                <w:sz w:val="20"/>
                <w:szCs w:val="20"/>
              </w:rPr>
              <w:t xml:space="preserve"> Development utilizing HOME funds requires the participation of a Community Housing Development Organization (CHDO), while development utilizing HTF funds does not have such a requirement. </w:t>
            </w:r>
          </w:p>
          <w:p w14:paraId="4A158158" w14:textId="77777777" w:rsidR="007C520D" w:rsidRDefault="007C520D" w:rsidP="007C520D">
            <w:pPr>
              <w:keepNext/>
              <w:widowControl w:val="0"/>
              <w:spacing w:after="0" w:line="240" w:lineRule="auto"/>
            </w:pPr>
            <w:r w:rsidRPr="00953096">
              <w:rPr>
                <w:color w:val="000000"/>
                <w:sz w:val="20"/>
                <w:szCs w:val="20"/>
              </w:rPr>
              <w:t xml:space="preserve">Eligible activities under the HOME Rental Development Program (HOME Rental) </w:t>
            </w:r>
            <w:r>
              <w:rPr>
                <w:color w:val="000000"/>
                <w:sz w:val="20"/>
                <w:szCs w:val="20"/>
              </w:rPr>
              <w:t xml:space="preserve">and the HTF </w:t>
            </w:r>
            <w:r w:rsidRPr="00953096">
              <w:rPr>
                <w:color w:val="000000"/>
                <w:sz w:val="20"/>
                <w:szCs w:val="20"/>
              </w:rPr>
              <w:t>will be acquisition and rehabilitation of existing rental housing, rehabilitation of existing rental housing, and new construction of rental housing. </w:t>
            </w:r>
          </w:p>
        </w:tc>
      </w:tr>
      <w:tr w:rsidR="007C520D" w14:paraId="1DF9DBC0" w14:textId="77777777" w:rsidTr="007C520D">
        <w:tc>
          <w:tcPr>
            <w:tcW w:w="0" w:type="auto"/>
          </w:tcPr>
          <w:p w14:paraId="190B4ACC" w14:textId="77777777" w:rsidR="007C520D" w:rsidRDefault="007C520D" w:rsidP="007C520D">
            <w:pPr>
              <w:keepNext/>
              <w:widowControl w:val="0"/>
              <w:spacing w:after="0" w:line="240" w:lineRule="auto"/>
            </w:pPr>
            <w:r>
              <w:t>Rehabilitation</w:t>
            </w:r>
          </w:p>
        </w:tc>
        <w:tc>
          <w:tcPr>
            <w:tcW w:w="0" w:type="auto"/>
          </w:tcPr>
          <w:p w14:paraId="61413778" w14:textId="77777777" w:rsidR="007C520D" w:rsidRDefault="007C520D" w:rsidP="007C520D">
            <w:pPr>
              <w:keepNext/>
              <w:widowControl w:val="0"/>
              <w:spacing w:after="0" w:line="240" w:lineRule="auto"/>
            </w:pPr>
            <w:r>
              <w:rPr>
                <w:color w:val="000000"/>
                <w:sz w:val="20"/>
                <w:szCs w:val="20"/>
              </w:rPr>
              <w:t xml:space="preserve">Approximately 65% of all housing units (owner-occupied and rental) in Kansas were constructed prior to 1979. </w:t>
            </w:r>
            <w:r w:rsidRPr="00953096">
              <w:rPr>
                <w:color w:val="000000"/>
                <w:sz w:val="20"/>
                <w:szCs w:val="20"/>
              </w:rPr>
              <w:t xml:space="preserve">CDBG </w:t>
            </w:r>
            <w:r>
              <w:rPr>
                <w:color w:val="000000"/>
                <w:sz w:val="20"/>
                <w:szCs w:val="20"/>
              </w:rPr>
              <w:t>h</w:t>
            </w:r>
            <w:r w:rsidRPr="00953096">
              <w:rPr>
                <w:color w:val="000000"/>
                <w:sz w:val="20"/>
                <w:szCs w:val="20"/>
              </w:rPr>
              <w:t xml:space="preserve">ousing grants are awarded on a competitive basis annually. All CDBG housing rehabilitation grants include both owner-occupied and renter-occupied units. It may include demolition of substandard structures. The maximum grant is $400,000 (or $20,000 per unit). A Housing Assessment Tool (HAT) is required to define the </w:t>
            </w:r>
            <w:r>
              <w:rPr>
                <w:color w:val="000000"/>
                <w:sz w:val="20"/>
                <w:szCs w:val="20"/>
              </w:rPr>
              <w:t xml:space="preserve">housing </w:t>
            </w:r>
            <w:r w:rsidRPr="00953096">
              <w:rPr>
                <w:color w:val="000000"/>
                <w:sz w:val="20"/>
                <w:szCs w:val="20"/>
              </w:rPr>
              <w:t>market characteristics.</w:t>
            </w:r>
          </w:p>
        </w:tc>
      </w:tr>
      <w:tr w:rsidR="007C520D" w14:paraId="08655464" w14:textId="77777777" w:rsidTr="007C520D">
        <w:trPr>
          <w:cnfStyle w:val="000000100000" w:firstRow="0" w:lastRow="0" w:firstColumn="0" w:lastColumn="0" w:oddVBand="0" w:evenVBand="0" w:oddHBand="1" w:evenHBand="0" w:firstRowFirstColumn="0" w:firstRowLastColumn="0" w:lastRowFirstColumn="0" w:lastRowLastColumn="0"/>
        </w:trPr>
        <w:tc>
          <w:tcPr>
            <w:tcW w:w="0" w:type="auto"/>
          </w:tcPr>
          <w:p w14:paraId="15701079" w14:textId="77777777" w:rsidR="007C520D" w:rsidRDefault="007C520D" w:rsidP="007C520D">
            <w:pPr>
              <w:keepNext/>
              <w:widowControl w:val="0"/>
              <w:spacing w:after="0" w:line="240" w:lineRule="auto"/>
              <w:rPr>
                <w:szCs w:val="24"/>
              </w:rPr>
            </w:pPr>
            <w:r>
              <w:t>Acquisition, including preservation</w:t>
            </w:r>
          </w:p>
        </w:tc>
        <w:tc>
          <w:tcPr>
            <w:tcW w:w="0" w:type="auto"/>
          </w:tcPr>
          <w:p w14:paraId="07349C85" w14:textId="77777777" w:rsidR="007C520D" w:rsidRDefault="007C520D" w:rsidP="007C520D">
            <w:pPr>
              <w:keepNext/>
              <w:widowControl w:val="0"/>
              <w:spacing w:after="0" w:line="240" w:lineRule="auto"/>
            </w:pPr>
            <w:r w:rsidRPr="00953096">
              <w:rPr>
                <w:color w:val="000000"/>
                <w:sz w:val="20"/>
                <w:szCs w:val="20"/>
              </w:rPr>
              <w:t>Eligible activities under the HOME Rental Development Program (HOME Rental)</w:t>
            </w:r>
            <w:r>
              <w:rPr>
                <w:color w:val="000000"/>
                <w:sz w:val="20"/>
                <w:szCs w:val="20"/>
              </w:rPr>
              <w:t xml:space="preserve"> and Housing Trust Fund (HTF)</w:t>
            </w:r>
            <w:r w:rsidRPr="00953096">
              <w:rPr>
                <w:color w:val="000000"/>
                <w:sz w:val="20"/>
                <w:szCs w:val="20"/>
              </w:rPr>
              <w:t xml:space="preserve"> include acquisition</w:t>
            </w:r>
            <w:r>
              <w:rPr>
                <w:color w:val="000000"/>
                <w:sz w:val="20"/>
                <w:szCs w:val="20"/>
              </w:rPr>
              <w:t xml:space="preserve"> and preservation of housing. </w:t>
            </w:r>
          </w:p>
        </w:tc>
      </w:tr>
    </w:tbl>
    <w:p w14:paraId="32632B0A" w14:textId="77777777" w:rsidR="007C520D" w:rsidRDefault="007C520D" w:rsidP="007C520D"/>
    <w:p w14:paraId="2176E6A4" w14:textId="77777777" w:rsidR="007C520D" w:rsidRDefault="007C520D" w:rsidP="007C520D">
      <w:pPr>
        <w:spacing w:after="0" w:line="240" w:lineRule="auto"/>
        <w:rPr>
          <w:b/>
        </w:rPr>
      </w:pPr>
    </w:p>
    <w:p w14:paraId="697AEA68" w14:textId="77777777" w:rsidR="007C520D" w:rsidRDefault="007C520D" w:rsidP="007C520D"/>
    <w:p w14:paraId="2B7F86E7" w14:textId="77777777" w:rsidR="007C520D" w:rsidRDefault="007C520D" w:rsidP="007C520D">
      <w:pPr>
        <w:rPr>
          <w:b/>
          <w:i/>
          <w:sz w:val="26"/>
          <w:szCs w:val="26"/>
        </w:rPr>
        <w:sectPr w:rsidR="007C520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pPr>
    </w:p>
    <w:p w14:paraId="56670DB4" w14:textId="77777777" w:rsidR="007C520D" w:rsidRPr="00DF4059" w:rsidRDefault="007C520D" w:rsidP="007C520D">
      <w:pPr>
        <w:pStyle w:val="Heading2"/>
        <w:shd w:val="clear" w:color="auto" w:fill="95B3D7" w:themeFill="accent1" w:themeFillTint="99"/>
        <w:rPr>
          <w:rFonts w:ascii="Calibri" w:hAnsi="Calibri"/>
          <w:i w:val="0"/>
        </w:rPr>
      </w:pPr>
      <w:bookmarkStart w:id="49" w:name="_Toc524603033"/>
      <w:r w:rsidRPr="00DF4059">
        <w:rPr>
          <w:rFonts w:ascii="Calibri" w:hAnsi="Calibri"/>
          <w:i w:val="0"/>
        </w:rPr>
        <w:t>SP-35 Anticipated Resources - 91.315(a)(4), 91.320(c)(1,2)</w:t>
      </w:r>
      <w:bookmarkEnd w:id="49"/>
    </w:p>
    <w:p w14:paraId="4A859EA9" w14:textId="77777777" w:rsidR="007C520D" w:rsidRDefault="007C520D" w:rsidP="007C520D">
      <w:pPr>
        <w:rPr>
          <w:sz w:val="24"/>
          <w:szCs w:val="24"/>
        </w:rPr>
      </w:pPr>
    </w:p>
    <w:p w14:paraId="0324A54C" w14:textId="622C9091" w:rsidR="007C520D" w:rsidRPr="00015DC5" w:rsidRDefault="007C520D" w:rsidP="007C520D">
      <w:pPr>
        <w:rPr>
          <w:sz w:val="24"/>
          <w:szCs w:val="24"/>
        </w:rPr>
      </w:pPr>
      <w:r w:rsidRPr="00015DC5">
        <w:rPr>
          <w:sz w:val="24"/>
          <w:szCs w:val="24"/>
        </w:rPr>
        <w:t xml:space="preserve">The following table displays the anticipated resources to be allocated to non-entitlement areas of Kansas broken down by program type. </w:t>
      </w:r>
      <w:r>
        <w:rPr>
          <w:sz w:val="24"/>
          <w:szCs w:val="24"/>
        </w:rPr>
        <w:t xml:space="preserve">The 2019 HUD allocations were released on </w:t>
      </w:r>
      <w:r w:rsidR="007E3BC4">
        <w:rPr>
          <w:sz w:val="24"/>
          <w:szCs w:val="24"/>
        </w:rPr>
        <w:t>[Fill in Date]</w:t>
      </w:r>
      <w:r>
        <w:rPr>
          <w:sz w:val="24"/>
          <w:szCs w:val="24"/>
        </w:rPr>
        <w:t xml:space="preserve"> and are reflected in the “Annual Allocation” column below. The “Expected Amount Available Remainder of Con Plan” column is a projection of funds to be available for program years 2020-2023. As with previous Consolidated Plans for the State of Kansas, the “Expected Amount Available Remainder of Con Plan” column is generated by multiplying the annual allocation by four, representing years 2-5 of the Consolidated Plan cycle. The relevant years will be adjusted as allocations are made and more precise assumptions can be made on program income. </w:t>
      </w:r>
    </w:p>
    <w:p w14:paraId="2FE5F74D" w14:textId="77777777" w:rsidR="007C520D" w:rsidRDefault="007C520D" w:rsidP="007C520D">
      <w:pPr>
        <w:keepNext/>
        <w:widowControl w:val="0"/>
        <w:rPr>
          <w:b/>
          <w:sz w:val="24"/>
          <w:szCs w:val="24"/>
        </w:rPr>
      </w:pPr>
      <w:r>
        <w:rPr>
          <w:b/>
          <w:sz w:val="24"/>
          <w:szCs w:val="24"/>
        </w:rPr>
        <w:t>Anticipated Resources</w:t>
      </w:r>
    </w:p>
    <w:p w14:paraId="244D22A3" w14:textId="77777777" w:rsidR="007C520D" w:rsidRDefault="007C520D" w:rsidP="007C520D">
      <w:pPr>
        <w:keepNext/>
        <w:widowControl w:val="0"/>
        <w:spacing w:line="240" w:lineRule="auto"/>
        <w:contextualSpacing/>
        <w:rPr>
          <w:b/>
          <w:sz w:val="24"/>
          <w:szCs w:val="24"/>
        </w:rPr>
      </w:pPr>
      <w:r>
        <w:rPr>
          <w:b/>
          <w:sz w:val="24"/>
          <w:szCs w:val="24"/>
        </w:rPr>
        <w:t>Table 3 – Anticipated Resources</w:t>
      </w:r>
    </w:p>
    <w:tbl>
      <w:tblPr>
        <w:tblStyle w:val="GridTable4-Accent1"/>
        <w:tblW w:w="5000" w:type="pct"/>
        <w:tblLook w:val="04A0" w:firstRow="1" w:lastRow="0" w:firstColumn="1" w:lastColumn="0" w:noHBand="0" w:noVBand="1"/>
      </w:tblPr>
      <w:tblGrid>
        <w:gridCol w:w="972"/>
        <w:gridCol w:w="990"/>
        <w:gridCol w:w="2601"/>
        <w:gridCol w:w="1256"/>
        <w:gridCol w:w="986"/>
        <w:gridCol w:w="1115"/>
        <w:gridCol w:w="1224"/>
        <w:gridCol w:w="1339"/>
        <w:gridCol w:w="2467"/>
      </w:tblGrid>
      <w:tr w:rsidR="007C520D" w14:paraId="1928CC79" w14:textId="77777777" w:rsidTr="007C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val="restart"/>
          </w:tcPr>
          <w:p w14:paraId="3E3693A4" w14:textId="77777777" w:rsidR="007C520D" w:rsidRDefault="007C520D" w:rsidP="007C520D">
            <w:pPr>
              <w:keepNext/>
              <w:widowControl w:val="0"/>
              <w:spacing w:after="0" w:line="240" w:lineRule="auto"/>
              <w:contextualSpacing/>
              <w:jc w:val="center"/>
              <w:rPr>
                <w:b w:val="0"/>
                <w:sz w:val="24"/>
                <w:szCs w:val="24"/>
              </w:rPr>
            </w:pPr>
            <w:r>
              <w:rPr>
                <w:sz w:val="20"/>
                <w:szCs w:val="20"/>
              </w:rPr>
              <w:t>Program</w:t>
            </w:r>
          </w:p>
        </w:tc>
        <w:tc>
          <w:tcPr>
            <w:tcW w:w="1000" w:type="dxa"/>
            <w:vMerge w:val="restart"/>
          </w:tcPr>
          <w:p w14:paraId="4ECADEE8"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0"/>
                <w:szCs w:val="20"/>
              </w:rPr>
              <w:t>Source of Funds</w:t>
            </w:r>
          </w:p>
        </w:tc>
        <w:tc>
          <w:tcPr>
            <w:tcW w:w="2700" w:type="dxa"/>
            <w:vMerge w:val="restart"/>
          </w:tcPr>
          <w:p w14:paraId="57D64C70"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0"/>
                <w:szCs w:val="20"/>
              </w:rPr>
              <w:t>Uses of Funds</w:t>
            </w:r>
          </w:p>
        </w:tc>
        <w:tc>
          <w:tcPr>
            <w:tcW w:w="4590" w:type="dxa"/>
            <w:gridSpan w:val="4"/>
          </w:tcPr>
          <w:p w14:paraId="533F3C94"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0"/>
                <w:szCs w:val="20"/>
              </w:rPr>
              <w:t>Expected Amount Available Year 1</w:t>
            </w:r>
          </w:p>
        </w:tc>
        <w:tc>
          <w:tcPr>
            <w:tcW w:w="1350" w:type="dxa"/>
            <w:vMerge w:val="restart"/>
          </w:tcPr>
          <w:p w14:paraId="3C03D614" w14:textId="5505708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Expected Amount Available Rem</w:t>
            </w:r>
            <w:r w:rsidR="00527C2E">
              <w:rPr>
                <w:sz w:val="20"/>
                <w:szCs w:val="20"/>
              </w:rPr>
              <w:t>a</w:t>
            </w:r>
            <w:r>
              <w:rPr>
                <w:sz w:val="20"/>
                <w:szCs w:val="20"/>
              </w:rPr>
              <w:t xml:space="preserve">inder of ConPlan </w:t>
            </w:r>
          </w:p>
          <w:p w14:paraId="7A388EB6"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0"/>
                <w:szCs w:val="20"/>
              </w:rPr>
              <w:t>$</w:t>
            </w:r>
          </w:p>
        </w:tc>
        <w:tc>
          <w:tcPr>
            <w:tcW w:w="2563" w:type="dxa"/>
            <w:vMerge w:val="restart"/>
          </w:tcPr>
          <w:p w14:paraId="66C7C6F7"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0"/>
                <w:szCs w:val="20"/>
              </w:rPr>
              <w:t>Narrative Description</w:t>
            </w:r>
          </w:p>
        </w:tc>
      </w:tr>
      <w:tr w:rsidR="007C520D" w14:paraId="3700342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vMerge/>
          </w:tcPr>
          <w:p w14:paraId="4D38F029" w14:textId="77777777" w:rsidR="007C520D" w:rsidRDefault="007C520D" w:rsidP="007C520D">
            <w:pPr>
              <w:keepNext/>
              <w:widowControl w:val="0"/>
              <w:spacing w:after="0" w:line="240" w:lineRule="auto"/>
              <w:jc w:val="center"/>
              <w:rPr>
                <w:b w:val="0"/>
                <w:sz w:val="24"/>
                <w:szCs w:val="24"/>
              </w:rPr>
            </w:pPr>
          </w:p>
        </w:tc>
        <w:tc>
          <w:tcPr>
            <w:tcW w:w="1000" w:type="dxa"/>
            <w:vMerge/>
          </w:tcPr>
          <w:p w14:paraId="1C622332"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700" w:type="dxa"/>
            <w:vMerge/>
          </w:tcPr>
          <w:p w14:paraId="7BED07E2"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260" w:type="dxa"/>
          </w:tcPr>
          <w:p w14:paraId="4F545752"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0"/>
                <w:szCs w:val="20"/>
              </w:rPr>
              <w:t>Annual Allocation: $</w:t>
            </w:r>
          </w:p>
        </w:tc>
        <w:tc>
          <w:tcPr>
            <w:tcW w:w="990" w:type="dxa"/>
          </w:tcPr>
          <w:p w14:paraId="71A6C61E"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0"/>
                <w:szCs w:val="20"/>
              </w:rPr>
              <w:t>Program Income: $</w:t>
            </w:r>
          </w:p>
        </w:tc>
        <w:tc>
          <w:tcPr>
            <w:tcW w:w="1115" w:type="dxa"/>
          </w:tcPr>
          <w:p w14:paraId="260B6B3B"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0"/>
                <w:szCs w:val="20"/>
              </w:rPr>
              <w:t>Prior Year Resources: $</w:t>
            </w:r>
          </w:p>
        </w:tc>
        <w:tc>
          <w:tcPr>
            <w:tcW w:w="1225" w:type="dxa"/>
          </w:tcPr>
          <w:p w14:paraId="1F1D7381"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Total:</w:t>
            </w:r>
          </w:p>
          <w:p w14:paraId="47E4D0C3"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0"/>
                <w:szCs w:val="20"/>
              </w:rPr>
              <w:t>$</w:t>
            </w:r>
          </w:p>
        </w:tc>
        <w:tc>
          <w:tcPr>
            <w:tcW w:w="1350" w:type="dxa"/>
            <w:vMerge/>
          </w:tcPr>
          <w:p w14:paraId="3029ABD2"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563" w:type="dxa"/>
            <w:vMerge/>
          </w:tcPr>
          <w:p w14:paraId="49B16F1B"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7C520D" w14:paraId="3E073C8E" w14:textId="77777777" w:rsidTr="007C520D">
        <w:tc>
          <w:tcPr>
            <w:cnfStyle w:val="001000000000" w:firstRow="0" w:lastRow="0" w:firstColumn="1" w:lastColumn="0" w:oddVBand="0" w:evenVBand="0" w:oddHBand="0" w:evenHBand="0" w:firstRowFirstColumn="0" w:firstRowLastColumn="0" w:lastRowFirstColumn="0" w:lastRowLastColumn="0"/>
            <w:tcW w:w="973" w:type="dxa"/>
          </w:tcPr>
          <w:p w14:paraId="1DDD91BD" w14:textId="77777777" w:rsidR="007C520D" w:rsidRDefault="007C520D" w:rsidP="007C520D">
            <w:pPr>
              <w:keepNext/>
              <w:widowControl w:val="0"/>
              <w:spacing w:after="0" w:line="240" w:lineRule="auto"/>
              <w:rPr>
                <w:b w:val="0"/>
              </w:rPr>
            </w:pPr>
            <w:r>
              <w:t>CDBG</w:t>
            </w:r>
          </w:p>
        </w:tc>
        <w:tc>
          <w:tcPr>
            <w:tcW w:w="1000" w:type="dxa"/>
          </w:tcPr>
          <w:p w14:paraId="582CC3C5" w14:textId="77777777" w:rsidR="007C520D" w:rsidRPr="00A47BC1" w:rsidRDefault="007C520D"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t>Public - Federal</w:t>
            </w:r>
          </w:p>
        </w:tc>
        <w:tc>
          <w:tcPr>
            <w:tcW w:w="2700" w:type="dxa"/>
          </w:tcPr>
          <w:p w14:paraId="485F3AAD" w14:textId="77777777" w:rsidR="007C520D"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
              </w:rPr>
            </w:pPr>
            <w:r>
              <w:rPr>
                <w:color w:val="000000"/>
              </w:rPr>
              <w:t>- Acquisition</w:t>
            </w:r>
            <w:r>
              <w:rPr>
                <w:color w:val="000000"/>
              </w:rPr>
              <w:br/>
              <w:t>- Admin &amp; Planning</w:t>
            </w:r>
            <w:r>
              <w:rPr>
                <w:color w:val="000000"/>
              </w:rPr>
              <w:br/>
              <w:t>- Economic Development</w:t>
            </w:r>
            <w:r>
              <w:rPr>
                <w:color w:val="000000"/>
              </w:rPr>
              <w:br/>
              <w:t>- Housing</w:t>
            </w:r>
            <w:r>
              <w:rPr>
                <w:color w:val="000000"/>
              </w:rPr>
              <w:br/>
              <w:t>- Public Improvements</w:t>
            </w:r>
            <w:r>
              <w:rPr>
                <w:color w:val="000000"/>
              </w:rPr>
              <w:br/>
              <w:t>- Public Services</w:t>
            </w:r>
          </w:p>
        </w:tc>
        <w:tc>
          <w:tcPr>
            <w:tcW w:w="1260" w:type="dxa"/>
          </w:tcPr>
          <w:p w14:paraId="085ADE16" w14:textId="77777777" w:rsidR="007C520D" w:rsidRPr="00985A89"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14,946,612</w:t>
            </w:r>
          </w:p>
        </w:tc>
        <w:tc>
          <w:tcPr>
            <w:tcW w:w="990" w:type="dxa"/>
          </w:tcPr>
          <w:p w14:paraId="2106A04D"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600,000</w:t>
            </w:r>
          </w:p>
        </w:tc>
        <w:tc>
          <w:tcPr>
            <w:tcW w:w="1115" w:type="dxa"/>
          </w:tcPr>
          <w:p w14:paraId="16406731"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1225" w:type="dxa"/>
          </w:tcPr>
          <w:p w14:paraId="3FC385A3"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15,546,612</w:t>
            </w:r>
          </w:p>
        </w:tc>
        <w:tc>
          <w:tcPr>
            <w:tcW w:w="1350" w:type="dxa"/>
          </w:tcPr>
          <w:p w14:paraId="4AEA98F4"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59,786,448</w:t>
            </w:r>
          </w:p>
        </w:tc>
        <w:tc>
          <w:tcPr>
            <w:tcW w:w="2563" w:type="dxa"/>
          </w:tcPr>
          <w:p w14:paraId="24FAA135"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Kansas requires all CDBG funds to be matched by receiving communities. While not federally required, leveraging CDBG dollars maximizes the benefit to LMI  persons.</w:t>
            </w:r>
          </w:p>
        </w:tc>
      </w:tr>
      <w:tr w:rsidR="007C520D" w14:paraId="186DF99C"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36AAE64F" w14:textId="77777777" w:rsidR="007C520D" w:rsidRDefault="007C520D" w:rsidP="007C520D">
            <w:pPr>
              <w:keepNext/>
              <w:widowControl w:val="0"/>
              <w:spacing w:after="0" w:line="240" w:lineRule="auto"/>
              <w:rPr>
                <w:b w:val="0"/>
              </w:rPr>
            </w:pPr>
            <w:r>
              <w:t>HOME</w:t>
            </w:r>
          </w:p>
        </w:tc>
        <w:tc>
          <w:tcPr>
            <w:tcW w:w="1000" w:type="dxa"/>
          </w:tcPr>
          <w:p w14:paraId="55522C8E"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Public – Federal</w:t>
            </w:r>
          </w:p>
        </w:tc>
        <w:tc>
          <w:tcPr>
            <w:tcW w:w="2700" w:type="dxa"/>
          </w:tcPr>
          <w:p w14:paraId="4C8424D8" w14:textId="77777777" w:rsidR="007C520D"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b/>
              </w:rPr>
            </w:pPr>
            <w:r>
              <w:rPr>
                <w:color w:val="000000"/>
              </w:rPr>
              <w:t>- Homebuyer assistance</w:t>
            </w:r>
            <w:r>
              <w:rPr>
                <w:color w:val="000000"/>
              </w:rPr>
              <w:br/>
              <w:t>- Multifamily rental new    construction</w:t>
            </w:r>
            <w:r>
              <w:rPr>
                <w:color w:val="000000"/>
              </w:rPr>
              <w:br/>
              <w:t>- Multifamily rental rehab</w:t>
            </w:r>
            <w:r>
              <w:rPr>
                <w:color w:val="000000"/>
              </w:rPr>
              <w:br/>
              <w:t>- TBRA</w:t>
            </w:r>
          </w:p>
        </w:tc>
        <w:tc>
          <w:tcPr>
            <w:tcW w:w="1260" w:type="dxa"/>
          </w:tcPr>
          <w:p w14:paraId="04864378" w14:textId="77777777" w:rsidR="007C520D" w:rsidRPr="00985A89"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$6,477,943</w:t>
            </w:r>
          </w:p>
        </w:tc>
        <w:tc>
          <w:tcPr>
            <w:tcW w:w="990" w:type="dxa"/>
          </w:tcPr>
          <w:p w14:paraId="2DD713A2" w14:textId="09EA5959" w:rsidR="007C520D" w:rsidRPr="002D610A" w:rsidRDefault="007846C7"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10</w:t>
            </w:r>
            <w:r w:rsidR="007C520D">
              <w:t>0,000</w:t>
            </w:r>
          </w:p>
        </w:tc>
        <w:tc>
          <w:tcPr>
            <w:tcW w:w="1115" w:type="dxa"/>
          </w:tcPr>
          <w:p w14:paraId="2F18FACE"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1225" w:type="dxa"/>
          </w:tcPr>
          <w:p w14:paraId="6C5A7937" w14:textId="06F9425D"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6,</w:t>
            </w:r>
            <w:r w:rsidR="007846C7">
              <w:t>5</w:t>
            </w:r>
            <w:r>
              <w:t>77,943</w:t>
            </w:r>
          </w:p>
        </w:tc>
        <w:tc>
          <w:tcPr>
            <w:tcW w:w="1350" w:type="dxa"/>
          </w:tcPr>
          <w:p w14:paraId="65E91EA7" w14:textId="67BFA2AA"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2</w:t>
            </w:r>
            <w:r w:rsidR="007846C7">
              <w:t>6</w:t>
            </w:r>
            <w:r>
              <w:t>,</w:t>
            </w:r>
            <w:r w:rsidR="007846C7">
              <w:t>3</w:t>
            </w:r>
            <w:r>
              <w:t>11,772</w:t>
            </w:r>
          </w:p>
        </w:tc>
        <w:tc>
          <w:tcPr>
            <w:tcW w:w="2563" w:type="dxa"/>
          </w:tcPr>
          <w:p w14:paraId="3B49C742"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The First Time Homebuyers Program and the HOME Rental Program both require a local match.</w:t>
            </w:r>
          </w:p>
        </w:tc>
      </w:tr>
      <w:tr w:rsidR="007C520D" w14:paraId="4E2B318F" w14:textId="77777777" w:rsidTr="007C520D">
        <w:tc>
          <w:tcPr>
            <w:cnfStyle w:val="001000000000" w:firstRow="0" w:lastRow="0" w:firstColumn="1" w:lastColumn="0" w:oddVBand="0" w:evenVBand="0" w:oddHBand="0" w:evenHBand="0" w:firstRowFirstColumn="0" w:firstRowLastColumn="0" w:lastRowFirstColumn="0" w:lastRowLastColumn="0"/>
            <w:tcW w:w="973" w:type="dxa"/>
          </w:tcPr>
          <w:p w14:paraId="4E0D85DA" w14:textId="77777777" w:rsidR="007C520D" w:rsidRDefault="007C520D" w:rsidP="007C520D">
            <w:pPr>
              <w:keepNext/>
              <w:widowControl w:val="0"/>
              <w:spacing w:after="0" w:line="240" w:lineRule="auto"/>
              <w:rPr>
                <w:b w:val="0"/>
              </w:rPr>
            </w:pPr>
            <w:r>
              <w:t>HOPWA</w:t>
            </w:r>
          </w:p>
        </w:tc>
        <w:tc>
          <w:tcPr>
            <w:tcW w:w="1000" w:type="dxa"/>
          </w:tcPr>
          <w:p w14:paraId="77D4CE2A" w14:textId="77777777" w:rsidR="007C520D" w:rsidRDefault="007C520D"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t>Public – Federal</w:t>
            </w:r>
          </w:p>
        </w:tc>
        <w:tc>
          <w:tcPr>
            <w:tcW w:w="2700" w:type="dxa"/>
          </w:tcPr>
          <w:p w14:paraId="39F61685" w14:textId="77777777" w:rsidR="007C520D"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b/>
              </w:rPr>
            </w:pPr>
            <w:r>
              <w:rPr>
                <w:color w:val="000000"/>
              </w:rPr>
              <w:t>- Permanent housing placement</w:t>
            </w:r>
            <w:r>
              <w:rPr>
                <w:color w:val="000000"/>
              </w:rPr>
              <w:br/>
              <w:t>- Short term or transitional housing facilities</w:t>
            </w:r>
            <w:r>
              <w:rPr>
                <w:color w:val="000000"/>
              </w:rPr>
              <w:br/>
              <w:t>- STRMU</w:t>
            </w:r>
            <w:r>
              <w:rPr>
                <w:color w:val="000000"/>
              </w:rPr>
              <w:br/>
              <w:t>- Supportive services</w:t>
            </w:r>
            <w:r>
              <w:rPr>
                <w:color w:val="000000"/>
              </w:rPr>
              <w:br/>
              <w:t>- TBRA</w:t>
            </w:r>
          </w:p>
        </w:tc>
        <w:tc>
          <w:tcPr>
            <w:tcW w:w="1260" w:type="dxa"/>
          </w:tcPr>
          <w:p w14:paraId="30CAD07F" w14:textId="77777777" w:rsidR="007C520D" w:rsidRPr="00985A89"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512,927</w:t>
            </w:r>
          </w:p>
        </w:tc>
        <w:tc>
          <w:tcPr>
            <w:tcW w:w="990" w:type="dxa"/>
          </w:tcPr>
          <w:p w14:paraId="6FAD6C5B"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1115" w:type="dxa"/>
          </w:tcPr>
          <w:p w14:paraId="6B22BF30"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1225" w:type="dxa"/>
          </w:tcPr>
          <w:p w14:paraId="2F0D9670"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512,927</w:t>
            </w:r>
          </w:p>
        </w:tc>
        <w:tc>
          <w:tcPr>
            <w:tcW w:w="1350" w:type="dxa"/>
          </w:tcPr>
          <w:p w14:paraId="37512639"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2,051,708</w:t>
            </w:r>
          </w:p>
        </w:tc>
        <w:tc>
          <w:tcPr>
            <w:tcW w:w="2563" w:type="dxa"/>
          </w:tcPr>
          <w:p w14:paraId="3F3422E3"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Kansas HOPWA funds to be matched by receiving communities, especially through paring funding with local non-profits. While not required by HUD, leveraging HOPWA funds maximizes benefits for persons with aids.</w:t>
            </w:r>
          </w:p>
        </w:tc>
      </w:tr>
      <w:tr w:rsidR="007C520D" w14:paraId="1555A957" w14:textId="77777777" w:rsidTr="007C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dxa"/>
          </w:tcPr>
          <w:p w14:paraId="6A1925A5" w14:textId="77777777" w:rsidR="007C520D" w:rsidRDefault="007C520D" w:rsidP="007C520D">
            <w:pPr>
              <w:keepNext/>
              <w:widowControl w:val="0"/>
              <w:spacing w:after="0" w:line="240" w:lineRule="auto"/>
              <w:rPr>
                <w:b w:val="0"/>
              </w:rPr>
            </w:pPr>
            <w:r>
              <w:t>ESG</w:t>
            </w:r>
          </w:p>
        </w:tc>
        <w:tc>
          <w:tcPr>
            <w:tcW w:w="1000" w:type="dxa"/>
          </w:tcPr>
          <w:p w14:paraId="61C61DF4"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t>Public - Federal</w:t>
            </w:r>
          </w:p>
        </w:tc>
        <w:tc>
          <w:tcPr>
            <w:tcW w:w="2700" w:type="dxa"/>
          </w:tcPr>
          <w:p w14:paraId="087812E1" w14:textId="77777777" w:rsidR="007C520D"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b/>
              </w:rPr>
            </w:pPr>
            <w:r>
              <w:rPr>
                <w:color w:val="000000"/>
              </w:rPr>
              <w:t>- Conversion and rehab for transitional housing</w:t>
            </w:r>
            <w:r>
              <w:rPr>
                <w:color w:val="000000"/>
              </w:rPr>
              <w:br/>
              <w:t>- Financial Assistance</w:t>
            </w:r>
            <w:r>
              <w:rPr>
                <w:color w:val="000000"/>
              </w:rPr>
              <w:br/>
              <w:t>- Overnight shelter</w:t>
            </w:r>
            <w:r>
              <w:rPr>
                <w:color w:val="000000"/>
              </w:rPr>
              <w:br/>
              <w:t>- Rapid re-housing (rental assistance)</w:t>
            </w:r>
            <w:r>
              <w:rPr>
                <w:color w:val="000000"/>
              </w:rPr>
              <w:br/>
              <w:t>- Rental Assistance</w:t>
            </w:r>
            <w:r>
              <w:rPr>
                <w:color w:val="000000"/>
              </w:rPr>
              <w:br/>
              <w:t>Services</w:t>
            </w:r>
            <w:r>
              <w:rPr>
                <w:color w:val="000000"/>
              </w:rPr>
              <w:br/>
              <w:t>- Transitional housing</w:t>
            </w:r>
          </w:p>
        </w:tc>
        <w:tc>
          <w:tcPr>
            <w:tcW w:w="1260" w:type="dxa"/>
          </w:tcPr>
          <w:p w14:paraId="0178F12C" w14:textId="77777777" w:rsidR="007C520D" w:rsidRPr="00985A89"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1,500,000</w:t>
            </w:r>
          </w:p>
        </w:tc>
        <w:tc>
          <w:tcPr>
            <w:tcW w:w="990" w:type="dxa"/>
          </w:tcPr>
          <w:p w14:paraId="17C8D7A4"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1115" w:type="dxa"/>
          </w:tcPr>
          <w:p w14:paraId="0F0559F7"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0</w:t>
            </w:r>
          </w:p>
        </w:tc>
        <w:tc>
          <w:tcPr>
            <w:tcW w:w="1225" w:type="dxa"/>
          </w:tcPr>
          <w:p w14:paraId="5B591E3A"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1,500,000</w:t>
            </w:r>
          </w:p>
        </w:tc>
        <w:tc>
          <w:tcPr>
            <w:tcW w:w="1350" w:type="dxa"/>
          </w:tcPr>
          <w:p w14:paraId="04E96FD4"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t>6,000,000</w:t>
            </w:r>
          </w:p>
        </w:tc>
        <w:tc>
          <w:tcPr>
            <w:tcW w:w="2563" w:type="dxa"/>
          </w:tcPr>
          <w:p w14:paraId="0A73BE3C" w14:textId="77777777" w:rsidR="007C520D" w:rsidRPr="002D610A"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Kansas ESG funds must be matched dollar-for-dollar by the local recipient.  KHRC is awarded these funds annually and makes them available to local units of government of non ESG entitlement communities in Kansas.</w:t>
            </w:r>
          </w:p>
        </w:tc>
      </w:tr>
      <w:tr w:rsidR="007C520D" w14:paraId="36911130" w14:textId="77777777" w:rsidTr="007C520D">
        <w:tc>
          <w:tcPr>
            <w:cnfStyle w:val="001000000000" w:firstRow="0" w:lastRow="0" w:firstColumn="1" w:lastColumn="0" w:oddVBand="0" w:evenVBand="0" w:oddHBand="0" w:evenHBand="0" w:firstRowFirstColumn="0" w:firstRowLastColumn="0" w:lastRowFirstColumn="0" w:lastRowLastColumn="0"/>
            <w:tcW w:w="973" w:type="dxa"/>
          </w:tcPr>
          <w:p w14:paraId="124E2229" w14:textId="77777777" w:rsidR="007C520D" w:rsidRDefault="007C520D" w:rsidP="007C520D">
            <w:pPr>
              <w:keepNext/>
              <w:widowControl w:val="0"/>
              <w:spacing w:after="0" w:line="240" w:lineRule="auto"/>
              <w:rPr>
                <w:b w:val="0"/>
              </w:rPr>
            </w:pPr>
            <w:r>
              <w:t>HTF</w:t>
            </w:r>
          </w:p>
        </w:tc>
        <w:tc>
          <w:tcPr>
            <w:tcW w:w="1000" w:type="dxa"/>
          </w:tcPr>
          <w:p w14:paraId="5A81312C" w14:textId="77777777" w:rsidR="007C520D" w:rsidRPr="009C14EC" w:rsidRDefault="007C520D"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t>Public - Federal</w:t>
            </w:r>
          </w:p>
        </w:tc>
        <w:tc>
          <w:tcPr>
            <w:tcW w:w="2700" w:type="dxa"/>
          </w:tcPr>
          <w:p w14:paraId="29483A41" w14:textId="77777777" w:rsidR="007C520D"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Acquisition</w:t>
            </w:r>
            <w:r>
              <w:rPr>
                <w:color w:val="000000"/>
              </w:rPr>
              <w:br/>
              <w:t>- Multifamily rental new construction</w:t>
            </w:r>
            <w:r>
              <w:rPr>
                <w:color w:val="000000"/>
              </w:rPr>
              <w:br/>
              <w:t>- Multifamily rental rehab</w:t>
            </w:r>
          </w:p>
        </w:tc>
        <w:tc>
          <w:tcPr>
            <w:tcW w:w="1260" w:type="dxa"/>
          </w:tcPr>
          <w:p w14:paraId="52EF9E36" w14:textId="77777777" w:rsidR="007C520D"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3,000,000</w:t>
            </w:r>
          </w:p>
        </w:tc>
        <w:tc>
          <w:tcPr>
            <w:tcW w:w="990" w:type="dxa"/>
          </w:tcPr>
          <w:p w14:paraId="4D956C36"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1115" w:type="dxa"/>
          </w:tcPr>
          <w:p w14:paraId="78653159"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0</w:t>
            </w:r>
          </w:p>
        </w:tc>
        <w:tc>
          <w:tcPr>
            <w:tcW w:w="1225" w:type="dxa"/>
          </w:tcPr>
          <w:p w14:paraId="5D232C73" w14:textId="77777777" w:rsidR="007C520D"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3,000,000</w:t>
            </w:r>
          </w:p>
        </w:tc>
        <w:tc>
          <w:tcPr>
            <w:tcW w:w="1350" w:type="dxa"/>
          </w:tcPr>
          <w:p w14:paraId="296D2134"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t>12,000,000</w:t>
            </w:r>
          </w:p>
        </w:tc>
        <w:tc>
          <w:tcPr>
            <w:tcW w:w="2563" w:type="dxa"/>
          </w:tcPr>
          <w:p w14:paraId="5A9F912B" w14:textId="77777777" w:rsidR="007C520D" w:rsidRPr="002D610A" w:rsidRDefault="007C520D" w:rsidP="007C520D">
            <w:pPr>
              <w:keepNext/>
              <w:widowControl w:val="0"/>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The Housing Trust Fund does not require matching funds.</w:t>
            </w:r>
          </w:p>
        </w:tc>
      </w:tr>
    </w:tbl>
    <w:p w14:paraId="764D2DDC" w14:textId="77777777" w:rsidR="007C520D" w:rsidRDefault="007C520D" w:rsidP="007C520D">
      <w:pPr>
        <w:rPr>
          <w:b/>
          <w:sz w:val="24"/>
          <w:szCs w:val="24"/>
        </w:rPr>
      </w:pPr>
    </w:p>
    <w:p w14:paraId="09E53F72" w14:textId="77777777" w:rsidR="007C520D" w:rsidRDefault="007C520D" w:rsidP="007C520D">
      <w:pPr>
        <w:rPr>
          <w:b/>
          <w:sz w:val="24"/>
          <w:szCs w:val="24"/>
        </w:rPr>
      </w:pPr>
      <w:r>
        <w:rPr>
          <w:b/>
          <w:sz w:val="24"/>
          <w:szCs w:val="24"/>
        </w:rPr>
        <w:t>Explain how federal funds will leverage those additional resources (private, state and local funds), including a description of how matching requirements will be satisfied</w:t>
      </w:r>
    </w:p>
    <w:p w14:paraId="3ABFA8E5" w14:textId="77777777" w:rsidR="007C520D" w:rsidRDefault="007C520D" w:rsidP="007C520D">
      <w:pPr>
        <w:spacing w:before="100" w:beforeAutospacing="1" w:after="100" w:afterAutospacing="1"/>
        <w:rPr>
          <w:sz w:val="24"/>
          <w:szCs w:val="24"/>
        </w:rPr>
      </w:pPr>
      <w:r>
        <w:rPr>
          <w:sz w:val="24"/>
          <w:szCs w:val="24"/>
        </w:rPr>
        <w:t xml:space="preserve">The State of Kansas makes every attempt to leverage CDBG, HOME, ESG, and HOPWA funds with additional non-federal funding resources. In the past CDBG funds have typically seen a greater than 50% match on most projects, bringing in other federal dollars, state funds, or local government/private funds. </w:t>
      </w:r>
    </w:p>
    <w:p w14:paraId="65BF20AC" w14:textId="77777777" w:rsidR="007C520D" w:rsidRDefault="007C520D" w:rsidP="007C520D">
      <w:pPr>
        <w:spacing w:before="100" w:beforeAutospacing="1" w:after="100" w:afterAutospacing="1"/>
        <w:rPr>
          <w:sz w:val="24"/>
          <w:szCs w:val="24"/>
        </w:rPr>
      </w:pPr>
      <w:r w:rsidRPr="00D60A7E">
        <w:rPr>
          <w:sz w:val="24"/>
          <w:szCs w:val="24"/>
        </w:rPr>
        <w:t>HOME funds leverage private mortgages, g</w:t>
      </w:r>
      <w:r>
        <w:rPr>
          <w:sz w:val="24"/>
          <w:szCs w:val="24"/>
        </w:rPr>
        <w:t xml:space="preserve">rants, other federal programs, </w:t>
      </w:r>
      <w:r w:rsidRPr="00D60A7E">
        <w:rPr>
          <w:sz w:val="24"/>
          <w:szCs w:val="24"/>
        </w:rPr>
        <w:t>bond financing, and tax credits.  Match for the HOME Program will be met through a combination of cash from non-federal sources, foregone fees, bond financing, and donated land and labor.</w:t>
      </w:r>
    </w:p>
    <w:p w14:paraId="70554B43" w14:textId="77777777" w:rsidR="007C520D" w:rsidRDefault="007C520D" w:rsidP="007C520D">
      <w:pPr>
        <w:autoSpaceDE w:val="0"/>
        <w:autoSpaceDN w:val="0"/>
        <w:adjustRightInd w:val="0"/>
        <w:spacing w:after="0"/>
        <w:rPr>
          <w:sz w:val="24"/>
          <w:szCs w:val="24"/>
        </w:rPr>
      </w:pPr>
      <w:r>
        <w:rPr>
          <w:sz w:val="24"/>
          <w:szCs w:val="24"/>
        </w:rPr>
        <w:t xml:space="preserve">For the Low-Income Housing Tax Credit (LIHTC) program </w:t>
      </w:r>
      <w:r w:rsidRPr="00C36B46">
        <w:rPr>
          <w:sz w:val="24"/>
          <w:szCs w:val="24"/>
        </w:rPr>
        <w:t xml:space="preserve">KHRC will collaborate with cities, counties, and regions of the state to determine high need areas for rental housing. The HOME staff and Low-Income Housing Tax Credit staff works closely together to ensure the most efficient use of rental housing funding. </w:t>
      </w:r>
    </w:p>
    <w:p w14:paraId="13352EF2" w14:textId="77777777" w:rsidR="007C520D" w:rsidRPr="00D60A7E" w:rsidRDefault="007C520D" w:rsidP="007C520D">
      <w:pPr>
        <w:autoSpaceDE w:val="0"/>
        <w:autoSpaceDN w:val="0"/>
        <w:adjustRightInd w:val="0"/>
        <w:spacing w:after="0"/>
        <w:rPr>
          <w:sz w:val="24"/>
          <w:szCs w:val="24"/>
        </w:rPr>
      </w:pPr>
    </w:p>
    <w:p w14:paraId="7A56B913" w14:textId="77777777" w:rsidR="007C520D" w:rsidRPr="00D60A7E" w:rsidRDefault="007C520D" w:rsidP="007C520D">
      <w:pPr>
        <w:autoSpaceDE w:val="0"/>
        <w:autoSpaceDN w:val="0"/>
        <w:adjustRightInd w:val="0"/>
        <w:spacing w:after="0"/>
        <w:rPr>
          <w:sz w:val="24"/>
          <w:szCs w:val="24"/>
        </w:rPr>
      </w:pPr>
      <w:r>
        <w:rPr>
          <w:sz w:val="24"/>
          <w:szCs w:val="24"/>
        </w:rPr>
        <w:t>KCTH uses HOPWA funds to collaborate with Shelter Plus Care, Section 8 Housing, LIEAP, and other food pantry resources. KCTH also closely collaborates with the Kansas STI/HIV Care Program, which has provided Ryan White Part B rebate funding to KCTH in 2017 and 2018.</w:t>
      </w:r>
    </w:p>
    <w:p w14:paraId="6C0712D3" w14:textId="77777777" w:rsidR="007C520D" w:rsidRDefault="007C520D" w:rsidP="007C520D">
      <w:pPr>
        <w:rPr>
          <w:b/>
          <w:sz w:val="24"/>
          <w:szCs w:val="24"/>
        </w:rPr>
      </w:pPr>
    </w:p>
    <w:p w14:paraId="666A0B7B" w14:textId="77777777" w:rsidR="007C520D" w:rsidRDefault="007C520D" w:rsidP="007C520D">
      <w:pPr>
        <w:rPr>
          <w:b/>
          <w:sz w:val="24"/>
          <w:szCs w:val="24"/>
        </w:rPr>
      </w:pPr>
      <w:r>
        <w:rPr>
          <w:b/>
          <w:sz w:val="24"/>
          <w:szCs w:val="24"/>
        </w:rPr>
        <w:t>If appropriate, describe publicly owned land or property located within the state that may be used to address the needs identified in the plan</w:t>
      </w:r>
    </w:p>
    <w:p w14:paraId="0D475E01" w14:textId="77777777" w:rsidR="007C520D" w:rsidRPr="00DA15C9" w:rsidRDefault="007C520D" w:rsidP="007C520D">
      <w:pPr>
        <w:rPr>
          <w:i/>
          <w:sz w:val="26"/>
          <w:szCs w:val="26"/>
        </w:rPr>
        <w:sectPr w:rsidR="007C520D" w:rsidRPr="00DA15C9">
          <w:pgSz w:w="15840" w:h="12240" w:orient="landscape"/>
          <w:pgMar w:top="1440" w:right="1440" w:bottom="1440" w:left="1440" w:header="720" w:footer="720" w:gutter="0"/>
          <w:cols w:space="720"/>
          <w:docGrid w:linePitch="360"/>
        </w:sectPr>
      </w:pPr>
      <w:r>
        <w:rPr>
          <w:sz w:val="24"/>
          <w:szCs w:val="24"/>
        </w:rPr>
        <w:t>Not applicable to State Grantee</w:t>
      </w:r>
    </w:p>
    <w:p w14:paraId="05EE0A8F" w14:textId="77777777" w:rsidR="007C520D" w:rsidRPr="00DF4059" w:rsidRDefault="007C520D" w:rsidP="007C520D">
      <w:pPr>
        <w:pStyle w:val="Heading2"/>
        <w:shd w:val="clear" w:color="auto" w:fill="95B3D7" w:themeFill="accent1" w:themeFillTint="99"/>
        <w:rPr>
          <w:rFonts w:ascii="Calibri" w:hAnsi="Calibri"/>
          <w:i w:val="0"/>
        </w:rPr>
      </w:pPr>
      <w:bookmarkStart w:id="50" w:name="_Toc524603034"/>
      <w:r w:rsidRPr="00DF4059">
        <w:rPr>
          <w:rFonts w:ascii="Calibri" w:hAnsi="Calibri"/>
          <w:i w:val="0"/>
        </w:rPr>
        <w:t>SP-40 Institutional Delivery Structure – 91.315(k)</w:t>
      </w:r>
      <w:bookmarkEnd w:id="50"/>
    </w:p>
    <w:p w14:paraId="1817BA49" w14:textId="77777777" w:rsidR="007C520D" w:rsidRDefault="007C520D" w:rsidP="007C520D">
      <w:pPr>
        <w:rPr>
          <w:rFonts w:cs="Arial"/>
        </w:rPr>
      </w:pPr>
    </w:p>
    <w:p w14:paraId="61524E0C" w14:textId="77777777" w:rsidR="007C520D" w:rsidRDefault="007C520D" w:rsidP="007C520D">
      <w:pPr>
        <w:rPr>
          <w:rFonts w:cs="Arial"/>
        </w:rPr>
      </w:pPr>
      <w:r>
        <w:rPr>
          <w:rFonts w:cs="Arial"/>
        </w:rPr>
        <w:t>Explain the institutional structure through which the jurisdiction will carry out its consolidated plan including private industry, non-profit organizations, and public institutions.</w:t>
      </w:r>
    </w:p>
    <w:p w14:paraId="2D88FFCC" w14:textId="77777777" w:rsidR="007C520D" w:rsidRPr="00D25191" w:rsidRDefault="007C520D" w:rsidP="007C520D">
      <w:pPr>
        <w:spacing w:line="240" w:lineRule="auto"/>
        <w:contextualSpacing/>
        <w:rPr>
          <w:rFonts w:cs="Arial"/>
          <w:b/>
          <w:sz w:val="24"/>
        </w:rPr>
      </w:pPr>
      <w:r w:rsidRPr="00D25191">
        <w:rPr>
          <w:rFonts w:cs="Arial"/>
          <w:b/>
          <w:sz w:val="24"/>
        </w:rPr>
        <w:t>Table 4 – Institutional Delivery Structure</w:t>
      </w:r>
    </w:p>
    <w:tbl>
      <w:tblPr>
        <w:tblStyle w:val="GridTable4-Accent1"/>
        <w:tblW w:w="5000" w:type="pct"/>
        <w:tblLayout w:type="fixed"/>
        <w:tblLook w:val="04A0" w:firstRow="1" w:lastRow="0" w:firstColumn="1" w:lastColumn="0" w:noHBand="0" w:noVBand="1"/>
      </w:tblPr>
      <w:tblGrid>
        <w:gridCol w:w="2215"/>
        <w:gridCol w:w="1671"/>
        <w:gridCol w:w="4038"/>
        <w:gridCol w:w="1426"/>
      </w:tblGrid>
      <w:tr w:rsidR="007C520D" w14:paraId="7D7FD99E" w14:textId="77777777" w:rsidTr="00083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7BC9FBFD" w14:textId="77777777" w:rsidR="007C520D" w:rsidRDefault="007C520D" w:rsidP="007C520D">
            <w:pPr>
              <w:keepNext/>
              <w:widowControl w:val="0"/>
              <w:spacing w:after="0" w:line="240" w:lineRule="auto"/>
              <w:contextualSpacing/>
              <w:jc w:val="center"/>
              <w:rPr>
                <w:rFonts w:cs="Arial"/>
              </w:rPr>
            </w:pPr>
            <w:r>
              <w:t>Responsible Entity</w:t>
            </w:r>
          </w:p>
        </w:tc>
        <w:tc>
          <w:tcPr>
            <w:tcW w:w="1671" w:type="dxa"/>
          </w:tcPr>
          <w:p w14:paraId="0ED512AC"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rPr>
            </w:pPr>
            <w:r>
              <w:t>Responsible Entity Type</w:t>
            </w:r>
          </w:p>
        </w:tc>
        <w:tc>
          <w:tcPr>
            <w:tcW w:w="4038" w:type="dxa"/>
          </w:tcPr>
          <w:p w14:paraId="1F3A0A68"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rPr>
            </w:pPr>
            <w:r>
              <w:t>Role</w:t>
            </w:r>
          </w:p>
        </w:tc>
        <w:tc>
          <w:tcPr>
            <w:tcW w:w="1426" w:type="dxa"/>
          </w:tcPr>
          <w:p w14:paraId="10ADFAEC" w14:textId="77777777" w:rsidR="007C520D" w:rsidRDefault="007C520D" w:rsidP="007C520D">
            <w:pPr>
              <w:keepNext/>
              <w:widowControl w:val="0"/>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Arial"/>
              </w:rPr>
            </w:pPr>
            <w:r>
              <w:t>Geographic Area Served</w:t>
            </w:r>
          </w:p>
        </w:tc>
      </w:tr>
      <w:tr w:rsidR="007C520D" w14:paraId="6BDBB37C" w14:textId="77777777" w:rsidTr="0008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2CCC70D8" w14:textId="77777777" w:rsidR="007C520D" w:rsidRPr="00A93C3E" w:rsidRDefault="007C520D" w:rsidP="007C520D">
            <w:pPr>
              <w:keepNext/>
              <w:widowControl w:val="0"/>
              <w:spacing w:after="0" w:line="240" w:lineRule="auto"/>
              <w:jc w:val="center"/>
              <w:rPr>
                <w:rFonts w:cs="Arial"/>
                <w:b w:val="0"/>
              </w:rPr>
            </w:pPr>
            <w:r w:rsidRPr="00A93C3E">
              <w:rPr>
                <w:b w:val="0"/>
              </w:rPr>
              <w:t>Kansas Housing Resources Corporation (KHRC)</w:t>
            </w:r>
          </w:p>
        </w:tc>
        <w:tc>
          <w:tcPr>
            <w:tcW w:w="1671" w:type="dxa"/>
          </w:tcPr>
          <w:p w14:paraId="3A11DE6B"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t>Governmental</w:t>
            </w:r>
          </w:p>
        </w:tc>
        <w:tc>
          <w:tcPr>
            <w:tcW w:w="4038" w:type="dxa"/>
          </w:tcPr>
          <w:p w14:paraId="5A8E8171" w14:textId="77777777" w:rsidR="007C520D" w:rsidRPr="00A93C3E" w:rsidRDefault="007C520D" w:rsidP="00A121EE">
            <w:pPr>
              <w:pStyle w:val="TableBody"/>
              <w:numPr>
                <w:ilvl w:val="0"/>
                <w:numId w:val="46"/>
              </w:numPr>
              <w:cnfStyle w:val="000000100000" w:firstRow="0" w:lastRow="0" w:firstColumn="0" w:lastColumn="0" w:oddVBand="0" w:evenVBand="0" w:oddHBand="1" w:evenHBand="0" w:firstRowFirstColumn="0" w:firstRowLastColumn="0" w:lastRowFirstColumn="0" w:lastRowLastColumn="0"/>
              <w:rPr>
                <w:sz w:val="22"/>
                <w:szCs w:val="22"/>
              </w:rPr>
            </w:pPr>
            <w:r w:rsidRPr="00A93C3E">
              <w:rPr>
                <w:sz w:val="22"/>
                <w:szCs w:val="22"/>
              </w:rPr>
              <w:t>Conduct quarterly meetings to plan and collaborate statewide housing efforts</w:t>
            </w:r>
          </w:p>
          <w:p w14:paraId="2808AC56" w14:textId="77777777" w:rsidR="007C520D" w:rsidRPr="00A93C3E" w:rsidRDefault="007C520D" w:rsidP="00A121EE">
            <w:pPr>
              <w:pStyle w:val="ListParagraph"/>
              <w:keepNext/>
              <w:widowControl w:val="0"/>
              <w:numPr>
                <w:ilvl w:val="0"/>
                <w:numId w:val="46"/>
              </w:num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A93C3E">
              <w:t>Collaborate with KS Department of Aging and Disability Services and KDHE to support opportunities under 2011 Frank Melville Supportive Housing Act of 2010</w:t>
            </w:r>
          </w:p>
        </w:tc>
        <w:tc>
          <w:tcPr>
            <w:tcW w:w="1426" w:type="dxa"/>
          </w:tcPr>
          <w:p w14:paraId="6FC82260"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t>Statewide</w:t>
            </w:r>
          </w:p>
        </w:tc>
      </w:tr>
      <w:tr w:rsidR="007C520D" w14:paraId="05086412" w14:textId="77777777" w:rsidTr="00083C0D">
        <w:tc>
          <w:tcPr>
            <w:cnfStyle w:val="001000000000" w:firstRow="0" w:lastRow="0" w:firstColumn="1" w:lastColumn="0" w:oddVBand="0" w:evenVBand="0" w:oddHBand="0" w:evenHBand="0" w:firstRowFirstColumn="0" w:firstRowLastColumn="0" w:lastRowFirstColumn="0" w:lastRowLastColumn="0"/>
            <w:tcW w:w="2215" w:type="dxa"/>
          </w:tcPr>
          <w:p w14:paraId="66818A90" w14:textId="77777777" w:rsidR="007C520D" w:rsidRPr="00A93C3E" w:rsidRDefault="007C520D" w:rsidP="007C520D">
            <w:pPr>
              <w:keepNext/>
              <w:widowControl w:val="0"/>
              <w:spacing w:after="0" w:line="240" w:lineRule="auto"/>
              <w:jc w:val="center"/>
              <w:rPr>
                <w:rFonts w:cs="Arial"/>
                <w:b w:val="0"/>
              </w:rPr>
            </w:pPr>
            <w:r w:rsidRPr="00A93C3E">
              <w:rPr>
                <w:b w:val="0"/>
              </w:rPr>
              <w:t>Kansas Department of Health and Environment (KDHE)</w:t>
            </w:r>
          </w:p>
        </w:tc>
        <w:tc>
          <w:tcPr>
            <w:tcW w:w="1671" w:type="dxa"/>
          </w:tcPr>
          <w:p w14:paraId="12ADB385" w14:textId="77777777" w:rsidR="007C520D" w:rsidRDefault="007C520D"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t>Governmental</w:t>
            </w:r>
          </w:p>
        </w:tc>
        <w:tc>
          <w:tcPr>
            <w:tcW w:w="4038" w:type="dxa"/>
          </w:tcPr>
          <w:p w14:paraId="2CCCBCCD" w14:textId="77777777" w:rsidR="007C520D" w:rsidRPr="00A93C3E" w:rsidRDefault="007C520D" w:rsidP="00A121EE">
            <w:pPr>
              <w:pStyle w:val="ListParagraph"/>
              <w:keepNext/>
              <w:widowControl w:val="0"/>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t>Coordinate with entitlement areas on development planning</w:t>
            </w:r>
          </w:p>
        </w:tc>
        <w:tc>
          <w:tcPr>
            <w:tcW w:w="1426" w:type="dxa"/>
          </w:tcPr>
          <w:p w14:paraId="4573C2E3" w14:textId="77777777" w:rsidR="007C520D" w:rsidRDefault="007C520D" w:rsidP="007C52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t>Statewide</w:t>
            </w:r>
          </w:p>
        </w:tc>
      </w:tr>
      <w:tr w:rsidR="007C520D" w14:paraId="07C8DAF0" w14:textId="77777777" w:rsidTr="0008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2DF3C5B4" w14:textId="77777777" w:rsidR="007C520D" w:rsidRPr="00A93C3E" w:rsidRDefault="007C520D" w:rsidP="007C520D">
            <w:pPr>
              <w:keepNext/>
              <w:widowControl w:val="0"/>
              <w:spacing w:after="0" w:line="240" w:lineRule="auto"/>
              <w:jc w:val="center"/>
              <w:rPr>
                <w:rFonts w:cs="Arial"/>
                <w:b w:val="0"/>
              </w:rPr>
            </w:pPr>
            <w:r w:rsidRPr="00A93C3E">
              <w:rPr>
                <w:b w:val="0"/>
              </w:rPr>
              <w:t>Kansas Department of Commerce</w:t>
            </w:r>
          </w:p>
        </w:tc>
        <w:tc>
          <w:tcPr>
            <w:tcW w:w="1671" w:type="dxa"/>
          </w:tcPr>
          <w:p w14:paraId="7BF468F2"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t>Governmental</w:t>
            </w:r>
          </w:p>
        </w:tc>
        <w:tc>
          <w:tcPr>
            <w:tcW w:w="4038" w:type="dxa"/>
          </w:tcPr>
          <w:p w14:paraId="6A6B14F5" w14:textId="77777777" w:rsidR="007C520D" w:rsidRPr="00A93C3E" w:rsidRDefault="007C520D" w:rsidP="00A121EE">
            <w:pPr>
              <w:pStyle w:val="TableBody"/>
              <w:numPr>
                <w:ilvl w:val="0"/>
                <w:numId w:val="47"/>
              </w:numPr>
              <w:cnfStyle w:val="000000100000" w:firstRow="0" w:lastRow="0" w:firstColumn="0" w:lastColumn="0" w:oddVBand="0" w:evenVBand="0" w:oddHBand="1" w:evenHBand="0" w:firstRowFirstColumn="0" w:firstRowLastColumn="0" w:lastRowFirstColumn="0" w:lastRowLastColumn="0"/>
              <w:rPr>
                <w:sz w:val="22"/>
              </w:rPr>
            </w:pPr>
            <w:r w:rsidRPr="00A93C3E">
              <w:rPr>
                <w:sz w:val="22"/>
              </w:rPr>
              <w:t>Coordinate with entitlement areas on development planning</w:t>
            </w:r>
          </w:p>
          <w:p w14:paraId="290FDD63" w14:textId="77777777" w:rsidR="007C520D" w:rsidRPr="00A93C3E" w:rsidRDefault="007C520D" w:rsidP="00A121EE">
            <w:pPr>
              <w:pStyle w:val="TableBody"/>
              <w:numPr>
                <w:ilvl w:val="0"/>
                <w:numId w:val="47"/>
              </w:numPr>
              <w:cnfStyle w:val="000000100000" w:firstRow="0" w:lastRow="0" w:firstColumn="0" w:lastColumn="0" w:oddVBand="0" w:evenVBand="0" w:oddHBand="1" w:evenHBand="0" w:firstRowFirstColumn="0" w:firstRowLastColumn="0" w:lastRowFirstColumn="0" w:lastRowLastColumn="0"/>
              <w:rPr>
                <w:sz w:val="22"/>
              </w:rPr>
            </w:pPr>
            <w:r w:rsidRPr="00A93C3E">
              <w:rPr>
                <w:sz w:val="22"/>
              </w:rPr>
              <w:t>Conduct quarterly meetings to plan and collaborate statewide housing efforts</w:t>
            </w:r>
          </w:p>
          <w:p w14:paraId="60ACE565" w14:textId="77777777" w:rsidR="007C520D" w:rsidRDefault="007C520D" w:rsidP="007C520D">
            <w:pPr>
              <w:keepNext/>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c>
          <w:tcPr>
            <w:tcW w:w="1426" w:type="dxa"/>
          </w:tcPr>
          <w:p w14:paraId="63E94A00" w14:textId="77777777" w:rsidR="007C520D" w:rsidRDefault="007C520D" w:rsidP="007C52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t>Statewide</w:t>
            </w:r>
          </w:p>
        </w:tc>
      </w:tr>
      <w:tr w:rsidR="00083C0D" w14:paraId="6C69FBC2" w14:textId="77777777" w:rsidTr="00083C0D">
        <w:tc>
          <w:tcPr>
            <w:cnfStyle w:val="001000000000" w:firstRow="0" w:lastRow="0" w:firstColumn="1" w:lastColumn="0" w:oddVBand="0" w:evenVBand="0" w:oddHBand="0" w:evenHBand="0" w:firstRowFirstColumn="0" w:firstRowLastColumn="0" w:lastRowFirstColumn="0" w:lastRowLastColumn="0"/>
            <w:tcW w:w="2215" w:type="dxa"/>
          </w:tcPr>
          <w:p w14:paraId="11BE08D7" w14:textId="5AF85F6C" w:rsidR="00083C0D" w:rsidRPr="00083C0D" w:rsidRDefault="00083C0D" w:rsidP="00083C0D">
            <w:pPr>
              <w:keepNext/>
              <w:widowControl w:val="0"/>
              <w:spacing w:after="0" w:line="240" w:lineRule="auto"/>
              <w:jc w:val="center"/>
            </w:pPr>
            <w:r w:rsidRPr="00083C0D">
              <w:t>Kansas Statewide Homeless Coalition</w:t>
            </w:r>
          </w:p>
        </w:tc>
        <w:tc>
          <w:tcPr>
            <w:tcW w:w="1671" w:type="dxa"/>
          </w:tcPr>
          <w:p w14:paraId="4265CA11" w14:textId="08D678F1" w:rsidR="00083C0D" w:rsidRPr="00083C0D" w:rsidRDefault="00083C0D" w:rsidP="00083C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t>Non-</w:t>
            </w:r>
            <w:r w:rsidRPr="00083C0D">
              <w:t>Profit</w:t>
            </w:r>
          </w:p>
        </w:tc>
        <w:tc>
          <w:tcPr>
            <w:tcW w:w="4038" w:type="dxa"/>
          </w:tcPr>
          <w:p w14:paraId="5605BD39" w14:textId="72E3465F" w:rsidR="00083C0D" w:rsidRPr="00083C0D" w:rsidRDefault="00083C0D" w:rsidP="00083C0D">
            <w:pPr>
              <w:pStyle w:val="TableBody"/>
              <w:numPr>
                <w:ilvl w:val="0"/>
                <w:numId w:val="47"/>
              </w:numPr>
              <w:cnfStyle w:val="000000000000" w:firstRow="0" w:lastRow="0" w:firstColumn="0" w:lastColumn="0" w:oddVBand="0" w:evenVBand="0" w:oddHBand="0" w:evenHBand="0" w:firstRowFirstColumn="0" w:firstRowLastColumn="0" w:lastRowFirstColumn="0" w:lastRowLastColumn="0"/>
              <w:rPr>
                <w:sz w:val="22"/>
              </w:rPr>
            </w:pPr>
            <w:r w:rsidRPr="00083C0D">
              <w:rPr>
                <w:sz w:val="22"/>
              </w:rPr>
              <w:t>CoC Lead for the Kansas Balance of State Continuum of Care (CoC) Program.</w:t>
            </w:r>
          </w:p>
        </w:tc>
        <w:tc>
          <w:tcPr>
            <w:tcW w:w="1426" w:type="dxa"/>
          </w:tcPr>
          <w:p w14:paraId="353925C0" w14:textId="140F8D92" w:rsidR="00083C0D" w:rsidRPr="00083C0D" w:rsidRDefault="00083C0D" w:rsidP="00083C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83C0D">
              <w:t>Statewide expect Shawnee, Sedwig, Wyandotte and Johnson Counties</w:t>
            </w:r>
          </w:p>
        </w:tc>
      </w:tr>
      <w:tr w:rsidR="00083C0D" w14:paraId="746FE19C" w14:textId="77777777" w:rsidTr="0008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1E518CE2" w14:textId="33B6D29C" w:rsidR="00083C0D" w:rsidRPr="00083C0D" w:rsidRDefault="00083C0D" w:rsidP="00083C0D">
            <w:pPr>
              <w:keepNext/>
              <w:widowControl w:val="0"/>
              <w:spacing w:after="0" w:line="240" w:lineRule="auto"/>
              <w:jc w:val="center"/>
            </w:pPr>
            <w:r w:rsidRPr="00083C0D">
              <w:t>United Way of the Plains</w:t>
            </w:r>
          </w:p>
        </w:tc>
        <w:tc>
          <w:tcPr>
            <w:tcW w:w="1671" w:type="dxa"/>
          </w:tcPr>
          <w:p w14:paraId="39968BED" w14:textId="4512FC4C" w:rsidR="00083C0D" w:rsidRPr="00083C0D" w:rsidRDefault="00083C0D" w:rsidP="00083C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pPr>
            <w:r>
              <w:t>Non-</w:t>
            </w:r>
            <w:r w:rsidRPr="00083C0D">
              <w:t>Profit</w:t>
            </w:r>
          </w:p>
        </w:tc>
        <w:tc>
          <w:tcPr>
            <w:tcW w:w="4038" w:type="dxa"/>
          </w:tcPr>
          <w:p w14:paraId="5F82C40F" w14:textId="1A467E15" w:rsidR="00083C0D" w:rsidRPr="00083C0D" w:rsidRDefault="00083C0D" w:rsidP="00083C0D">
            <w:pPr>
              <w:pStyle w:val="TableBody"/>
              <w:numPr>
                <w:ilvl w:val="0"/>
                <w:numId w:val="47"/>
              </w:numPr>
              <w:cnfStyle w:val="000000100000" w:firstRow="0" w:lastRow="0" w:firstColumn="0" w:lastColumn="0" w:oddVBand="0" w:evenVBand="0" w:oddHBand="1" w:evenHBand="0" w:firstRowFirstColumn="0" w:firstRowLastColumn="0" w:lastRowFirstColumn="0" w:lastRowLastColumn="0"/>
              <w:rPr>
                <w:sz w:val="22"/>
              </w:rPr>
            </w:pPr>
            <w:r w:rsidRPr="00083C0D">
              <w:rPr>
                <w:sz w:val="22"/>
              </w:rPr>
              <w:t>CoC Lead for the Sedgwick County CoC</w:t>
            </w:r>
          </w:p>
        </w:tc>
        <w:tc>
          <w:tcPr>
            <w:tcW w:w="1426" w:type="dxa"/>
          </w:tcPr>
          <w:p w14:paraId="36A85FCC" w14:textId="1D5FACF8" w:rsidR="00083C0D" w:rsidRPr="00083C0D" w:rsidRDefault="00083C0D" w:rsidP="00083C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83C0D">
              <w:t>Sedgwick County</w:t>
            </w:r>
          </w:p>
        </w:tc>
      </w:tr>
      <w:tr w:rsidR="00083C0D" w14:paraId="782838DA" w14:textId="77777777" w:rsidTr="00083C0D">
        <w:tc>
          <w:tcPr>
            <w:cnfStyle w:val="001000000000" w:firstRow="0" w:lastRow="0" w:firstColumn="1" w:lastColumn="0" w:oddVBand="0" w:evenVBand="0" w:oddHBand="0" w:evenHBand="0" w:firstRowFirstColumn="0" w:firstRowLastColumn="0" w:lastRowFirstColumn="0" w:lastRowLastColumn="0"/>
            <w:tcW w:w="2215" w:type="dxa"/>
          </w:tcPr>
          <w:p w14:paraId="24F892EC" w14:textId="7A7B688D" w:rsidR="00083C0D" w:rsidRPr="00083C0D" w:rsidRDefault="00083C0D" w:rsidP="00083C0D">
            <w:pPr>
              <w:keepNext/>
              <w:widowControl w:val="0"/>
              <w:spacing w:after="0" w:line="240" w:lineRule="auto"/>
              <w:jc w:val="center"/>
            </w:pPr>
            <w:r w:rsidRPr="00083C0D">
              <w:t>United Community Services of Johnson County</w:t>
            </w:r>
          </w:p>
        </w:tc>
        <w:tc>
          <w:tcPr>
            <w:tcW w:w="1671" w:type="dxa"/>
          </w:tcPr>
          <w:p w14:paraId="6F292EEA" w14:textId="45FABFBB" w:rsidR="00083C0D" w:rsidRPr="00083C0D" w:rsidRDefault="00083C0D" w:rsidP="00083C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t>Non-</w:t>
            </w:r>
            <w:r w:rsidRPr="00083C0D">
              <w:t>Profit</w:t>
            </w:r>
          </w:p>
        </w:tc>
        <w:tc>
          <w:tcPr>
            <w:tcW w:w="4038" w:type="dxa"/>
          </w:tcPr>
          <w:p w14:paraId="19F9B647" w14:textId="66BF64C9" w:rsidR="00083C0D" w:rsidRPr="00083C0D" w:rsidRDefault="00083C0D" w:rsidP="00083C0D">
            <w:pPr>
              <w:pStyle w:val="TableBody"/>
              <w:numPr>
                <w:ilvl w:val="0"/>
                <w:numId w:val="47"/>
              </w:numPr>
              <w:cnfStyle w:val="000000000000" w:firstRow="0" w:lastRow="0" w:firstColumn="0" w:lastColumn="0" w:oddVBand="0" w:evenVBand="0" w:oddHBand="0" w:evenHBand="0" w:firstRowFirstColumn="0" w:firstRowLastColumn="0" w:lastRowFirstColumn="0" w:lastRowLastColumn="0"/>
              <w:rPr>
                <w:sz w:val="22"/>
              </w:rPr>
            </w:pPr>
            <w:r w:rsidRPr="00083C0D">
              <w:rPr>
                <w:sz w:val="22"/>
              </w:rPr>
              <w:t>CoC Lead for the Johnson County CoC</w:t>
            </w:r>
          </w:p>
        </w:tc>
        <w:tc>
          <w:tcPr>
            <w:tcW w:w="1426" w:type="dxa"/>
          </w:tcPr>
          <w:p w14:paraId="1BD29198" w14:textId="578A73D2" w:rsidR="00083C0D" w:rsidRPr="00083C0D" w:rsidRDefault="00083C0D" w:rsidP="00083C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83C0D">
              <w:t>Johnson County</w:t>
            </w:r>
          </w:p>
        </w:tc>
      </w:tr>
      <w:tr w:rsidR="00083C0D" w14:paraId="0B719693" w14:textId="77777777" w:rsidTr="0008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Pr>
          <w:p w14:paraId="3A19EBB9" w14:textId="758A2257" w:rsidR="00083C0D" w:rsidRPr="00083C0D" w:rsidRDefault="00083C0D" w:rsidP="00083C0D">
            <w:pPr>
              <w:keepNext/>
              <w:widowControl w:val="0"/>
              <w:spacing w:after="0" w:line="240" w:lineRule="auto"/>
              <w:jc w:val="center"/>
            </w:pPr>
            <w:r w:rsidRPr="00083C0D">
              <w:t>Greater Kansas City Coalition to End  Homelessness</w:t>
            </w:r>
          </w:p>
        </w:tc>
        <w:tc>
          <w:tcPr>
            <w:tcW w:w="1671" w:type="dxa"/>
          </w:tcPr>
          <w:p w14:paraId="0F74DAAC" w14:textId="09DBAE1C" w:rsidR="00083C0D" w:rsidRPr="00083C0D" w:rsidRDefault="00083C0D" w:rsidP="00083C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pPr>
            <w:r>
              <w:t>Non-</w:t>
            </w:r>
            <w:r w:rsidRPr="00083C0D">
              <w:t>Profit</w:t>
            </w:r>
          </w:p>
        </w:tc>
        <w:tc>
          <w:tcPr>
            <w:tcW w:w="4038" w:type="dxa"/>
          </w:tcPr>
          <w:p w14:paraId="10F5B062" w14:textId="74438568" w:rsidR="00083C0D" w:rsidRPr="00083C0D" w:rsidRDefault="00083C0D" w:rsidP="00083C0D">
            <w:pPr>
              <w:pStyle w:val="TableBody"/>
              <w:numPr>
                <w:ilvl w:val="0"/>
                <w:numId w:val="47"/>
              </w:numPr>
              <w:cnfStyle w:val="000000100000" w:firstRow="0" w:lastRow="0" w:firstColumn="0" w:lastColumn="0" w:oddVBand="0" w:evenVBand="0" w:oddHBand="1" w:evenHBand="0" w:firstRowFirstColumn="0" w:firstRowLastColumn="0" w:lastRowFirstColumn="0" w:lastRowLastColumn="0"/>
              <w:rPr>
                <w:sz w:val="22"/>
              </w:rPr>
            </w:pPr>
            <w:r w:rsidRPr="00083C0D">
              <w:rPr>
                <w:sz w:val="22"/>
              </w:rPr>
              <w:t>CoC Lead for the Wyandotte CoC</w:t>
            </w:r>
          </w:p>
        </w:tc>
        <w:tc>
          <w:tcPr>
            <w:tcW w:w="1426" w:type="dxa"/>
          </w:tcPr>
          <w:p w14:paraId="3C7C6669" w14:textId="5D61EA0E" w:rsidR="00083C0D" w:rsidRPr="00083C0D" w:rsidRDefault="00083C0D" w:rsidP="00083C0D">
            <w:pPr>
              <w:keepNext/>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pPr>
            <w:r w:rsidRPr="00083C0D">
              <w:t>Wyandotte</w:t>
            </w:r>
          </w:p>
        </w:tc>
      </w:tr>
      <w:tr w:rsidR="00083C0D" w14:paraId="6C197D36" w14:textId="77777777" w:rsidTr="00083C0D">
        <w:tc>
          <w:tcPr>
            <w:cnfStyle w:val="001000000000" w:firstRow="0" w:lastRow="0" w:firstColumn="1" w:lastColumn="0" w:oddVBand="0" w:evenVBand="0" w:oddHBand="0" w:evenHBand="0" w:firstRowFirstColumn="0" w:firstRowLastColumn="0" w:lastRowFirstColumn="0" w:lastRowLastColumn="0"/>
            <w:tcW w:w="2215" w:type="dxa"/>
          </w:tcPr>
          <w:p w14:paraId="4A489377" w14:textId="28E57D86" w:rsidR="00083C0D" w:rsidRPr="00083C0D" w:rsidRDefault="00083C0D" w:rsidP="00083C0D">
            <w:pPr>
              <w:keepNext/>
              <w:widowControl w:val="0"/>
              <w:spacing w:after="0" w:line="240" w:lineRule="auto"/>
              <w:jc w:val="center"/>
            </w:pPr>
            <w:r w:rsidRPr="00083C0D">
              <w:t>City of Topeka</w:t>
            </w:r>
          </w:p>
        </w:tc>
        <w:tc>
          <w:tcPr>
            <w:tcW w:w="1671" w:type="dxa"/>
          </w:tcPr>
          <w:p w14:paraId="5D4E1D30" w14:textId="070D4FBB" w:rsidR="00083C0D" w:rsidRPr="00083C0D" w:rsidRDefault="00083C0D" w:rsidP="00083C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83C0D">
              <w:t>Governmental</w:t>
            </w:r>
          </w:p>
        </w:tc>
        <w:tc>
          <w:tcPr>
            <w:tcW w:w="4038" w:type="dxa"/>
          </w:tcPr>
          <w:p w14:paraId="18C295ED" w14:textId="24B86871" w:rsidR="00083C0D" w:rsidRPr="00083C0D" w:rsidRDefault="00083C0D" w:rsidP="00083C0D">
            <w:pPr>
              <w:pStyle w:val="TableBody"/>
              <w:numPr>
                <w:ilvl w:val="0"/>
                <w:numId w:val="47"/>
              </w:numPr>
              <w:cnfStyle w:val="000000000000" w:firstRow="0" w:lastRow="0" w:firstColumn="0" w:lastColumn="0" w:oddVBand="0" w:evenVBand="0" w:oddHBand="0" w:evenHBand="0" w:firstRowFirstColumn="0" w:firstRowLastColumn="0" w:lastRowFirstColumn="0" w:lastRowLastColumn="0"/>
              <w:rPr>
                <w:sz w:val="22"/>
              </w:rPr>
            </w:pPr>
            <w:r w:rsidRPr="00083C0D">
              <w:rPr>
                <w:sz w:val="22"/>
              </w:rPr>
              <w:t>CoC Lead for the Shawnee County CoC</w:t>
            </w:r>
          </w:p>
        </w:tc>
        <w:tc>
          <w:tcPr>
            <w:tcW w:w="1426" w:type="dxa"/>
          </w:tcPr>
          <w:p w14:paraId="7BFE769E" w14:textId="518B70AB" w:rsidR="00083C0D" w:rsidRPr="00083C0D" w:rsidRDefault="00083C0D" w:rsidP="00083C0D">
            <w:pPr>
              <w:keepNext/>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83C0D">
              <w:t>Shawnee County</w:t>
            </w:r>
          </w:p>
        </w:tc>
      </w:tr>
    </w:tbl>
    <w:p w14:paraId="3F83E31C" w14:textId="77777777" w:rsidR="007C520D" w:rsidRDefault="007C520D" w:rsidP="007C520D">
      <w:pPr>
        <w:pStyle w:val="Caption"/>
        <w:rPr>
          <w:rFonts w:asciiTheme="minorHAnsi" w:hAnsiTheme="minorHAnsi"/>
        </w:rPr>
      </w:pPr>
    </w:p>
    <w:p w14:paraId="41AC6C4F" w14:textId="77777777" w:rsidR="007C520D" w:rsidRDefault="007C520D" w:rsidP="007C520D">
      <w:pPr>
        <w:rPr>
          <w:b/>
          <w:sz w:val="24"/>
          <w:szCs w:val="24"/>
        </w:rPr>
      </w:pPr>
    </w:p>
    <w:p w14:paraId="0EC3E2F3" w14:textId="77777777" w:rsidR="007C520D" w:rsidRDefault="007C520D" w:rsidP="007C520D">
      <w:pPr>
        <w:rPr>
          <w:b/>
          <w:sz w:val="24"/>
          <w:szCs w:val="24"/>
        </w:rPr>
      </w:pPr>
      <w:r>
        <w:rPr>
          <w:b/>
          <w:sz w:val="24"/>
          <w:szCs w:val="24"/>
        </w:rPr>
        <w:t>Assess of Strengths and Gaps in the Institutional Delivery System</w:t>
      </w:r>
    </w:p>
    <w:p w14:paraId="0BE64C5D" w14:textId="77777777" w:rsidR="007C520D" w:rsidRPr="00186CA6" w:rsidRDefault="007C520D" w:rsidP="007C520D">
      <w:pPr>
        <w:rPr>
          <w:rFonts w:asciiTheme="minorHAnsi" w:hAnsiTheme="minorHAnsi" w:cs="Arial"/>
          <w:sz w:val="24"/>
          <w:szCs w:val="24"/>
        </w:rPr>
      </w:pPr>
      <w:r w:rsidRPr="00186CA6">
        <w:rPr>
          <w:rFonts w:asciiTheme="minorHAnsi" w:hAnsiTheme="minorHAnsi" w:cs="Arial"/>
          <w:sz w:val="24"/>
          <w:szCs w:val="24"/>
        </w:rPr>
        <w:t>The Kansas Department of Commerce</w:t>
      </w:r>
      <w:r>
        <w:rPr>
          <w:rFonts w:asciiTheme="minorHAnsi" w:hAnsiTheme="minorHAnsi" w:cs="Arial"/>
          <w:sz w:val="24"/>
          <w:szCs w:val="24"/>
        </w:rPr>
        <w:t xml:space="preserve"> (Commerce)</w:t>
      </w:r>
      <w:r w:rsidRPr="00186CA6">
        <w:rPr>
          <w:rFonts w:asciiTheme="minorHAnsi" w:hAnsiTheme="minorHAnsi" w:cs="Arial"/>
          <w:sz w:val="24"/>
          <w:szCs w:val="24"/>
        </w:rPr>
        <w:t>, Kansas Housing Resources Corporation (KHRC), and Kansas Department of Health and Environment (KDHE) will manage the service delivery of the State's federally funded community development and housing programs. With limited exceptions, the State's investment plans and development</w:t>
      </w:r>
      <w:r>
        <w:rPr>
          <w:rFonts w:asciiTheme="minorHAnsi" w:hAnsiTheme="minorHAnsi" w:cs="Arial"/>
          <w:sz w:val="24"/>
          <w:szCs w:val="24"/>
        </w:rPr>
        <w:t xml:space="preserve"> goals cover only areas </w:t>
      </w:r>
      <w:r w:rsidRPr="00186CA6">
        <w:rPr>
          <w:rFonts w:asciiTheme="minorHAnsi" w:hAnsiTheme="minorHAnsi" w:cs="Arial"/>
          <w:sz w:val="24"/>
          <w:szCs w:val="24"/>
        </w:rPr>
        <w:t>where the State controls the use of funds. Johnson County (outside Overland Park), Kansas City, Lawrence, Leavenworth, Manhattan, Overland Park, Shawnee, Topeka, and Wichita are entitlement areas for the Community Development Block Grant (CDBG) program. Johnson County (including Overland Park), Kansas City, Lawrence, Topeka, and Wichita are entitlement areas for the HOME Investment Partnerships (HOME) program. Kansas City, Topeka, and Wichita are entitlement areas for the Emergency S</w:t>
      </w:r>
      <w:r>
        <w:rPr>
          <w:rFonts w:asciiTheme="minorHAnsi" w:hAnsiTheme="minorHAnsi" w:cs="Arial"/>
          <w:sz w:val="24"/>
          <w:szCs w:val="24"/>
        </w:rPr>
        <w:t>olutions</w:t>
      </w:r>
      <w:r w:rsidRPr="00186CA6">
        <w:rPr>
          <w:rFonts w:asciiTheme="minorHAnsi" w:hAnsiTheme="minorHAnsi" w:cs="Arial"/>
          <w:sz w:val="24"/>
          <w:szCs w:val="24"/>
        </w:rPr>
        <w:t xml:space="preserve"> Grant (ESG) program. Kansas City, Missouri, is an entitlement area for the Housing Opportunities for Persons with AIDS (HOPWA) program. Kansas City, Missouri, will receive approximately $1,</w:t>
      </w:r>
      <w:r>
        <w:rPr>
          <w:rFonts w:asciiTheme="minorHAnsi" w:hAnsiTheme="minorHAnsi" w:cs="Arial"/>
          <w:sz w:val="24"/>
          <w:szCs w:val="24"/>
        </w:rPr>
        <w:t>4</w:t>
      </w:r>
      <w:r w:rsidRPr="00186CA6">
        <w:rPr>
          <w:rFonts w:asciiTheme="minorHAnsi" w:hAnsiTheme="minorHAnsi" w:cs="Arial"/>
          <w:sz w:val="24"/>
          <w:szCs w:val="24"/>
        </w:rPr>
        <w:t>1</w:t>
      </w:r>
      <w:r>
        <w:rPr>
          <w:rFonts w:asciiTheme="minorHAnsi" w:hAnsiTheme="minorHAnsi" w:cs="Arial"/>
          <w:sz w:val="24"/>
          <w:szCs w:val="24"/>
        </w:rPr>
        <w:t>9</w:t>
      </w:r>
      <w:r w:rsidRPr="00186CA6">
        <w:rPr>
          <w:rFonts w:asciiTheme="minorHAnsi" w:hAnsiTheme="minorHAnsi" w:cs="Arial"/>
          <w:sz w:val="24"/>
          <w:szCs w:val="24"/>
        </w:rPr>
        <w:t>,</w:t>
      </w:r>
      <w:r>
        <w:rPr>
          <w:rFonts w:asciiTheme="minorHAnsi" w:hAnsiTheme="minorHAnsi" w:cs="Arial"/>
          <w:sz w:val="24"/>
          <w:szCs w:val="24"/>
        </w:rPr>
        <w:t>900</w:t>
      </w:r>
      <w:r w:rsidRPr="00186CA6">
        <w:rPr>
          <w:rFonts w:asciiTheme="minorHAnsi" w:hAnsiTheme="minorHAnsi" w:cs="Arial"/>
          <w:sz w:val="24"/>
          <w:szCs w:val="24"/>
        </w:rPr>
        <w:t xml:space="preserve"> in HOPWA funds for federal fiscal year 201</w:t>
      </w:r>
      <w:r>
        <w:rPr>
          <w:rFonts w:asciiTheme="minorHAnsi" w:hAnsiTheme="minorHAnsi" w:cs="Arial"/>
          <w:sz w:val="24"/>
          <w:szCs w:val="24"/>
        </w:rPr>
        <w:t>8</w:t>
      </w:r>
      <w:r w:rsidRPr="00186CA6">
        <w:rPr>
          <w:rFonts w:asciiTheme="minorHAnsi" w:hAnsiTheme="minorHAnsi" w:cs="Arial"/>
          <w:sz w:val="24"/>
          <w:szCs w:val="24"/>
        </w:rPr>
        <w:t xml:space="preserve">. Under rules of the HOPWA program, the entitlement city serves its entire metropolitan area, including in this instance, Leavenworth, Wyandotte, Johnson, Miami, Franklin, and Linn counties in Kansas. </w:t>
      </w:r>
    </w:p>
    <w:p w14:paraId="1D0C3539" w14:textId="77777777" w:rsidR="007C520D" w:rsidRPr="00186CA6" w:rsidRDefault="007C520D" w:rsidP="007C520D">
      <w:pPr>
        <w:rPr>
          <w:rFonts w:asciiTheme="minorHAnsi" w:hAnsiTheme="minorHAnsi" w:cs="Arial"/>
          <w:sz w:val="24"/>
          <w:szCs w:val="24"/>
        </w:rPr>
      </w:pPr>
      <w:r w:rsidRPr="00186CA6">
        <w:rPr>
          <w:rFonts w:asciiTheme="minorHAnsi" w:hAnsiTheme="minorHAnsi" w:cs="Arial"/>
          <w:sz w:val="24"/>
          <w:szCs w:val="24"/>
        </w:rPr>
        <w:t xml:space="preserve">The CDBG, HOME, ESG, and HOPWA entitlement areas receive direct allocations of funds from the Federal Government. </w:t>
      </w:r>
      <w:r>
        <w:rPr>
          <w:rFonts w:asciiTheme="minorHAnsi" w:hAnsiTheme="minorHAnsi" w:cs="Arial"/>
          <w:sz w:val="24"/>
          <w:szCs w:val="24"/>
        </w:rPr>
        <w:t>KHRC</w:t>
      </w:r>
      <w:r w:rsidRPr="00186CA6">
        <w:rPr>
          <w:rFonts w:asciiTheme="minorHAnsi" w:hAnsiTheme="minorHAnsi" w:cs="Arial"/>
          <w:sz w:val="24"/>
          <w:szCs w:val="24"/>
        </w:rPr>
        <w:t xml:space="preserve"> and KDHE will coordinate with the entitlement areas on development planning. </w:t>
      </w:r>
    </w:p>
    <w:p w14:paraId="78629057" w14:textId="77777777" w:rsidR="007C520D" w:rsidRPr="00186CA6" w:rsidRDefault="007C520D" w:rsidP="007C520D">
      <w:pPr>
        <w:rPr>
          <w:rFonts w:asciiTheme="minorHAnsi" w:hAnsiTheme="minorHAnsi" w:cs="Arial"/>
          <w:sz w:val="24"/>
          <w:szCs w:val="24"/>
        </w:rPr>
      </w:pPr>
      <w:r w:rsidRPr="00186CA6">
        <w:rPr>
          <w:rFonts w:asciiTheme="minorHAnsi" w:hAnsiTheme="minorHAnsi" w:cs="Arial"/>
          <w:sz w:val="24"/>
          <w:szCs w:val="24"/>
        </w:rPr>
        <w:t>Kansas</w:t>
      </w:r>
      <w:r>
        <w:rPr>
          <w:rFonts w:asciiTheme="minorHAnsi" w:hAnsiTheme="minorHAnsi" w:cs="Arial"/>
          <w:sz w:val="24"/>
          <w:szCs w:val="24"/>
        </w:rPr>
        <w:t xml:space="preserve"> Housing Resources Corporation </w:t>
      </w:r>
      <w:r w:rsidRPr="00186CA6">
        <w:rPr>
          <w:rFonts w:asciiTheme="minorHAnsi" w:hAnsiTheme="minorHAnsi" w:cs="Arial"/>
          <w:sz w:val="24"/>
          <w:szCs w:val="24"/>
        </w:rPr>
        <w:t xml:space="preserve">and the local USDA Rural Development conduct quarterly interagency meetings to plan and review collaborative efforts related to housing. KHRC has also been placed on e-mail/mailing lists for upcoming events held by Kansas African American Affairs Commission and Kansas Hispanic &amp; Latino Affairs Commission. </w:t>
      </w:r>
    </w:p>
    <w:p w14:paraId="78484221" w14:textId="77777777" w:rsidR="007C520D" w:rsidRDefault="007C520D" w:rsidP="007C520D">
      <w:pPr>
        <w:rPr>
          <w:rFonts w:asciiTheme="minorHAnsi" w:hAnsiTheme="minorHAnsi" w:cs="Arial"/>
          <w:sz w:val="24"/>
          <w:szCs w:val="24"/>
        </w:rPr>
      </w:pPr>
      <w:r w:rsidRPr="00186CA6">
        <w:rPr>
          <w:rFonts w:asciiTheme="minorHAnsi" w:hAnsiTheme="minorHAnsi" w:cs="Arial"/>
          <w:sz w:val="24"/>
          <w:szCs w:val="24"/>
        </w:rPr>
        <w:t>KHRC will collaborate with the Kansas Department for Aging and Disability Services (disability services) and KDHE (Medicaid) to facilitate the partnerships necessary to effectively utilize the new funding opportunities created under the 201</w:t>
      </w:r>
      <w:r>
        <w:rPr>
          <w:rFonts w:asciiTheme="minorHAnsi" w:hAnsiTheme="minorHAnsi" w:cs="Arial"/>
          <w:sz w:val="24"/>
          <w:szCs w:val="24"/>
        </w:rPr>
        <w:t>0</w:t>
      </w:r>
      <w:r w:rsidRPr="00186CA6">
        <w:rPr>
          <w:rFonts w:asciiTheme="minorHAnsi" w:hAnsiTheme="minorHAnsi" w:cs="Arial"/>
          <w:sz w:val="24"/>
          <w:szCs w:val="24"/>
        </w:rPr>
        <w:t xml:space="preserve"> Frank Me</w:t>
      </w:r>
      <w:r>
        <w:rPr>
          <w:rFonts w:asciiTheme="minorHAnsi" w:hAnsiTheme="minorHAnsi" w:cs="Arial"/>
          <w:sz w:val="24"/>
          <w:szCs w:val="24"/>
        </w:rPr>
        <w:t>lville Supportive Housing Act</w:t>
      </w:r>
      <w:r w:rsidRPr="00186CA6">
        <w:rPr>
          <w:rFonts w:asciiTheme="minorHAnsi" w:hAnsiTheme="minorHAnsi" w:cs="Arial"/>
          <w:sz w:val="24"/>
          <w:szCs w:val="24"/>
        </w:rPr>
        <w:t>. HUD’s Section 811 program, reformed last year by that legislation, creates supportive housing opportunities for persons with disabilities. The changes effected in the 2010 reforms put added emphasis on community integration, the leveraging of other project development resources (such as HOME and Housing Tax Credits) and collaboration with State social service and Medicaid agencies to provide necessary services to support disabled individuals in independent living.</w:t>
      </w:r>
    </w:p>
    <w:p w14:paraId="071DD4D1" w14:textId="77777777" w:rsidR="007C520D" w:rsidRDefault="007C520D" w:rsidP="007C520D">
      <w:pPr>
        <w:rPr>
          <w:rFonts w:asciiTheme="minorHAnsi" w:hAnsiTheme="minorHAnsi" w:cs="Arial"/>
          <w:sz w:val="24"/>
          <w:szCs w:val="24"/>
        </w:rPr>
      </w:pPr>
      <w:r>
        <w:rPr>
          <w:rFonts w:asciiTheme="minorHAnsi" w:hAnsiTheme="minorHAnsi" w:cs="Arial"/>
          <w:sz w:val="24"/>
          <w:szCs w:val="24"/>
        </w:rPr>
        <w:t>Commerce consults with the Water Office, KDHE and the Division of Water Resources on water issues.</w:t>
      </w:r>
    </w:p>
    <w:p w14:paraId="1E7A0DE6" w14:textId="77777777" w:rsidR="007C520D" w:rsidRPr="00984120" w:rsidRDefault="007C520D" w:rsidP="007C520D">
      <w:pPr>
        <w:rPr>
          <w:rFonts w:asciiTheme="minorHAnsi" w:hAnsiTheme="minorHAnsi" w:cs="Arial"/>
          <w:sz w:val="24"/>
          <w:szCs w:val="24"/>
        </w:rPr>
      </w:pPr>
      <w:r w:rsidRPr="00984120">
        <w:rPr>
          <w:rFonts w:asciiTheme="minorHAnsi" w:hAnsiTheme="minorHAnsi" w:cs="Arial"/>
          <w:sz w:val="24"/>
          <w:szCs w:val="24"/>
        </w:rPr>
        <w:t>The greatest obstacle to meeting the underserved needs in the State of Kansas, aside from lack of</w:t>
      </w:r>
      <w:r>
        <w:rPr>
          <w:rFonts w:asciiTheme="minorHAnsi" w:hAnsiTheme="minorHAnsi" w:cs="Arial"/>
          <w:sz w:val="24"/>
          <w:szCs w:val="24"/>
        </w:rPr>
        <w:t xml:space="preserve"> </w:t>
      </w:r>
      <w:r w:rsidRPr="00984120">
        <w:rPr>
          <w:rFonts w:asciiTheme="minorHAnsi" w:hAnsiTheme="minorHAnsi" w:cs="Arial"/>
          <w:sz w:val="24"/>
          <w:szCs w:val="24"/>
        </w:rPr>
        <w:t>funding, is the lack of professional organizations and private providers of grant-writing and</w:t>
      </w:r>
      <w:r>
        <w:rPr>
          <w:rFonts w:asciiTheme="minorHAnsi" w:hAnsiTheme="minorHAnsi" w:cs="Arial"/>
          <w:sz w:val="24"/>
          <w:szCs w:val="24"/>
        </w:rPr>
        <w:t xml:space="preserve"> </w:t>
      </w:r>
      <w:r w:rsidRPr="00984120">
        <w:rPr>
          <w:rFonts w:asciiTheme="minorHAnsi" w:hAnsiTheme="minorHAnsi" w:cs="Arial"/>
          <w:sz w:val="24"/>
          <w:szCs w:val="24"/>
        </w:rPr>
        <w:t>administrative capabilities in the areas needed. The majority of the 637 communities eligible for</w:t>
      </w:r>
      <w:r>
        <w:rPr>
          <w:rFonts w:asciiTheme="minorHAnsi" w:hAnsiTheme="minorHAnsi" w:cs="Arial"/>
          <w:sz w:val="24"/>
          <w:szCs w:val="24"/>
        </w:rPr>
        <w:t xml:space="preserve"> </w:t>
      </w:r>
      <w:r w:rsidRPr="00984120">
        <w:rPr>
          <w:rFonts w:asciiTheme="minorHAnsi" w:hAnsiTheme="minorHAnsi" w:cs="Arial"/>
          <w:sz w:val="24"/>
          <w:szCs w:val="24"/>
        </w:rPr>
        <w:t xml:space="preserve">applying for funding in the CDBG program </w:t>
      </w:r>
      <w:r>
        <w:rPr>
          <w:rFonts w:asciiTheme="minorHAnsi" w:hAnsiTheme="minorHAnsi" w:cs="Arial"/>
          <w:sz w:val="24"/>
          <w:szCs w:val="24"/>
        </w:rPr>
        <w:t>have</w:t>
      </w:r>
      <w:r w:rsidRPr="00984120">
        <w:rPr>
          <w:rFonts w:asciiTheme="minorHAnsi" w:hAnsiTheme="minorHAnsi" w:cs="Arial"/>
          <w:sz w:val="24"/>
          <w:szCs w:val="24"/>
        </w:rPr>
        <w:t xml:space="preserve"> under 1,000 </w:t>
      </w:r>
      <w:r>
        <w:rPr>
          <w:rFonts w:asciiTheme="minorHAnsi" w:hAnsiTheme="minorHAnsi" w:cs="Arial"/>
          <w:sz w:val="24"/>
          <w:szCs w:val="24"/>
        </w:rPr>
        <w:t>residents</w:t>
      </w:r>
      <w:r w:rsidRPr="00984120">
        <w:rPr>
          <w:rFonts w:asciiTheme="minorHAnsi" w:hAnsiTheme="minorHAnsi" w:cs="Arial"/>
          <w:sz w:val="24"/>
          <w:szCs w:val="24"/>
        </w:rPr>
        <w:t xml:space="preserve"> and lack the local</w:t>
      </w:r>
      <w:r>
        <w:rPr>
          <w:rFonts w:asciiTheme="minorHAnsi" w:hAnsiTheme="minorHAnsi" w:cs="Arial"/>
          <w:sz w:val="24"/>
          <w:szCs w:val="24"/>
        </w:rPr>
        <w:t xml:space="preserve"> </w:t>
      </w:r>
      <w:r w:rsidRPr="00984120">
        <w:rPr>
          <w:rFonts w:asciiTheme="minorHAnsi" w:hAnsiTheme="minorHAnsi" w:cs="Arial"/>
          <w:sz w:val="24"/>
          <w:szCs w:val="24"/>
        </w:rPr>
        <w:t>capacity not only to administer the programs but also to seek out the available services and funds</w:t>
      </w:r>
      <w:r>
        <w:rPr>
          <w:rFonts w:asciiTheme="minorHAnsi" w:hAnsiTheme="minorHAnsi" w:cs="Arial"/>
          <w:sz w:val="24"/>
          <w:szCs w:val="24"/>
        </w:rPr>
        <w:t xml:space="preserve"> </w:t>
      </w:r>
      <w:r w:rsidRPr="00984120">
        <w:rPr>
          <w:rFonts w:asciiTheme="minorHAnsi" w:hAnsiTheme="minorHAnsi" w:cs="Arial"/>
          <w:sz w:val="24"/>
          <w:szCs w:val="24"/>
        </w:rPr>
        <w:t>with which to address their problems.</w:t>
      </w:r>
    </w:p>
    <w:p w14:paraId="4B73FE54" w14:textId="0DC682D5" w:rsidR="007C520D" w:rsidRDefault="007C520D" w:rsidP="007C520D">
      <w:pPr>
        <w:rPr>
          <w:rFonts w:asciiTheme="minorHAnsi" w:hAnsiTheme="minorHAnsi" w:cs="Arial"/>
          <w:sz w:val="24"/>
          <w:szCs w:val="24"/>
        </w:rPr>
      </w:pPr>
      <w:r w:rsidRPr="00984120">
        <w:rPr>
          <w:rFonts w:asciiTheme="minorHAnsi" w:hAnsiTheme="minorHAnsi" w:cs="Arial"/>
          <w:sz w:val="24"/>
          <w:szCs w:val="24"/>
        </w:rPr>
        <w:t xml:space="preserve">Western Kansas is the area most underserved, and yet </w:t>
      </w:r>
      <w:r>
        <w:rPr>
          <w:rFonts w:asciiTheme="minorHAnsi" w:hAnsiTheme="minorHAnsi" w:cs="Arial"/>
          <w:sz w:val="24"/>
          <w:szCs w:val="24"/>
        </w:rPr>
        <w:t xml:space="preserve">the fewest number of applications is received from this region. </w:t>
      </w:r>
      <w:r w:rsidRPr="00984120">
        <w:rPr>
          <w:rFonts w:asciiTheme="minorHAnsi" w:hAnsiTheme="minorHAnsi" w:cs="Arial"/>
          <w:sz w:val="24"/>
          <w:szCs w:val="24"/>
        </w:rPr>
        <w:t>Technical assistance and</w:t>
      </w:r>
      <w:r>
        <w:rPr>
          <w:rFonts w:asciiTheme="minorHAnsi" w:hAnsiTheme="minorHAnsi" w:cs="Arial"/>
          <w:sz w:val="24"/>
          <w:szCs w:val="24"/>
        </w:rPr>
        <w:t xml:space="preserve"> </w:t>
      </w:r>
      <w:r w:rsidRPr="00984120">
        <w:rPr>
          <w:rFonts w:asciiTheme="minorHAnsi" w:hAnsiTheme="minorHAnsi" w:cs="Arial"/>
          <w:sz w:val="24"/>
          <w:szCs w:val="24"/>
        </w:rPr>
        <w:t xml:space="preserve">monitoring in the western part of the </w:t>
      </w:r>
      <w:r w:rsidR="00556755">
        <w:rPr>
          <w:rFonts w:asciiTheme="minorHAnsi" w:hAnsiTheme="minorHAnsi" w:cs="Arial"/>
          <w:sz w:val="24"/>
          <w:szCs w:val="24"/>
        </w:rPr>
        <w:t>state</w:t>
      </w:r>
      <w:r w:rsidRPr="00984120">
        <w:rPr>
          <w:rFonts w:asciiTheme="minorHAnsi" w:hAnsiTheme="minorHAnsi" w:cs="Arial"/>
          <w:sz w:val="24"/>
          <w:szCs w:val="24"/>
        </w:rPr>
        <w:t xml:space="preserve"> is carried out by one field area representative of the</w:t>
      </w:r>
      <w:r>
        <w:rPr>
          <w:rFonts w:asciiTheme="minorHAnsi" w:hAnsiTheme="minorHAnsi" w:cs="Arial"/>
          <w:sz w:val="24"/>
          <w:szCs w:val="24"/>
        </w:rPr>
        <w:t xml:space="preserve"> </w:t>
      </w:r>
      <w:r w:rsidRPr="00984120">
        <w:rPr>
          <w:rFonts w:asciiTheme="minorHAnsi" w:hAnsiTheme="minorHAnsi" w:cs="Arial"/>
          <w:sz w:val="24"/>
          <w:szCs w:val="24"/>
        </w:rPr>
        <w:t>Division. Of the 104 eligible counties in the State of Kansas, this one employee is responsible</w:t>
      </w:r>
      <w:r>
        <w:rPr>
          <w:rFonts w:asciiTheme="minorHAnsi" w:hAnsiTheme="minorHAnsi" w:cs="Arial"/>
          <w:sz w:val="24"/>
          <w:szCs w:val="24"/>
        </w:rPr>
        <w:t xml:space="preserve"> </w:t>
      </w:r>
      <w:r w:rsidRPr="00984120">
        <w:rPr>
          <w:rFonts w:asciiTheme="minorHAnsi" w:hAnsiTheme="minorHAnsi" w:cs="Arial"/>
          <w:sz w:val="24"/>
          <w:szCs w:val="24"/>
        </w:rPr>
        <w:t>for 57 of these counties. Population in the majority of these counties totals less than 5,000</w:t>
      </w:r>
      <w:r>
        <w:rPr>
          <w:rFonts w:asciiTheme="minorHAnsi" w:hAnsiTheme="minorHAnsi" w:cs="Arial"/>
          <w:sz w:val="24"/>
          <w:szCs w:val="24"/>
        </w:rPr>
        <w:t xml:space="preserve"> </w:t>
      </w:r>
      <w:r w:rsidRPr="00984120">
        <w:rPr>
          <w:rFonts w:asciiTheme="minorHAnsi" w:hAnsiTheme="minorHAnsi" w:cs="Arial"/>
          <w:sz w:val="24"/>
          <w:szCs w:val="24"/>
        </w:rPr>
        <w:t>persons each and the distance and time required to travel makes it a difficult situation. In</w:t>
      </w:r>
      <w:r>
        <w:rPr>
          <w:rFonts w:asciiTheme="minorHAnsi" w:hAnsiTheme="minorHAnsi" w:cs="Arial"/>
          <w:sz w:val="24"/>
          <w:szCs w:val="24"/>
        </w:rPr>
        <w:t xml:space="preserve"> </w:t>
      </w:r>
      <w:r w:rsidRPr="00984120">
        <w:rPr>
          <w:rFonts w:asciiTheme="minorHAnsi" w:hAnsiTheme="minorHAnsi" w:cs="Arial"/>
          <w:sz w:val="24"/>
          <w:szCs w:val="24"/>
        </w:rPr>
        <w:t xml:space="preserve">addition, the regional diversity and range of problems encountered throughout the </w:t>
      </w:r>
      <w:r w:rsidR="00556755">
        <w:rPr>
          <w:rFonts w:asciiTheme="minorHAnsi" w:hAnsiTheme="minorHAnsi" w:cs="Arial"/>
          <w:sz w:val="24"/>
          <w:szCs w:val="24"/>
        </w:rPr>
        <w:t>state</w:t>
      </w:r>
      <w:r w:rsidRPr="00984120">
        <w:rPr>
          <w:rFonts w:asciiTheme="minorHAnsi" w:hAnsiTheme="minorHAnsi" w:cs="Arial"/>
          <w:sz w:val="24"/>
          <w:szCs w:val="24"/>
        </w:rPr>
        <w:t xml:space="preserve"> make it</w:t>
      </w:r>
      <w:r>
        <w:rPr>
          <w:rFonts w:asciiTheme="minorHAnsi" w:hAnsiTheme="minorHAnsi" w:cs="Arial"/>
          <w:sz w:val="24"/>
          <w:szCs w:val="24"/>
        </w:rPr>
        <w:t xml:space="preserve"> </w:t>
      </w:r>
      <w:r w:rsidRPr="00984120">
        <w:rPr>
          <w:rFonts w:asciiTheme="minorHAnsi" w:hAnsiTheme="minorHAnsi" w:cs="Arial"/>
          <w:sz w:val="24"/>
          <w:szCs w:val="24"/>
        </w:rPr>
        <w:t>difficult to develop a comprehensive understanding of statewide need.  This is probably the biggest gap in the institutional delivery system.</w:t>
      </w:r>
    </w:p>
    <w:p w14:paraId="3BF0CB2F" w14:textId="77777777" w:rsidR="007C520D" w:rsidRPr="001B321A" w:rsidRDefault="007C520D" w:rsidP="007C520D">
      <w:pPr>
        <w:autoSpaceDE w:val="0"/>
        <w:autoSpaceDN w:val="0"/>
        <w:adjustRightInd w:val="0"/>
        <w:spacing w:after="0"/>
        <w:rPr>
          <w:rFonts w:asciiTheme="minorHAnsi" w:hAnsiTheme="minorHAnsi" w:cs="Arial"/>
          <w:sz w:val="24"/>
          <w:szCs w:val="24"/>
        </w:rPr>
      </w:pPr>
      <w:r w:rsidRPr="001B321A">
        <w:rPr>
          <w:rFonts w:asciiTheme="minorHAnsi" w:hAnsiTheme="minorHAnsi" w:cs="Arial"/>
          <w:sz w:val="24"/>
          <w:szCs w:val="24"/>
        </w:rPr>
        <w:t>The State of Kansas has qualified 26 CHDOs</w:t>
      </w:r>
      <w:r>
        <w:rPr>
          <w:rFonts w:asciiTheme="minorHAnsi" w:hAnsiTheme="minorHAnsi" w:cs="Arial"/>
          <w:sz w:val="24"/>
          <w:szCs w:val="24"/>
        </w:rPr>
        <w:t xml:space="preserve"> that are part of the institutional delivery system for affordable housing</w:t>
      </w:r>
      <w:r w:rsidRPr="001B321A">
        <w:rPr>
          <w:rFonts w:asciiTheme="minorHAnsi" w:hAnsiTheme="minorHAnsi" w:cs="Arial"/>
          <w:sz w:val="24"/>
          <w:szCs w:val="24"/>
        </w:rPr>
        <w:t>. Since 1992, the State has allocated at least 15 percent of HOME funds to CHDO program activities and up to five percent of HOME funds to CHDO operating expenses.</w:t>
      </w:r>
    </w:p>
    <w:p w14:paraId="1FAFAEC8" w14:textId="77777777" w:rsidR="007C520D" w:rsidRPr="001B321A" w:rsidRDefault="007C520D" w:rsidP="007C520D">
      <w:pPr>
        <w:autoSpaceDE w:val="0"/>
        <w:autoSpaceDN w:val="0"/>
        <w:adjustRightInd w:val="0"/>
        <w:spacing w:after="0"/>
        <w:rPr>
          <w:rFonts w:asciiTheme="minorHAnsi" w:hAnsiTheme="minorHAnsi" w:cs="Arial"/>
          <w:sz w:val="24"/>
          <w:szCs w:val="24"/>
        </w:rPr>
      </w:pPr>
    </w:p>
    <w:p w14:paraId="31D0E6EE" w14:textId="77777777" w:rsidR="007C520D" w:rsidRPr="001B321A" w:rsidRDefault="007C520D" w:rsidP="007C520D">
      <w:pPr>
        <w:autoSpaceDE w:val="0"/>
        <w:autoSpaceDN w:val="0"/>
        <w:adjustRightInd w:val="0"/>
        <w:spacing w:after="0"/>
        <w:rPr>
          <w:rFonts w:asciiTheme="minorHAnsi" w:hAnsiTheme="minorHAnsi" w:cs="Arial"/>
          <w:sz w:val="24"/>
          <w:szCs w:val="24"/>
        </w:rPr>
      </w:pPr>
      <w:r w:rsidRPr="001B321A">
        <w:rPr>
          <w:rFonts w:asciiTheme="minorHAnsi" w:hAnsiTheme="minorHAnsi" w:cs="Arial"/>
          <w:sz w:val="24"/>
          <w:szCs w:val="24"/>
        </w:rPr>
        <w:t>The CHDO set-aside is only a base for rental housing. CHDOs can expand their rental housing</w:t>
      </w:r>
    </w:p>
    <w:p w14:paraId="3637FBBF" w14:textId="77777777" w:rsidR="007C520D" w:rsidRDefault="007C520D" w:rsidP="007C520D">
      <w:pPr>
        <w:autoSpaceDE w:val="0"/>
        <w:autoSpaceDN w:val="0"/>
        <w:adjustRightInd w:val="0"/>
        <w:spacing w:after="0"/>
        <w:rPr>
          <w:rFonts w:asciiTheme="minorHAnsi" w:hAnsiTheme="minorHAnsi" w:cs="Arial"/>
          <w:sz w:val="24"/>
          <w:szCs w:val="24"/>
        </w:rPr>
      </w:pPr>
      <w:r w:rsidRPr="001B321A">
        <w:rPr>
          <w:rFonts w:asciiTheme="minorHAnsi" w:hAnsiTheme="minorHAnsi" w:cs="Arial"/>
          <w:sz w:val="24"/>
          <w:szCs w:val="24"/>
        </w:rPr>
        <w:t xml:space="preserve">activities with </w:t>
      </w:r>
      <w:r>
        <w:rPr>
          <w:rFonts w:asciiTheme="minorHAnsi" w:hAnsiTheme="minorHAnsi" w:cs="Arial"/>
          <w:sz w:val="24"/>
          <w:szCs w:val="24"/>
        </w:rPr>
        <w:t xml:space="preserve">Low Income </w:t>
      </w:r>
      <w:r w:rsidRPr="001B321A">
        <w:rPr>
          <w:rFonts w:asciiTheme="minorHAnsi" w:hAnsiTheme="minorHAnsi" w:cs="Arial"/>
          <w:sz w:val="24"/>
          <w:szCs w:val="24"/>
        </w:rPr>
        <w:t>Housing Tax Credits, Private Activity Bonds, and HOME Tenant Based Rental</w:t>
      </w:r>
      <w:r>
        <w:rPr>
          <w:rFonts w:asciiTheme="minorHAnsi" w:hAnsiTheme="minorHAnsi" w:cs="Arial"/>
          <w:sz w:val="24"/>
          <w:szCs w:val="24"/>
        </w:rPr>
        <w:t xml:space="preserve"> </w:t>
      </w:r>
      <w:r w:rsidRPr="001B321A">
        <w:rPr>
          <w:rFonts w:asciiTheme="minorHAnsi" w:hAnsiTheme="minorHAnsi" w:cs="Arial"/>
          <w:sz w:val="24"/>
          <w:szCs w:val="24"/>
        </w:rPr>
        <w:t xml:space="preserve">Assistance. </w:t>
      </w:r>
    </w:p>
    <w:p w14:paraId="1CC1AC93" w14:textId="77777777" w:rsidR="007C520D" w:rsidRPr="00A93C3E" w:rsidRDefault="007C520D" w:rsidP="007C520D">
      <w:pPr>
        <w:autoSpaceDE w:val="0"/>
        <w:autoSpaceDN w:val="0"/>
        <w:adjustRightInd w:val="0"/>
        <w:spacing w:after="0"/>
        <w:rPr>
          <w:rFonts w:asciiTheme="minorHAnsi" w:hAnsiTheme="minorHAnsi" w:cs="Arial"/>
          <w:sz w:val="24"/>
          <w:szCs w:val="24"/>
        </w:rPr>
      </w:pPr>
    </w:p>
    <w:p w14:paraId="4D06433E" w14:textId="77777777" w:rsidR="007C520D" w:rsidRDefault="007C520D" w:rsidP="007C520D">
      <w:pPr>
        <w:rPr>
          <w:rFonts w:cs="Arial"/>
          <w:b/>
          <w:sz w:val="24"/>
          <w:szCs w:val="24"/>
        </w:rPr>
      </w:pPr>
      <w:r>
        <w:rPr>
          <w:rFonts w:cs="Arial"/>
          <w:b/>
          <w:sz w:val="24"/>
          <w:szCs w:val="24"/>
        </w:rPr>
        <w:t>Availability of services targeted to homeless persons and persons with HIV and mainstream services</w:t>
      </w:r>
    </w:p>
    <w:p w14:paraId="044E7213" w14:textId="77777777" w:rsidR="007C520D" w:rsidRDefault="007C520D" w:rsidP="007C520D">
      <w:pPr>
        <w:rPr>
          <w:rFonts w:asciiTheme="minorHAnsi" w:hAnsiTheme="minorHAnsi" w:cs="Arial"/>
          <w:sz w:val="24"/>
          <w:szCs w:val="24"/>
        </w:rPr>
      </w:pPr>
      <w:r w:rsidRPr="00D75B0F">
        <w:rPr>
          <w:rFonts w:asciiTheme="minorHAnsi" w:hAnsiTheme="minorHAnsi" w:cs="Arial"/>
          <w:sz w:val="24"/>
          <w:szCs w:val="24"/>
        </w:rPr>
        <w:t>The CoC created an Action Plan as a result of the CoC Check-up report. The</w:t>
      </w:r>
      <w:r>
        <w:rPr>
          <w:rFonts w:asciiTheme="minorHAnsi" w:hAnsiTheme="minorHAnsi" w:cs="Arial"/>
          <w:sz w:val="24"/>
          <w:szCs w:val="24"/>
        </w:rPr>
        <w:t xml:space="preserve"> Action Plan </w:t>
      </w:r>
      <w:r w:rsidRPr="00D75B0F">
        <w:rPr>
          <w:rFonts w:asciiTheme="minorHAnsi" w:hAnsiTheme="minorHAnsi" w:cs="Arial"/>
          <w:sz w:val="24"/>
          <w:szCs w:val="24"/>
        </w:rPr>
        <w:t>steps have been developed to make the BoS CoC an</w:t>
      </w:r>
      <w:r>
        <w:rPr>
          <w:rFonts w:asciiTheme="minorHAnsi" w:hAnsiTheme="minorHAnsi" w:cs="Arial"/>
          <w:sz w:val="24"/>
          <w:szCs w:val="24"/>
        </w:rPr>
        <w:t xml:space="preserve"> </w:t>
      </w:r>
      <w:r w:rsidRPr="00D75B0F">
        <w:rPr>
          <w:rFonts w:asciiTheme="minorHAnsi" w:hAnsiTheme="minorHAnsi" w:cs="Arial"/>
          <w:sz w:val="24"/>
          <w:szCs w:val="24"/>
        </w:rPr>
        <w:t>effective network and will lead to preventing homelessness in the CoC. The four</w:t>
      </w:r>
      <w:r>
        <w:rPr>
          <w:rFonts w:asciiTheme="minorHAnsi" w:hAnsiTheme="minorHAnsi" w:cs="Arial"/>
          <w:sz w:val="24"/>
          <w:szCs w:val="24"/>
        </w:rPr>
        <w:t xml:space="preserve"> </w:t>
      </w:r>
      <w:r w:rsidRPr="00D75B0F">
        <w:rPr>
          <w:rFonts w:asciiTheme="minorHAnsi" w:hAnsiTheme="minorHAnsi" w:cs="Arial"/>
          <w:sz w:val="24"/>
          <w:szCs w:val="24"/>
        </w:rPr>
        <w:t xml:space="preserve">main goals of this Action Plan are as follows: </w:t>
      </w:r>
    </w:p>
    <w:p w14:paraId="507B007E" w14:textId="77777777" w:rsidR="007C520D" w:rsidRDefault="007C520D" w:rsidP="007C520D">
      <w:pPr>
        <w:rPr>
          <w:rFonts w:asciiTheme="minorHAnsi" w:hAnsiTheme="minorHAnsi" w:cs="Arial"/>
          <w:sz w:val="24"/>
          <w:szCs w:val="24"/>
        </w:rPr>
      </w:pPr>
      <w:r w:rsidRPr="00D75B0F">
        <w:rPr>
          <w:rFonts w:asciiTheme="minorHAnsi" w:hAnsiTheme="minorHAnsi" w:cs="Arial"/>
          <w:sz w:val="24"/>
          <w:szCs w:val="24"/>
        </w:rPr>
        <w:t>1.</w:t>
      </w:r>
      <w:r>
        <w:rPr>
          <w:rFonts w:asciiTheme="minorHAnsi" w:hAnsiTheme="minorHAnsi" w:cs="Arial"/>
          <w:sz w:val="24"/>
          <w:szCs w:val="24"/>
        </w:rPr>
        <w:t xml:space="preserve"> </w:t>
      </w:r>
      <w:r w:rsidRPr="00D75B0F">
        <w:rPr>
          <w:rFonts w:asciiTheme="minorHAnsi" w:hAnsiTheme="minorHAnsi" w:cs="Arial"/>
          <w:sz w:val="24"/>
          <w:szCs w:val="24"/>
        </w:rPr>
        <w:t>Increase participation and</w:t>
      </w:r>
      <w:r>
        <w:rPr>
          <w:rFonts w:asciiTheme="minorHAnsi" w:hAnsiTheme="minorHAnsi" w:cs="Arial"/>
          <w:sz w:val="24"/>
          <w:szCs w:val="24"/>
        </w:rPr>
        <w:t xml:space="preserve"> </w:t>
      </w:r>
      <w:r w:rsidRPr="00D75B0F">
        <w:rPr>
          <w:rFonts w:asciiTheme="minorHAnsi" w:hAnsiTheme="minorHAnsi" w:cs="Arial"/>
          <w:sz w:val="24"/>
          <w:szCs w:val="24"/>
        </w:rPr>
        <w:t>representation of agencies in the Balance of State CoC which will help enhance</w:t>
      </w:r>
      <w:r>
        <w:rPr>
          <w:rFonts w:asciiTheme="minorHAnsi" w:hAnsiTheme="minorHAnsi" w:cs="Arial"/>
          <w:sz w:val="24"/>
          <w:szCs w:val="24"/>
        </w:rPr>
        <w:t xml:space="preserve"> </w:t>
      </w:r>
      <w:r w:rsidRPr="00D75B0F">
        <w:rPr>
          <w:rFonts w:asciiTheme="minorHAnsi" w:hAnsiTheme="minorHAnsi" w:cs="Arial"/>
          <w:sz w:val="24"/>
          <w:szCs w:val="24"/>
        </w:rPr>
        <w:t>education and outreach to all areas of the BoS. This goal will lead to better</w:t>
      </w:r>
      <w:r>
        <w:rPr>
          <w:rFonts w:asciiTheme="minorHAnsi" w:hAnsiTheme="minorHAnsi" w:cs="Arial"/>
          <w:sz w:val="24"/>
          <w:szCs w:val="24"/>
        </w:rPr>
        <w:t xml:space="preserve"> </w:t>
      </w:r>
      <w:r w:rsidRPr="00D75B0F">
        <w:rPr>
          <w:rFonts w:asciiTheme="minorHAnsi" w:hAnsiTheme="minorHAnsi" w:cs="Arial"/>
          <w:sz w:val="24"/>
          <w:szCs w:val="24"/>
        </w:rPr>
        <w:t>regional coordination which will improve the region's ability to identify needs and</w:t>
      </w:r>
      <w:r>
        <w:rPr>
          <w:rFonts w:asciiTheme="minorHAnsi" w:hAnsiTheme="minorHAnsi" w:cs="Arial"/>
          <w:sz w:val="24"/>
          <w:szCs w:val="24"/>
        </w:rPr>
        <w:t xml:space="preserve"> </w:t>
      </w:r>
      <w:r w:rsidRPr="00D75B0F">
        <w:rPr>
          <w:rFonts w:asciiTheme="minorHAnsi" w:hAnsiTheme="minorHAnsi" w:cs="Arial"/>
          <w:sz w:val="24"/>
          <w:szCs w:val="24"/>
        </w:rPr>
        <w:t xml:space="preserve">gaps as well as help the regions access appropriate resources; </w:t>
      </w:r>
    </w:p>
    <w:p w14:paraId="19CEC774" w14:textId="77777777" w:rsidR="007C520D" w:rsidRDefault="007C520D" w:rsidP="007C520D">
      <w:pPr>
        <w:rPr>
          <w:rFonts w:asciiTheme="minorHAnsi" w:hAnsiTheme="minorHAnsi" w:cs="Arial"/>
          <w:sz w:val="24"/>
          <w:szCs w:val="24"/>
        </w:rPr>
      </w:pPr>
      <w:r w:rsidRPr="00D75B0F">
        <w:rPr>
          <w:rFonts w:asciiTheme="minorHAnsi" w:hAnsiTheme="minorHAnsi" w:cs="Arial"/>
          <w:sz w:val="24"/>
          <w:szCs w:val="24"/>
        </w:rPr>
        <w:t>2. Improve</w:t>
      </w:r>
      <w:r>
        <w:rPr>
          <w:rFonts w:asciiTheme="minorHAnsi" w:hAnsiTheme="minorHAnsi" w:cs="Arial"/>
          <w:sz w:val="24"/>
          <w:szCs w:val="24"/>
        </w:rPr>
        <w:t xml:space="preserve"> o</w:t>
      </w:r>
      <w:r w:rsidRPr="00D75B0F">
        <w:rPr>
          <w:rFonts w:asciiTheme="minorHAnsi" w:hAnsiTheme="minorHAnsi" w:cs="Arial"/>
          <w:sz w:val="24"/>
          <w:szCs w:val="24"/>
        </w:rPr>
        <w:t xml:space="preserve">rganizational </w:t>
      </w:r>
      <w:r>
        <w:rPr>
          <w:rFonts w:asciiTheme="minorHAnsi" w:hAnsiTheme="minorHAnsi" w:cs="Arial"/>
          <w:sz w:val="24"/>
          <w:szCs w:val="24"/>
        </w:rPr>
        <w:t>c</w:t>
      </w:r>
      <w:r w:rsidRPr="00D75B0F">
        <w:rPr>
          <w:rFonts w:asciiTheme="minorHAnsi" w:hAnsiTheme="minorHAnsi" w:cs="Arial"/>
          <w:sz w:val="24"/>
          <w:szCs w:val="24"/>
        </w:rPr>
        <w:t xml:space="preserve">apacity to </w:t>
      </w:r>
      <w:r>
        <w:rPr>
          <w:rFonts w:asciiTheme="minorHAnsi" w:hAnsiTheme="minorHAnsi" w:cs="Arial"/>
          <w:sz w:val="24"/>
          <w:szCs w:val="24"/>
        </w:rPr>
        <w:t>m</w:t>
      </w:r>
      <w:r w:rsidRPr="00D75B0F">
        <w:rPr>
          <w:rFonts w:asciiTheme="minorHAnsi" w:hAnsiTheme="minorHAnsi" w:cs="Arial"/>
          <w:sz w:val="24"/>
          <w:szCs w:val="24"/>
        </w:rPr>
        <w:t xml:space="preserve">anage CoC </w:t>
      </w:r>
      <w:r>
        <w:rPr>
          <w:rFonts w:asciiTheme="minorHAnsi" w:hAnsiTheme="minorHAnsi" w:cs="Arial"/>
          <w:sz w:val="24"/>
          <w:szCs w:val="24"/>
        </w:rPr>
        <w:t>a</w:t>
      </w:r>
      <w:r w:rsidRPr="00D75B0F">
        <w:rPr>
          <w:rFonts w:asciiTheme="minorHAnsi" w:hAnsiTheme="minorHAnsi" w:cs="Arial"/>
          <w:sz w:val="24"/>
          <w:szCs w:val="24"/>
        </w:rPr>
        <w:t xml:space="preserve">dministrative </w:t>
      </w:r>
      <w:r>
        <w:rPr>
          <w:rFonts w:asciiTheme="minorHAnsi" w:hAnsiTheme="minorHAnsi" w:cs="Arial"/>
          <w:sz w:val="24"/>
          <w:szCs w:val="24"/>
        </w:rPr>
        <w:t>t</w:t>
      </w:r>
      <w:r w:rsidRPr="00D75B0F">
        <w:rPr>
          <w:rFonts w:asciiTheme="minorHAnsi" w:hAnsiTheme="minorHAnsi" w:cs="Arial"/>
          <w:sz w:val="24"/>
          <w:szCs w:val="24"/>
        </w:rPr>
        <w:t>asks. Increasing the</w:t>
      </w:r>
      <w:r>
        <w:rPr>
          <w:rFonts w:asciiTheme="minorHAnsi" w:hAnsiTheme="minorHAnsi" w:cs="Arial"/>
          <w:sz w:val="24"/>
          <w:szCs w:val="24"/>
        </w:rPr>
        <w:t xml:space="preserve"> </w:t>
      </w:r>
      <w:r w:rsidRPr="00D75B0F">
        <w:rPr>
          <w:rFonts w:asciiTheme="minorHAnsi" w:hAnsiTheme="minorHAnsi" w:cs="Arial"/>
          <w:sz w:val="24"/>
          <w:szCs w:val="24"/>
        </w:rPr>
        <w:t>organizational capacity will improve the CoC’s ability to monitor funded</w:t>
      </w:r>
      <w:r>
        <w:rPr>
          <w:rFonts w:asciiTheme="minorHAnsi" w:hAnsiTheme="minorHAnsi" w:cs="Arial"/>
          <w:sz w:val="24"/>
          <w:szCs w:val="24"/>
        </w:rPr>
        <w:t xml:space="preserve"> </w:t>
      </w:r>
      <w:r w:rsidRPr="00D75B0F">
        <w:rPr>
          <w:rFonts w:asciiTheme="minorHAnsi" w:hAnsiTheme="minorHAnsi" w:cs="Arial"/>
          <w:sz w:val="24"/>
          <w:szCs w:val="24"/>
        </w:rPr>
        <w:t>projects. This will also improve the CoC’s ability to collaborate with the ESG</w:t>
      </w:r>
      <w:r>
        <w:rPr>
          <w:rFonts w:asciiTheme="minorHAnsi" w:hAnsiTheme="minorHAnsi" w:cs="Arial"/>
          <w:sz w:val="24"/>
          <w:szCs w:val="24"/>
        </w:rPr>
        <w:t xml:space="preserve"> </w:t>
      </w:r>
      <w:r w:rsidRPr="00D75B0F">
        <w:rPr>
          <w:rFonts w:asciiTheme="minorHAnsi" w:hAnsiTheme="minorHAnsi" w:cs="Arial"/>
          <w:sz w:val="24"/>
          <w:szCs w:val="24"/>
        </w:rPr>
        <w:t xml:space="preserve">Program Manager to monitor the ESG providers in the CoC; </w:t>
      </w:r>
    </w:p>
    <w:p w14:paraId="2CC67346" w14:textId="77777777" w:rsidR="007C520D" w:rsidRDefault="007C520D" w:rsidP="007C520D">
      <w:pPr>
        <w:rPr>
          <w:rFonts w:asciiTheme="minorHAnsi" w:hAnsiTheme="minorHAnsi" w:cs="Arial"/>
          <w:sz w:val="24"/>
          <w:szCs w:val="24"/>
        </w:rPr>
      </w:pPr>
      <w:r w:rsidRPr="00D75B0F">
        <w:rPr>
          <w:rFonts w:asciiTheme="minorHAnsi" w:hAnsiTheme="minorHAnsi" w:cs="Arial"/>
          <w:sz w:val="24"/>
          <w:szCs w:val="24"/>
        </w:rPr>
        <w:t>3. Increase access</w:t>
      </w:r>
      <w:r>
        <w:rPr>
          <w:rFonts w:asciiTheme="minorHAnsi" w:hAnsiTheme="minorHAnsi" w:cs="Arial"/>
          <w:sz w:val="24"/>
          <w:szCs w:val="24"/>
        </w:rPr>
        <w:t xml:space="preserve"> </w:t>
      </w:r>
      <w:r w:rsidRPr="00D75B0F">
        <w:rPr>
          <w:rFonts w:asciiTheme="minorHAnsi" w:hAnsiTheme="minorHAnsi" w:cs="Arial"/>
          <w:sz w:val="24"/>
          <w:szCs w:val="24"/>
        </w:rPr>
        <w:t>to services in rural/ frontier areas. This goal includes steps to involve</w:t>
      </w:r>
      <w:r>
        <w:rPr>
          <w:rFonts w:asciiTheme="minorHAnsi" w:hAnsiTheme="minorHAnsi" w:cs="Arial"/>
          <w:sz w:val="24"/>
          <w:szCs w:val="24"/>
        </w:rPr>
        <w:t xml:space="preserve"> </w:t>
      </w:r>
      <w:r w:rsidRPr="00D75B0F">
        <w:rPr>
          <w:rFonts w:asciiTheme="minorHAnsi" w:hAnsiTheme="minorHAnsi" w:cs="Arial"/>
          <w:sz w:val="24"/>
          <w:szCs w:val="24"/>
        </w:rPr>
        <w:t>stakeholders in each region to identify current services and to discuss gaps.</w:t>
      </w:r>
      <w:r>
        <w:rPr>
          <w:rFonts w:asciiTheme="minorHAnsi" w:hAnsiTheme="minorHAnsi" w:cs="Arial"/>
          <w:sz w:val="24"/>
          <w:szCs w:val="24"/>
        </w:rPr>
        <w:t xml:space="preserve"> </w:t>
      </w:r>
      <w:r w:rsidRPr="00D75B0F">
        <w:rPr>
          <w:rFonts w:asciiTheme="minorHAnsi" w:hAnsiTheme="minorHAnsi" w:cs="Arial"/>
          <w:sz w:val="24"/>
          <w:szCs w:val="24"/>
        </w:rPr>
        <w:t>This goal also includes enhancing the educational opportunities in the regions</w:t>
      </w:r>
      <w:r>
        <w:rPr>
          <w:rFonts w:asciiTheme="minorHAnsi" w:hAnsiTheme="minorHAnsi" w:cs="Arial"/>
          <w:sz w:val="24"/>
          <w:szCs w:val="24"/>
        </w:rPr>
        <w:t xml:space="preserve"> </w:t>
      </w:r>
      <w:r w:rsidRPr="00D75B0F">
        <w:rPr>
          <w:rFonts w:asciiTheme="minorHAnsi" w:hAnsiTheme="minorHAnsi" w:cs="Arial"/>
          <w:sz w:val="24"/>
          <w:szCs w:val="24"/>
        </w:rPr>
        <w:t xml:space="preserve">to provide information about effective service models and to share </w:t>
      </w:r>
      <w:r>
        <w:rPr>
          <w:rFonts w:asciiTheme="minorHAnsi" w:hAnsiTheme="minorHAnsi" w:cs="Arial"/>
          <w:sz w:val="24"/>
          <w:szCs w:val="24"/>
        </w:rPr>
        <w:t xml:space="preserve">information on </w:t>
      </w:r>
      <w:r w:rsidRPr="00D75B0F">
        <w:rPr>
          <w:rFonts w:asciiTheme="minorHAnsi" w:hAnsiTheme="minorHAnsi" w:cs="Arial"/>
          <w:sz w:val="24"/>
          <w:szCs w:val="24"/>
        </w:rPr>
        <w:t xml:space="preserve">funding opportunities; and </w:t>
      </w:r>
    </w:p>
    <w:p w14:paraId="54411EDE" w14:textId="77777777" w:rsidR="007C520D" w:rsidRDefault="007C520D" w:rsidP="007C520D">
      <w:pPr>
        <w:rPr>
          <w:rFonts w:asciiTheme="minorHAnsi" w:hAnsiTheme="minorHAnsi" w:cs="Arial"/>
          <w:sz w:val="24"/>
          <w:szCs w:val="24"/>
        </w:rPr>
      </w:pPr>
      <w:r w:rsidRPr="00D75B0F">
        <w:rPr>
          <w:rFonts w:asciiTheme="minorHAnsi" w:hAnsiTheme="minorHAnsi" w:cs="Arial"/>
          <w:sz w:val="24"/>
          <w:szCs w:val="24"/>
        </w:rPr>
        <w:t>4. Develop a strategic plan to end homelessness in</w:t>
      </w:r>
      <w:r>
        <w:rPr>
          <w:rFonts w:asciiTheme="minorHAnsi" w:hAnsiTheme="minorHAnsi" w:cs="Arial"/>
          <w:sz w:val="24"/>
          <w:szCs w:val="24"/>
        </w:rPr>
        <w:t xml:space="preserve"> </w:t>
      </w:r>
      <w:r w:rsidRPr="00D75B0F">
        <w:rPr>
          <w:rFonts w:asciiTheme="minorHAnsi" w:hAnsiTheme="minorHAnsi" w:cs="Arial"/>
          <w:sz w:val="24"/>
          <w:szCs w:val="24"/>
        </w:rPr>
        <w:t xml:space="preserve">each </w:t>
      </w:r>
      <w:r>
        <w:rPr>
          <w:rFonts w:asciiTheme="minorHAnsi" w:hAnsiTheme="minorHAnsi" w:cs="Arial"/>
          <w:sz w:val="24"/>
          <w:szCs w:val="24"/>
        </w:rPr>
        <w:t>region</w:t>
      </w:r>
      <w:r w:rsidRPr="00D75B0F">
        <w:rPr>
          <w:rFonts w:asciiTheme="minorHAnsi" w:hAnsiTheme="minorHAnsi" w:cs="Arial"/>
          <w:sz w:val="24"/>
          <w:szCs w:val="24"/>
        </w:rPr>
        <w:t xml:space="preserve"> and the entire CoC. This goal includes an action step to</w:t>
      </w:r>
      <w:r>
        <w:rPr>
          <w:rFonts w:asciiTheme="minorHAnsi" w:hAnsiTheme="minorHAnsi" w:cs="Arial"/>
          <w:sz w:val="24"/>
          <w:szCs w:val="24"/>
        </w:rPr>
        <w:t xml:space="preserve"> </w:t>
      </w:r>
      <w:r w:rsidRPr="00D75B0F">
        <w:rPr>
          <w:rFonts w:asciiTheme="minorHAnsi" w:hAnsiTheme="minorHAnsi" w:cs="Arial"/>
          <w:sz w:val="24"/>
          <w:szCs w:val="24"/>
        </w:rPr>
        <w:t>conduct regional needs assessments which will lead to the development of a</w:t>
      </w:r>
      <w:r>
        <w:rPr>
          <w:rFonts w:asciiTheme="minorHAnsi" w:hAnsiTheme="minorHAnsi" w:cs="Arial"/>
          <w:sz w:val="24"/>
          <w:szCs w:val="24"/>
        </w:rPr>
        <w:t xml:space="preserve"> </w:t>
      </w:r>
      <w:r w:rsidRPr="00D75B0F">
        <w:rPr>
          <w:rFonts w:asciiTheme="minorHAnsi" w:hAnsiTheme="minorHAnsi" w:cs="Arial"/>
          <w:sz w:val="24"/>
          <w:szCs w:val="24"/>
        </w:rPr>
        <w:t xml:space="preserve">needs assessment for the </w:t>
      </w:r>
      <w:r>
        <w:rPr>
          <w:rFonts w:asciiTheme="minorHAnsi" w:hAnsiTheme="minorHAnsi" w:cs="Arial"/>
          <w:sz w:val="24"/>
          <w:szCs w:val="24"/>
        </w:rPr>
        <w:t xml:space="preserve">entire </w:t>
      </w:r>
      <w:r w:rsidRPr="00D75B0F">
        <w:rPr>
          <w:rFonts w:asciiTheme="minorHAnsi" w:hAnsiTheme="minorHAnsi" w:cs="Arial"/>
          <w:sz w:val="24"/>
          <w:szCs w:val="24"/>
        </w:rPr>
        <w:t>CoC.</w:t>
      </w:r>
    </w:p>
    <w:p w14:paraId="614A0DB4" w14:textId="77777777" w:rsidR="007C520D" w:rsidRDefault="007C520D" w:rsidP="007C520D">
      <w:pPr>
        <w:jc w:val="both"/>
        <w:rPr>
          <w:rFonts w:asciiTheme="minorHAnsi" w:hAnsiTheme="minorHAnsi" w:cs="Arial"/>
          <w:sz w:val="24"/>
          <w:szCs w:val="24"/>
        </w:rPr>
      </w:pPr>
    </w:p>
    <w:p w14:paraId="70FC912C" w14:textId="77777777" w:rsidR="007C520D" w:rsidRDefault="007C520D" w:rsidP="007C520D">
      <w:pPr>
        <w:jc w:val="both"/>
        <w:rPr>
          <w:rFonts w:asciiTheme="minorHAnsi" w:hAnsiTheme="minorHAnsi" w:cs="Arial"/>
          <w:sz w:val="24"/>
          <w:szCs w:val="24"/>
        </w:rPr>
      </w:pPr>
    </w:p>
    <w:p w14:paraId="245A3C92" w14:textId="77777777" w:rsidR="007C520D" w:rsidRDefault="007C520D" w:rsidP="007C520D">
      <w:pPr>
        <w:jc w:val="both"/>
        <w:rPr>
          <w:rFonts w:asciiTheme="minorHAnsi" w:hAnsiTheme="minorHAnsi" w:cs="Arial"/>
          <w:sz w:val="24"/>
          <w:szCs w:val="24"/>
        </w:rPr>
      </w:pPr>
    </w:p>
    <w:p w14:paraId="34D282FC" w14:textId="77777777" w:rsidR="007C520D" w:rsidRPr="00B37A95" w:rsidRDefault="007C520D" w:rsidP="007C520D">
      <w:pPr>
        <w:jc w:val="both"/>
        <w:rPr>
          <w:rFonts w:asciiTheme="minorHAnsi" w:hAnsiTheme="minorHAnsi" w:cs="Arial"/>
          <w:sz w:val="24"/>
          <w:szCs w:val="24"/>
        </w:rPr>
      </w:pPr>
    </w:p>
    <w:p w14:paraId="0AF7BE23" w14:textId="77777777" w:rsidR="007C520D" w:rsidRPr="00D25191" w:rsidRDefault="007C520D" w:rsidP="007C520D">
      <w:pPr>
        <w:spacing w:line="240" w:lineRule="auto"/>
        <w:contextualSpacing/>
        <w:rPr>
          <w:rFonts w:cs="Arial"/>
          <w:b/>
          <w:sz w:val="24"/>
          <w:szCs w:val="24"/>
        </w:rPr>
      </w:pPr>
      <w:r w:rsidRPr="00D25191">
        <w:rPr>
          <w:rFonts w:cs="Arial"/>
          <w:b/>
          <w:sz w:val="24"/>
          <w:szCs w:val="24"/>
        </w:rPr>
        <w:t xml:space="preserve">Table 5 – </w:t>
      </w:r>
      <w:r w:rsidRPr="00D25191">
        <w:rPr>
          <w:rFonts w:asciiTheme="minorHAnsi" w:hAnsiTheme="minorHAnsi" w:cs="Arial"/>
          <w:b/>
          <w:sz w:val="24"/>
          <w:szCs w:val="24"/>
        </w:rPr>
        <w:t>Homeless Prevention Services Summary</w:t>
      </w:r>
    </w:p>
    <w:tbl>
      <w:tblPr>
        <w:tblStyle w:val="GridTable4-Accent1"/>
        <w:tblW w:w="5000" w:type="pct"/>
        <w:tblLayout w:type="fixed"/>
        <w:tblLook w:val="0420" w:firstRow="1" w:lastRow="0" w:firstColumn="0" w:lastColumn="0" w:noHBand="0" w:noVBand="1"/>
      </w:tblPr>
      <w:tblGrid>
        <w:gridCol w:w="3020"/>
        <w:gridCol w:w="2110"/>
        <w:gridCol w:w="2110"/>
        <w:gridCol w:w="2110"/>
      </w:tblGrid>
      <w:tr w:rsidR="007C520D" w14:paraId="40A6FC30" w14:textId="77777777" w:rsidTr="007C520D">
        <w:trPr>
          <w:cnfStyle w:val="100000000000" w:firstRow="1" w:lastRow="0" w:firstColumn="0" w:lastColumn="0" w:oddVBand="0" w:evenVBand="0" w:oddHBand="0" w:evenHBand="0" w:firstRowFirstColumn="0" w:firstRowLastColumn="0" w:lastRowFirstColumn="0" w:lastRowLastColumn="0"/>
        </w:trPr>
        <w:tc>
          <w:tcPr>
            <w:tcW w:w="3060" w:type="dxa"/>
          </w:tcPr>
          <w:p w14:paraId="5D460E38" w14:textId="77777777" w:rsidR="007C520D" w:rsidRDefault="007C520D" w:rsidP="007C520D">
            <w:pPr>
              <w:keepNext/>
              <w:widowControl w:val="0"/>
              <w:spacing w:after="0" w:line="240" w:lineRule="auto"/>
              <w:contextualSpacing/>
              <w:jc w:val="center"/>
              <w:rPr>
                <w:rFonts w:cs="Arial"/>
              </w:rPr>
            </w:pPr>
            <w:r>
              <w:t>Homelessness Prevention Services</w:t>
            </w:r>
          </w:p>
        </w:tc>
        <w:tc>
          <w:tcPr>
            <w:tcW w:w="2136" w:type="dxa"/>
          </w:tcPr>
          <w:p w14:paraId="639C5B73" w14:textId="77777777" w:rsidR="007C520D" w:rsidRDefault="007C520D" w:rsidP="007C520D">
            <w:pPr>
              <w:keepNext/>
              <w:widowControl w:val="0"/>
              <w:spacing w:after="0" w:line="240" w:lineRule="auto"/>
              <w:contextualSpacing/>
              <w:jc w:val="center"/>
              <w:rPr>
                <w:rFonts w:cs="Arial"/>
              </w:rPr>
            </w:pPr>
            <w:r>
              <w:t>Available in the Community</w:t>
            </w:r>
          </w:p>
        </w:tc>
        <w:tc>
          <w:tcPr>
            <w:tcW w:w="2136" w:type="dxa"/>
          </w:tcPr>
          <w:p w14:paraId="006D3435" w14:textId="77777777" w:rsidR="007C520D" w:rsidRDefault="007C520D" w:rsidP="007C520D">
            <w:pPr>
              <w:keepNext/>
              <w:widowControl w:val="0"/>
              <w:spacing w:after="0" w:line="240" w:lineRule="auto"/>
              <w:contextualSpacing/>
              <w:jc w:val="center"/>
              <w:rPr>
                <w:rFonts w:cs="Arial"/>
              </w:rPr>
            </w:pPr>
            <w:r>
              <w:t>Targeted to Homeless</w:t>
            </w:r>
          </w:p>
        </w:tc>
        <w:tc>
          <w:tcPr>
            <w:tcW w:w="2136" w:type="dxa"/>
          </w:tcPr>
          <w:p w14:paraId="7878782B" w14:textId="77777777" w:rsidR="007C520D" w:rsidRDefault="007C520D" w:rsidP="007C520D">
            <w:pPr>
              <w:keepNext/>
              <w:widowControl w:val="0"/>
              <w:spacing w:after="0" w:line="240" w:lineRule="auto"/>
              <w:contextualSpacing/>
              <w:jc w:val="center"/>
              <w:rPr>
                <w:rFonts w:cs="Arial"/>
              </w:rPr>
            </w:pPr>
            <w:r>
              <w:t>Targeted to People with HIV</w:t>
            </w:r>
          </w:p>
        </w:tc>
      </w:tr>
      <w:tr w:rsidR="007C520D" w14:paraId="7A574E64" w14:textId="77777777" w:rsidTr="007C520D">
        <w:trPr>
          <w:cnfStyle w:val="000000100000" w:firstRow="0" w:lastRow="0" w:firstColumn="0" w:lastColumn="0" w:oddVBand="0" w:evenVBand="0" w:oddHBand="1" w:evenHBand="0" w:firstRowFirstColumn="0" w:firstRowLastColumn="0" w:lastRowFirstColumn="0" w:lastRowLastColumn="0"/>
          <w:trHeight w:val="107"/>
        </w:trPr>
        <w:tc>
          <w:tcPr>
            <w:tcW w:w="9468" w:type="dxa"/>
            <w:gridSpan w:val="4"/>
            <w:shd w:val="clear" w:color="auto" w:fill="4F81BD" w:themeFill="accent1"/>
          </w:tcPr>
          <w:p w14:paraId="61259879" w14:textId="77777777" w:rsidR="007C520D" w:rsidRPr="00D25191" w:rsidRDefault="007C520D" w:rsidP="007C520D">
            <w:pPr>
              <w:keepNext/>
              <w:widowControl w:val="0"/>
              <w:spacing w:after="0" w:line="240" w:lineRule="auto"/>
              <w:jc w:val="center"/>
              <w:rPr>
                <w:rFonts w:cs="Arial"/>
                <w:color w:val="FFFFFF" w:themeColor="background1"/>
              </w:rPr>
            </w:pPr>
            <w:r w:rsidRPr="00D25191">
              <w:rPr>
                <w:b/>
                <w:bCs/>
                <w:color w:val="FFFFFF" w:themeColor="background1"/>
              </w:rPr>
              <w:t>Homelessness Prevention Services</w:t>
            </w:r>
          </w:p>
        </w:tc>
      </w:tr>
      <w:tr w:rsidR="007C520D" w14:paraId="17564927" w14:textId="77777777" w:rsidTr="007C520D">
        <w:trPr>
          <w:hidden/>
        </w:trPr>
        <w:tc>
          <w:tcPr>
            <w:tcW w:w="3060" w:type="dxa"/>
          </w:tcPr>
          <w:p w14:paraId="02675CE0" w14:textId="77777777" w:rsidR="007C520D" w:rsidRDefault="007C520D" w:rsidP="007C520D">
            <w:pPr>
              <w:keepNext/>
              <w:widowControl w:val="0"/>
              <w:spacing w:after="0" w:line="240" w:lineRule="auto"/>
              <w:jc w:val="center"/>
              <w:rPr>
                <w:rFonts w:cs="Arial"/>
                <w:vanish/>
                <w:sz w:val="4"/>
                <w:szCs w:val="4"/>
              </w:rPr>
            </w:pPr>
          </w:p>
        </w:tc>
        <w:tc>
          <w:tcPr>
            <w:tcW w:w="2136" w:type="dxa"/>
          </w:tcPr>
          <w:p w14:paraId="5262AB4E" w14:textId="77777777" w:rsidR="007C520D" w:rsidRDefault="007C520D" w:rsidP="007C520D">
            <w:pPr>
              <w:keepNext/>
              <w:widowControl w:val="0"/>
              <w:spacing w:after="0" w:line="240" w:lineRule="auto"/>
              <w:jc w:val="center"/>
              <w:rPr>
                <w:rFonts w:cs="Arial"/>
                <w:vanish/>
                <w:sz w:val="4"/>
                <w:szCs w:val="4"/>
              </w:rPr>
            </w:pPr>
          </w:p>
        </w:tc>
        <w:tc>
          <w:tcPr>
            <w:tcW w:w="2136" w:type="dxa"/>
          </w:tcPr>
          <w:p w14:paraId="2E52B671" w14:textId="77777777" w:rsidR="007C520D" w:rsidRDefault="007C520D" w:rsidP="007C520D">
            <w:pPr>
              <w:keepNext/>
              <w:widowControl w:val="0"/>
              <w:spacing w:after="0" w:line="240" w:lineRule="auto"/>
              <w:jc w:val="center"/>
              <w:rPr>
                <w:rFonts w:cs="Arial"/>
                <w:vanish/>
                <w:sz w:val="4"/>
                <w:szCs w:val="4"/>
              </w:rPr>
            </w:pPr>
          </w:p>
        </w:tc>
        <w:tc>
          <w:tcPr>
            <w:tcW w:w="2136" w:type="dxa"/>
          </w:tcPr>
          <w:p w14:paraId="362DD522" w14:textId="77777777" w:rsidR="007C520D" w:rsidRDefault="007C520D" w:rsidP="007C520D">
            <w:pPr>
              <w:keepNext/>
              <w:widowControl w:val="0"/>
              <w:spacing w:after="0" w:line="240" w:lineRule="auto"/>
              <w:jc w:val="center"/>
              <w:rPr>
                <w:rFonts w:cs="Arial"/>
                <w:vanish/>
                <w:sz w:val="4"/>
                <w:szCs w:val="4"/>
              </w:rPr>
            </w:pPr>
          </w:p>
        </w:tc>
      </w:tr>
      <w:tr w:rsidR="007C520D" w14:paraId="7425EFE7"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644121CD" w14:textId="77777777" w:rsidR="007C520D" w:rsidRDefault="007C520D" w:rsidP="007C520D">
            <w:pPr>
              <w:keepNext/>
              <w:widowControl w:val="0"/>
              <w:spacing w:after="0" w:line="240" w:lineRule="auto"/>
              <w:rPr>
                <w:rFonts w:cs="Arial"/>
              </w:rPr>
            </w:pPr>
            <w:r>
              <w:t>Counseling/Advocacy</w:t>
            </w:r>
          </w:p>
        </w:tc>
        <w:tc>
          <w:tcPr>
            <w:tcW w:w="2136" w:type="dxa"/>
          </w:tcPr>
          <w:p w14:paraId="31BA9E00"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5F4C2863"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07B63543" w14:textId="77777777" w:rsidR="007C520D" w:rsidRDefault="007C520D" w:rsidP="007C520D">
            <w:pPr>
              <w:keepNext/>
              <w:widowControl w:val="0"/>
              <w:spacing w:after="0" w:line="240" w:lineRule="auto"/>
              <w:jc w:val="center"/>
              <w:rPr>
                <w:rFonts w:cs="Arial"/>
              </w:rPr>
            </w:pPr>
          </w:p>
        </w:tc>
      </w:tr>
      <w:tr w:rsidR="007C520D" w14:paraId="38CD1035" w14:textId="77777777" w:rsidTr="007C520D">
        <w:tc>
          <w:tcPr>
            <w:tcW w:w="3060" w:type="dxa"/>
          </w:tcPr>
          <w:p w14:paraId="6E716355" w14:textId="77777777" w:rsidR="007C520D" w:rsidRDefault="007C520D" w:rsidP="007C520D">
            <w:pPr>
              <w:keepNext/>
              <w:widowControl w:val="0"/>
              <w:spacing w:after="0" w:line="240" w:lineRule="auto"/>
              <w:rPr>
                <w:rFonts w:cs="Arial"/>
              </w:rPr>
            </w:pPr>
            <w:r>
              <w:t>Legal Assistance</w:t>
            </w:r>
          </w:p>
        </w:tc>
        <w:tc>
          <w:tcPr>
            <w:tcW w:w="2136" w:type="dxa"/>
          </w:tcPr>
          <w:p w14:paraId="0EFC9BCF" w14:textId="77777777" w:rsidR="007C520D" w:rsidRDefault="007C520D" w:rsidP="007C520D">
            <w:pPr>
              <w:keepNext/>
              <w:widowControl w:val="0"/>
              <w:spacing w:after="0" w:line="240" w:lineRule="auto"/>
              <w:jc w:val="center"/>
              <w:rPr>
                <w:rFonts w:cs="Arial"/>
              </w:rPr>
            </w:pPr>
          </w:p>
        </w:tc>
        <w:tc>
          <w:tcPr>
            <w:tcW w:w="2136" w:type="dxa"/>
          </w:tcPr>
          <w:p w14:paraId="0BF20548" w14:textId="77777777" w:rsidR="007C520D" w:rsidRDefault="007C520D" w:rsidP="007C520D">
            <w:pPr>
              <w:keepNext/>
              <w:widowControl w:val="0"/>
              <w:spacing w:after="0" w:line="240" w:lineRule="auto"/>
              <w:jc w:val="center"/>
              <w:rPr>
                <w:rFonts w:cs="Arial"/>
              </w:rPr>
            </w:pPr>
          </w:p>
        </w:tc>
        <w:tc>
          <w:tcPr>
            <w:tcW w:w="2136" w:type="dxa"/>
          </w:tcPr>
          <w:p w14:paraId="5EC14DA8" w14:textId="77777777" w:rsidR="007C520D" w:rsidRDefault="007C520D" w:rsidP="007C520D">
            <w:pPr>
              <w:keepNext/>
              <w:widowControl w:val="0"/>
              <w:spacing w:after="0" w:line="240" w:lineRule="auto"/>
              <w:jc w:val="center"/>
              <w:rPr>
                <w:rFonts w:cs="Arial"/>
              </w:rPr>
            </w:pPr>
          </w:p>
        </w:tc>
      </w:tr>
      <w:tr w:rsidR="007C520D" w14:paraId="2EB953CD"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2DF3837E" w14:textId="77777777" w:rsidR="007C520D" w:rsidRDefault="007C520D" w:rsidP="007C520D">
            <w:pPr>
              <w:keepNext/>
              <w:widowControl w:val="0"/>
              <w:spacing w:after="0" w:line="240" w:lineRule="auto"/>
              <w:rPr>
                <w:rFonts w:cs="Arial"/>
              </w:rPr>
            </w:pPr>
            <w:r>
              <w:t>Mortgage Assistance</w:t>
            </w:r>
          </w:p>
        </w:tc>
        <w:tc>
          <w:tcPr>
            <w:tcW w:w="2136" w:type="dxa"/>
          </w:tcPr>
          <w:p w14:paraId="72084220"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41DDBF29"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72FB5358" w14:textId="77777777" w:rsidR="007C520D" w:rsidRDefault="007C520D" w:rsidP="007C520D">
            <w:pPr>
              <w:keepNext/>
              <w:widowControl w:val="0"/>
              <w:spacing w:after="0" w:line="240" w:lineRule="auto"/>
              <w:jc w:val="center"/>
              <w:rPr>
                <w:rFonts w:cs="Arial"/>
              </w:rPr>
            </w:pPr>
            <w:r>
              <w:rPr>
                <w:rFonts w:cs="Arial"/>
              </w:rPr>
              <w:t>X</w:t>
            </w:r>
          </w:p>
        </w:tc>
      </w:tr>
      <w:tr w:rsidR="007C520D" w14:paraId="7A25E4AF" w14:textId="77777777" w:rsidTr="007C520D">
        <w:tc>
          <w:tcPr>
            <w:tcW w:w="3060" w:type="dxa"/>
          </w:tcPr>
          <w:p w14:paraId="16D0AAA1" w14:textId="77777777" w:rsidR="007C520D" w:rsidRDefault="007C520D" w:rsidP="007C520D">
            <w:pPr>
              <w:keepNext/>
              <w:widowControl w:val="0"/>
              <w:spacing w:after="0" w:line="240" w:lineRule="auto"/>
              <w:rPr>
                <w:rFonts w:cs="Arial"/>
              </w:rPr>
            </w:pPr>
            <w:r>
              <w:t>Rental Assistance</w:t>
            </w:r>
          </w:p>
        </w:tc>
        <w:tc>
          <w:tcPr>
            <w:tcW w:w="2136" w:type="dxa"/>
          </w:tcPr>
          <w:p w14:paraId="5E2E9D15"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3D4D0A1E"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4F89F26B" w14:textId="77777777" w:rsidR="007C520D" w:rsidRDefault="007C520D" w:rsidP="007C520D">
            <w:pPr>
              <w:keepNext/>
              <w:widowControl w:val="0"/>
              <w:spacing w:after="0" w:line="240" w:lineRule="auto"/>
              <w:jc w:val="center"/>
              <w:rPr>
                <w:rFonts w:cs="Arial"/>
              </w:rPr>
            </w:pPr>
            <w:r>
              <w:rPr>
                <w:rFonts w:cs="Arial"/>
              </w:rPr>
              <w:t>X</w:t>
            </w:r>
          </w:p>
        </w:tc>
      </w:tr>
      <w:tr w:rsidR="007C520D" w14:paraId="14D063F7"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1AC30A68" w14:textId="77777777" w:rsidR="007C520D" w:rsidRDefault="007C520D" w:rsidP="007C520D">
            <w:pPr>
              <w:keepNext/>
              <w:widowControl w:val="0"/>
              <w:spacing w:after="0" w:line="240" w:lineRule="auto"/>
              <w:rPr>
                <w:rFonts w:cs="Arial"/>
              </w:rPr>
            </w:pPr>
            <w:r>
              <w:t>Utilities Assistance</w:t>
            </w:r>
          </w:p>
        </w:tc>
        <w:tc>
          <w:tcPr>
            <w:tcW w:w="2136" w:type="dxa"/>
          </w:tcPr>
          <w:p w14:paraId="477302EF"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22446BC9"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35E7B325" w14:textId="77777777" w:rsidR="007C520D" w:rsidRDefault="007C520D" w:rsidP="007C520D">
            <w:pPr>
              <w:keepNext/>
              <w:widowControl w:val="0"/>
              <w:spacing w:after="0" w:line="240" w:lineRule="auto"/>
              <w:jc w:val="center"/>
              <w:rPr>
                <w:rFonts w:cs="Arial"/>
              </w:rPr>
            </w:pPr>
            <w:r>
              <w:rPr>
                <w:rFonts w:cs="Arial"/>
              </w:rPr>
              <w:t>X</w:t>
            </w:r>
          </w:p>
        </w:tc>
      </w:tr>
    </w:tbl>
    <w:p w14:paraId="1997C630" w14:textId="77777777" w:rsidR="007C520D" w:rsidRDefault="007C520D" w:rsidP="007C520D">
      <w:pPr>
        <w:spacing w:after="0" w:line="14" w:lineRule="exact"/>
        <w:rPr>
          <w:rFonts w:cs="Arial"/>
          <w:vanish/>
        </w:rPr>
      </w:pPr>
    </w:p>
    <w:tbl>
      <w:tblPr>
        <w:tblStyle w:val="GridTable4-Accent1"/>
        <w:tblW w:w="5000" w:type="pct"/>
        <w:tblLayout w:type="fixed"/>
        <w:tblLook w:val="0420" w:firstRow="1" w:lastRow="0" w:firstColumn="0" w:lastColumn="0" w:noHBand="0" w:noVBand="1"/>
      </w:tblPr>
      <w:tblGrid>
        <w:gridCol w:w="3020"/>
        <w:gridCol w:w="2110"/>
        <w:gridCol w:w="2110"/>
        <w:gridCol w:w="2110"/>
      </w:tblGrid>
      <w:tr w:rsidR="007C520D" w14:paraId="4418D280" w14:textId="77777777" w:rsidTr="007C520D">
        <w:trPr>
          <w:cnfStyle w:val="100000000000" w:firstRow="1" w:lastRow="0" w:firstColumn="0" w:lastColumn="0" w:oddVBand="0" w:evenVBand="0" w:oddHBand="0" w:evenHBand="0" w:firstRowFirstColumn="0" w:firstRowLastColumn="0" w:lastRowFirstColumn="0" w:lastRowLastColumn="0"/>
          <w:trHeight w:val="107"/>
        </w:trPr>
        <w:tc>
          <w:tcPr>
            <w:tcW w:w="9468" w:type="dxa"/>
            <w:gridSpan w:val="4"/>
          </w:tcPr>
          <w:p w14:paraId="6E9ACF8A" w14:textId="77777777" w:rsidR="007C520D" w:rsidRDefault="007C520D" w:rsidP="007C520D">
            <w:pPr>
              <w:keepNext/>
              <w:widowControl w:val="0"/>
              <w:spacing w:after="0" w:line="240" w:lineRule="auto"/>
              <w:jc w:val="center"/>
              <w:rPr>
                <w:rFonts w:cs="Arial"/>
              </w:rPr>
            </w:pPr>
            <w:r>
              <w:t>Street Outreach Services</w:t>
            </w:r>
          </w:p>
        </w:tc>
      </w:tr>
      <w:tr w:rsidR="007C520D" w14:paraId="33DCD184" w14:textId="77777777" w:rsidTr="007C520D">
        <w:trPr>
          <w:cnfStyle w:val="000000100000" w:firstRow="0" w:lastRow="0" w:firstColumn="0" w:lastColumn="0" w:oddVBand="0" w:evenVBand="0" w:oddHBand="1" w:evenHBand="0" w:firstRowFirstColumn="0" w:firstRowLastColumn="0" w:lastRowFirstColumn="0" w:lastRowLastColumn="0"/>
          <w:hidden/>
        </w:trPr>
        <w:tc>
          <w:tcPr>
            <w:tcW w:w="3060" w:type="dxa"/>
          </w:tcPr>
          <w:p w14:paraId="07504B99" w14:textId="77777777" w:rsidR="007C520D" w:rsidRDefault="007C520D" w:rsidP="007C520D">
            <w:pPr>
              <w:keepNext/>
              <w:widowControl w:val="0"/>
              <w:spacing w:after="0" w:line="240" w:lineRule="auto"/>
              <w:jc w:val="center"/>
              <w:rPr>
                <w:rFonts w:cs="Arial"/>
                <w:vanish/>
                <w:sz w:val="4"/>
                <w:szCs w:val="4"/>
              </w:rPr>
            </w:pPr>
          </w:p>
        </w:tc>
        <w:tc>
          <w:tcPr>
            <w:tcW w:w="2136" w:type="dxa"/>
          </w:tcPr>
          <w:p w14:paraId="2E70F0EB" w14:textId="77777777" w:rsidR="007C520D" w:rsidRDefault="007C520D" w:rsidP="007C520D">
            <w:pPr>
              <w:keepNext/>
              <w:widowControl w:val="0"/>
              <w:spacing w:after="0" w:line="240" w:lineRule="auto"/>
              <w:jc w:val="center"/>
              <w:rPr>
                <w:rFonts w:cs="Arial"/>
                <w:vanish/>
                <w:sz w:val="4"/>
                <w:szCs w:val="4"/>
              </w:rPr>
            </w:pPr>
          </w:p>
        </w:tc>
        <w:tc>
          <w:tcPr>
            <w:tcW w:w="2136" w:type="dxa"/>
          </w:tcPr>
          <w:p w14:paraId="3DD73406" w14:textId="77777777" w:rsidR="007C520D" w:rsidRDefault="007C520D" w:rsidP="007C520D">
            <w:pPr>
              <w:keepNext/>
              <w:widowControl w:val="0"/>
              <w:spacing w:after="0" w:line="240" w:lineRule="auto"/>
              <w:jc w:val="center"/>
              <w:rPr>
                <w:rFonts w:cs="Arial"/>
                <w:vanish/>
                <w:sz w:val="4"/>
                <w:szCs w:val="4"/>
              </w:rPr>
            </w:pPr>
          </w:p>
        </w:tc>
        <w:tc>
          <w:tcPr>
            <w:tcW w:w="2136" w:type="dxa"/>
          </w:tcPr>
          <w:p w14:paraId="03F39D0E" w14:textId="77777777" w:rsidR="007C520D" w:rsidRDefault="007C520D" w:rsidP="007C520D">
            <w:pPr>
              <w:keepNext/>
              <w:widowControl w:val="0"/>
              <w:spacing w:after="0" w:line="240" w:lineRule="auto"/>
              <w:jc w:val="center"/>
              <w:rPr>
                <w:rFonts w:cs="Arial"/>
                <w:vanish/>
                <w:sz w:val="4"/>
                <w:szCs w:val="4"/>
              </w:rPr>
            </w:pPr>
          </w:p>
        </w:tc>
      </w:tr>
      <w:tr w:rsidR="007C520D" w14:paraId="7FF70E2F" w14:textId="77777777" w:rsidTr="007C520D">
        <w:tc>
          <w:tcPr>
            <w:tcW w:w="3060" w:type="dxa"/>
          </w:tcPr>
          <w:p w14:paraId="395E8DF8" w14:textId="77777777" w:rsidR="007C520D" w:rsidRDefault="007C520D" w:rsidP="007C520D">
            <w:pPr>
              <w:keepNext/>
              <w:widowControl w:val="0"/>
              <w:spacing w:after="0" w:line="240" w:lineRule="auto"/>
              <w:rPr>
                <w:rFonts w:cs="Arial"/>
              </w:rPr>
            </w:pPr>
            <w:r>
              <w:t>Law Enforcement</w:t>
            </w:r>
          </w:p>
        </w:tc>
        <w:tc>
          <w:tcPr>
            <w:tcW w:w="2136" w:type="dxa"/>
          </w:tcPr>
          <w:p w14:paraId="7B7934D6" w14:textId="77777777" w:rsidR="007C520D" w:rsidRDefault="007C520D" w:rsidP="007C520D">
            <w:pPr>
              <w:keepNext/>
              <w:widowControl w:val="0"/>
              <w:spacing w:after="0" w:line="240" w:lineRule="auto"/>
              <w:jc w:val="center"/>
              <w:rPr>
                <w:rFonts w:cs="Arial"/>
              </w:rPr>
            </w:pPr>
          </w:p>
        </w:tc>
        <w:tc>
          <w:tcPr>
            <w:tcW w:w="2136" w:type="dxa"/>
          </w:tcPr>
          <w:p w14:paraId="73ECFC76" w14:textId="77777777" w:rsidR="007C520D" w:rsidRDefault="007C520D" w:rsidP="007C520D">
            <w:pPr>
              <w:keepNext/>
              <w:widowControl w:val="0"/>
              <w:spacing w:after="0" w:line="240" w:lineRule="auto"/>
              <w:jc w:val="center"/>
              <w:rPr>
                <w:rFonts w:cs="Arial"/>
              </w:rPr>
            </w:pPr>
          </w:p>
        </w:tc>
        <w:tc>
          <w:tcPr>
            <w:tcW w:w="2136" w:type="dxa"/>
          </w:tcPr>
          <w:p w14:paraId="659E2B7C" w14:textId="77777777" w:rsidR="007C520D" w:rsidRDefault="007C520D" w:rsidP="007C520D">
            <w:pPr>
              <w:keepNext/>
              <w:widowControl w:val="0"/>
              <w:spacing w:after="0" w:line="240" w:lineRule="auto"/>
              <w:jc w:val="center"/>
              <w:rPr>
                <w:rFonts w:cs="Arial"/>
              </w:rPr>
            </w:pPr>
          </w:p>
        </w:tc>
      </w:tr>
      <w:tr w:rsidR="007C520D" w14:paraId="7EC23042"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43E80E9F" w14:textId="77777777" w:rsidR="007C520D" w:rsidRDefault="007C520D" w:rsidP="007C520D">
            <w:pPr>
              <w:keepNext/>
              <w:widowControl w:val="0"/>
              <w:spacing w:after="0" w:line="240" w:lineRule="auto"/>
              <w:rPr>
                <w:rFonts w:cs="Arial"/>
              </w:rPr>
            </w:pPr>
            <w:r>
              <w:t>Mobile Clinics</w:t>
            </w:r>
          </w:p>
        </w:tc>
        <w:tc>
          <w:tcPr>
            <w:tcW w:w="2136" w:type="dxa"/>
          </w:tcPr>
          <w:p w14:paraId="3885B2D1" w14:textId="77777777" w:rsidR="007C520D" w:rsidRDefault="007C520D" w:rsidP="007C520D">
            <w:pPr>
              <w:keepNext/>
              <w:widowControl w:val="0"/>
              <w:spacing w:after="0" w:line="240" w:lineRule="auto"/>
              <w:jc w:val="center"/>
              <w:rPr>
                <w:rFonts w:cs="Arial"/>
              </w:rPr>
            </w:pPr>
          </w:p>
        </w:tc>
        <w:tc>
          <w:tcPr>
            <w:tcW w:w="2136" w:type="dxa"/>
          </w:tcPr>
          <w:p w14:paraId="7C29D995" w14:textId="77777777" w:rsidR="007C520D" w:rsidRDefault="007C520D" w:rsidP="007C520D">
            <w:pPr>
              <w:keepNext/>
              <w:widowControl w:val="0"/>
              <w:spacing w:after="0" w:line="240" w:lineRule="auto"/>
              <w:jc w:val="center"/>
              <w:rPr>
                <w:rFonts w:cs="Arial"/>
              </w:rPr>
            </w:pPr>
          </w:p>
        </w:tc>
        <w:tc>
          <w:tcPr>
            <w:tcW w:w="2136" w:type="dxa"/>
          </w:tcPr>
          <w:p w14:paraId="6C8D2B47" w14:textId="77777777" w:rsidR="007C520D" w:rsidRDefault="007C520D" w:rsidP="007C520D">
            <w:pPr>
              <w:keepNext/>
              <w:widowControl w:val="0"/>
              <w:spacing w:after="0" w:line="240" w:lineRule="auto"/>
              <w:jc w:val="center"/>
              <w:rPr>
                <w:rFonts w:cs="Arial"/>
              </w:rPr>
            </w:pPr>
          </w:p>
        </w:tc>
      </w:tr>
      <w:tr w:rsidR="007C520D" w14:paraId="6D0F79EE" w14:textId="77777777" w:rsidTr="007C520D">
        <w:tc>
          <w:tcPr>
            <w:tcW w:w="3060" w:type="dxa"/>
          </w:tcPr>
          <w:p w14:paraId="7AC262B6" w14:textId="77777777" w:rsidR="007C520D" w:rsidRDefault="007C520D" w:rsidP="007C520D">
            <w:pPr>
              <w:keepNext/>
              <w:widowControl w:val="0"/>
              <w:spacing w:after="0" w:line="240" w:lineRule="auto"/>
              <w:rPr>
                <w:rFonts w:cs="Arial"/>
              </w:rPr>
            </w:pPr>
            <w:r>
              <w:t>Other Street Outreach Services</w:t>
            </w:r>
          </w:p>
        </w:tc>
        <w:tc>
          <w:tcPr>
            <w:tcW w:w="2136" w:type="dxa"/>
          </w:tcPr>
          <w:p w14:paraId="0E51E15F"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763FB9B9"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05C4E19A" w14:textId="77777777" w:rsidR="007C520D" w:rsidRDefault="007C520D" w:rsidP="007C520D">
            <w:pPr>
              <w:keepNext/>
              <w:widowControl w:val="0"/>
              <w:spacing w:after="0" w:line="240" w:lineRule="auto"/>
              <w:jc w:val="center"/>
              <w:rPr>
                <w:rFonts w:cs="Arial"/>
              </w:rPr>
            </w:pPr>
          </w:p>
        </w:tc>
      </w:tr>
    </w:tbl>
    <w:p w14:paraId="05C58704" w14:textId="77777777" w:rsidR="007C520D" w:rsidRDefault="007C520D" w:rsidP="007C520D">
      <w:pPr>
        <w:rPr>
          <w:rFonts w:cs="Arial"/>
          <w:vanish/>
        </w:rPr>
      </w:pPr>
    </w:p>
    <w:tbl>
      <w:tblPr>
        <w:tblStyle w:val="GridTable4-Accent1"/>
        <w:tblW w:w="5000" w:type="pct"/>
        <w:tblLayout w:type="fixed"/>
        <w:tblLook w:val="0420" w:firstRow="1" w:lastRow="0" w:firstColumn="0" w:lastColumn="0" w:noHBand="0" w:noVBand="1"/>
      </w:tblPr>
      <w:tblGrid>
        <w:gridCol w:w="3020"/>
        <w:gridCol w:w="2110"/>
        <w:gridCol w:w="2110"/>
        <w:gridCol w:w="2110"/>
      </w:tblGrid>
      <w:tr w:rsidR="007C520D" w14:paraId="7E3D150F" w14:textId="77777777" w:rsidTr="007C520D">
        <w:trPr>
          <w:cnfStyle w:val="100000000000" w:firstRow="1" w:lastRow="0" w:firstColumn="0" w:lastColumn="0" w:oddVBand="0" w:evenVBand="0" w:oddHBand="0" w:evenHBand="0" w:firstRowFirstColumn="0" w:firstRowLastColumn="0" w:lastRowFirstColumn="0" w:lastRowLastColumn="0"/>
          <w:trHeight w:val="107"/>
        </w:trPr>
        <w:tc>
          <w:tcPr>
            <w:tcW w:w="9468" w:type="dxa"/>
            <w:gridSpan w:val="4"/>
          </w:tcPr>
          <w:p w14:paraId="05D95922" w14:textId="77777777" w:rsidR="007C520D" w:rsidRDefault="007C520D" w:rsidP="007C520D">
            <w:pPr>
              <w:keepNext/>
              <w:widowControl w:val="0"/>
              <w:spacing w:after="0" w:line="240" w:lineRule="auto"/>
              <w:jc w:val="center"/>
              <w:rPr>
                <w:rFonts w:cs="Arial"/>
              </w:rPr>
            </w:pPr>
            <w:r>
              <w:t>Supportive Services</w:t>
            </w:r>
          </w:p>
        </w:tc>
      </w:tr>
      <w:tr w:rsidR="007C520D" w14:paraId="60BC5129" w14:textId="77777777" w:rsidTr="007C520D">
        <w:trPr>
          <w:cnfStyle w:val="000000100000" w:firstRow="0" w:lastRow="0" w:firstColumn="0" w:lastColumn="0" w:oddVBand="0" w:evenVBand="0" w:oddHBand="1" w:evenHBand="0" w:firstRowFirstColumn="0" w:firstRowLastColumn="0" w:lastRowFirstColumn="0" w:lastRowLastColumn="0"/>
          <w:hidden/>
        </w:trPr>
        <w:tc>
          <w:tcPr>
            <w:tcW w:w="3060" w:type="dxa"/>
          </w:tcPr>
          <w:p w14:paraId="085DEAFF" w14:textId="77777777" w:rsidR="007C520D" w:rsidRDefault="007C520D" w:rsidP="007C520D">
            <w:pPr>
              <w:keepNext/>
              <w:widowControl w:val="0"/>
              <w:spacing w:after="0" w:line="240" w:lineRule="auto"/>
              <w:jc w:val="center"/>
              <w:rPr>
                <w:rFonts w:cs="Arial"/>
                <w:vanish/>
                <w:sz w:val="4"/>
                <w:szCs w:val="4"/>
              </w:rPr>
            </w:pPr>
          </w:p>
        </w:tc>
        <w:tc>
          <w:tcPr>
            <w:tcW w:w="2136" w:type="dxa"/>
          </w:tcPr>
          <w:p w14:paraId="160CE692" w14:textId="77777777" w:rsidR="007C520D" w:rsidRDefault="007C520D" w:rsidP="007C520D">
            <w:pPr>
              <w:keepNext/>
              <w:widowControl w:val="0"/>
              <w:spacing w:after="0" w:line="240" w:lineRule="auto"/>
              <w:jc w:val="center"/>
              <w:rPr>
                <w:rFonts w:cs="Arial"/>
                <w:vanish/>
                <w:sz w:val="4"/>
                <w:szCs w:val="4"/>
              </w:rPr>
            </w:pPr>
          </w:p>
        </w:tc>
        <w:tc>
          <w:tcPr>
            <w:tcW w:w="2136" w:type="dxa"/>
          </w:tcPr>
          <w:p w14:paraId="07F62FC8" w14:textId="77777777" w:rsidR="007C520D" w:rsidRDefault="007C520D" w:rsidP="007C520D">
            <w:pPr>
              <w:keepNext/>
              <w:widowControl w:val="0"/>
              <w:spacing w:after="0" w:line="240" w:lineRule="auto"/>
              <w:jc w:val="center"/>
              <w:rPr>
                <w:rFonts w:cs="Arial"/>
                <w:vanish/>
                <w:sz w:val="4"/>
                <w:szCs w:val="4"/>
              </w:rPr>
            </w:pPr>
          </w:p>
        </w:tc>
        <w:tc>
          <w:tcPr>
            <w:tcW w:w="2136" w:type="dxa"/>
          </w:tcPr>
          <w:p w14:paraId="0A93BCBD" w14:textId="77777777" w:rsidR="007C520D" w:rsidRDefault="007C520D" w:rsidP="007C520D">
            <w:pPr>
              <w:keepNext/>
              <w:widowControl w:val="0"/>
              <w:spacing w:after="0" w:line="240" w:lineRule="auto"/>
              <w:jc w:val="center"/>
              <w:rPr>
                <w:rFonts w:cs="Arial"/>
                <w:vanish/>
                <w:sz w:val="4"/>
                <w:szCs w:val="4"/>
              </w:rPr>
            </w:pPr>
          </w:p>
        </w:tc>
      </w:tr>
      <w:tr w:rsidR="007C520D" w14:paraId="419E4DA0" w14:textId="77777777" w:rsidTr="007C520D">
        <w:tc>
          <w:tcPr>
            <w:tcW w:w="3060" w:type="dxa"/>
          </w:tcPr>
          <w:p w14:paraId="33827C12" w14:textId="77777777" w:rsidR="007C520D" w:rsidRDefault="007C520D" w:rsidP="007C520D">
            <w:pPr>
              <w:keepNext/>
              <w:widowControl w:val="0"/>
              <w:spacing w:after="0" w:line="240" w:lineRule="auto"/>
              <w:rPr>
                <w:rFonts w:cs="Arial"/>
              </w:rPr>
            </w:pPr>
            <w:r>
              <w:t>Alcohol &amp; Drug Abuse</w:t>
            </w:r>
          </w:p>
        </w:tc>
        <w:tc>
          <w:tcPr>
            <w:tcW w:w="2136" w:type="dxa"/>
          </w:tcPr>
          <w:p w14:paraId="2FDE80C7"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05FF1BA7"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26D4827A" w14:textId="77777777" w:rsidR="007C520D" w:rsidRDefault="007C520D" w:rsidP="007C520D">
            <w:pPr>
              <w:keepNext/>
              <w:widowControl w:val="0"/>
              <w:spacing w:after="0" w:line="240" w:lineRule="auto"/>
              <w:jc w:val="center"/>
              <w:rPr>
                <w:rFonts w:cs="Arial"/>
              </w:rPr>
            </w:pPr>
            <w:r>
              <w:rPr>
                <w:rFonts w:cs="Arial"/>
              </w:rPr>
              <w:t>X</w:t>
            </w:r>
          </w:p>
        </w:tc>
      </w:tr>
      <w:tr w:rsidR="007C520D" w14:paraId="064B1902"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7114BBA7" w14:textId="77777777" w:rsidR="007C520D" w:rsidRDefault="007C520D" w:rsidP="007C520D">
            <w:pPr>
              <w:keepNext/>
              <w:widowControl w:val="0"/>
              <w:spacing w:after="0" w:line="240" w:lineRule="auto"/>
              <w:rPr>
                <w:rFonts w:cs="Arial"/>
              </w:rPr>
            </w:pPr>
            <w:r>
              <w:t>Child Care</w:t>
            </w:r>
          </w:p>
        </w:tc>
        <w:tc>
          <w:tcPr>
            <w:tcW w:w="2136" w:type="dxa"/>
          </w:tcPr>
          <w:p w14:paraId="436FEF47"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383B4924"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5571B574" w14:textId="77777777" w:rsidR="007C520D" w:rsidRDefault="007C520D" w:rsidP="007C520D">
            <w:pPr>
              <w:keepNext/>
              <w:widowControl w:val="0"/>
              <w:spacing w:after="0" w:line="240" w:lineRule="auto"/>
              <w:jc w:val="center"/>
              <w:rPr>
                <w:rFonts w:cs="Arial"/>
              </w:rPr>
            </w:pPr>
          </w:p>
        </w:tc>
      </w:tr>
      <w:tr w:rsidR="007C520D" w14:paraId="35903C63" w14:textId="77777777" w:rsidTr="007C520D">
        <w:tc>
          <w:tcPr>
            <w:tcW w:w="3060" w:type="dxa"/>
          </w:tcPr>
          <w:p w14:paraId="0A0B0A7E" w14:textId="77777777" w:rsidR="007C520D" w:rsidRDefault="007C520D" w:rsidP="007C520D">
            <w:pPr>
              <w:keepNext/>
              <w:widowControl w:val="0"/>
              <w:spacing w:after="0" w:line="240" w:lineRule="auto"/>
              <w:rPr>
                <w:rFonts w:cs="Arial"/>
              </w:rPr>
            </w:pPr>
            <w:r>
              <w:t>Education</w:t>
            </w:r>
          </w:p>
        </w:tc>
        <w:tc>
          <w:tcPr>
            <w:tcW w:w="2136" w:type="dxa"/>
          </w:tcPr>
          <w:p w14:paraId="649E300E"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23A67057"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4330789F" w14:textId="77777777" w:rsidR="007C520D" w:rsidRDefault="007C520D" w:rsidP="007C520D">
            <w:pPr>
              <w:keepNext/>
              <w:widowControl w:val="0"/>
              <w:spacing w:after="0" w:line="240" w:lineRule="auto"/>
              <w:jc w:val="center"/>
              <w:rPr>
                <w:rFonts w:cs="Arial"/>
              </w:rPr>
            </w:pPr>
          </w:p>
        </w:tc>
      </w:tr>
      <w:tr w:rsidR="007C520D" w14:paraId="63202ADD"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79696685" w14:textId="77777777" w:rsidR="007C520D" w:rsidRDefault="007C520D" w:rsidP="007C520D">
            <w:pPr>
              <w:keepNext/>
              <w:widowControl w:val="0"/>
              <w:spacing w:after="0" w:line="240" w:lineRule="auto"/>
              <w:rPr>
                <w:rFonts w:cs="Arial"/>
              </w:rPr>
            </w:pPr>
            <w:r>
              <w:t>Employment and Employment Training</w:t>
            </w:r>
          </w:p>
        </w:tc>
        <w:tc>
          <w:tcPr>
            <w:tcW w:w="2136" w:type="dxa"/>
          </w:tcPr>
          <w:p w14:paraId="5B8F043C"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18A25ED2"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281C5CC8" w14:textId="77777777" w:rsidR="007C520D" w:rsidRDefault="007C520D" w:rsidP="007C520D">
            <w:pPr>
              <w:keepNext/>
              <w:widowControl w:val="0"/>
              <w:spacing w:after="0" w:line="240" w:lineRule="auto"/>
              <w:jc w:val="center"/>
              <w:rPr>
                <w:rFonts w:cs="Arial"/>
              </w:rPr>
            </w:pPr>
          </w:p>
        </w:tc>
      </w:tr>
      <w:tr w:rsidR="007C520D" w14:paraId="70C49B17" w14:textId="77777777" w:rsidTr="007C520D">
        <w:tc>
          <w:tcPr>
            <w:tcW w:w="3060" w:type="dxa"/>
          </w:tcPr>
          <w:p w14:paraId="641941B1" w14:textId="77777777" w:rsidR="007C520D" w:rsidRDefault="007C520D" w:rsidP="007C520D">
            <w:pPr>
              <w:keepNext/>
              <w:widowControl w:val="0"/>
              <w:spacing w:after="0" w:line="240" w:lineRule="auto"/>
              <w:rPr>
                <w:rFonts w:cs="Arial"/>
              </w:rPr>
            </w:pPr>
            <w:r>
              <w:t>Healthcare</w:t>
            </w:r>
          </w:p>
        </w:tc>
        <w:tc>
          <w:tcPr>
            <w:tcW w:w="2136" w:type="dxa"/>
          </w:tcPr>
          <w:p w14:paraId="37FA023C"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0D3496F6"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359002B5" w14:textId="77777777" w:rsidR="007C520D" w:rsidRDefault="007C520D" w:rsidP="007C520D">
            <w:pPr>
              <w:keepNext/>
              <w:widowControl w:val="0"/>
              <w:spacing w:after="0" w:line="240" w:lineRule="auto"/>
              <w:jc w:val="center"/>
              <w:rPr>
                <w:rFonts w:cs="Arial"/>
              </w:rPr>
            </w:pPr>
            <w:r>
              <w:rPr>
                <w:rFonts w:cs="Arial"/>
              </w:rPr>
              <w:t>X</w:t>
            </w:r>
          </w:p>
        </w:tc>
      </w:tr>
      <w:tr w:rsidR="007C520D" w14:paraId="6956B285"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417EAA2E" w14:textId="77777777" w:rsidR="007C520D" w:rsidRDefault="007C520D" w:rsidP="007C520D">
            <w:pPr>
              <w:keepNext/>
              <w:widowControl w:val="0"/>
              <w:spacing w:after="0" w:line="240" w:lineRule="auto"/>
              <w:rPr>
                <w:rFonts w:cs="Arial"/>
              </w:rPr>
            </w:pPr>
            <w:r>
              <w:t>HIV/AIDS</w:t>
            </w:r>
          </w:p>
        </w:tc>
        <w:tc>
          <w:tcPr>
            <w:tcW w:w="2136" w:type="dxa"/>
          </w:tcPr>
          <w:p w14:paraId="3353850C"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2623EB23"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4B006605" w14:textId="77777777" w:rsidR="007C520D" w:rsidRDefault="007C520D" w:rsidP="007C520D">
            <w:pPr>
              <w:keepNext/>
              <w:widowControl w:val="0"/>
              <w:spacing w:after="0" w:line="240" w:lineRule="auto"/>
              <w:jc w:val="center"/>
              <w:rPr>
                <w:rFonts w:cs="Arial"/>
              </w:rPr>
            </w:pPr>
            <w:r>
              <w:rPr>
                <w:rFonts w:cs="Arial"/>
              </w:rPr>
              <w:t>X</w:t>
            </w:r>
          </w:p>
        </w:tc>
      </w:tr>
      <w:tr w:rsidR="007C520D" w14:paraId="23D070F9" w14:textId="77777777" w:rsidTr="007C520D">
        <w:tc>
          <w:tcPr>
            <w:tcW w:w="3060" w:type="dxa"/>
          </w:tcPr>
          <w:p w14:paraId="3E0B76F4" w14:textId="77777777" w:rsidR="007C520D" w:rsidRDefault="007C520D" w:rsidP="007C520D">
            <w:pPr>
              <w:keepNext/>
              <w:widowControl w:val="0"/>
              <w:spacing w:after="0" w:line="240" w:lineRule="auto"/>
              <w:rPr>
                <w:rFonts w:cs="Arial"/>
              </w:rPr>
            </w:pPr>
            <w:r>
              <w:t>Life Skills</w:t>
            </w:r>
          </w:p>
        </w:tc>
        <w:tc>
          <w:tcPr>
            <w:tcW w:w="2136" w:type="dxa"/>
          </w:tcPr>
          <w:p w14:paraId="58DF31ED"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058B2F49"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47A1C35C" w14:textId="77777777" w:rsidR="007C520D" w:rsidRDefault="007C520D" w:rsidP="007C520D">
            <w:pPr>
              <w:keepNext/>
              <w:widowControl w:val="0"/>
              <w:spacing w:after="0" w:line="240" w:lineRule="auto"/>
              <w:jc w:val="center"/>
              <w:rPr>
                <w:rFonts w:cs="Arial"/>
              </w:rPr>
            </w:pPr>
          </w:p>
        </w:tc>
      </w:tr>
      <w:tr w:rsidR="007C520D" w14:paraId="2A27F0A3" w14:textId="77777777" w:rsidTr="007C520D">
        <w:trPr>
          <w:cnfStyle w:val="000000100000" w:firstRow="0" w:lastRow="0" w:firstColumn="0" w:lastColumn="0" w:oddVBand="0" w:evenVBand="0" w:oddHBand="1" w:evenHBand="0" w:firstRowFirstColumn="0" w:firstRowLastColumn="0" w:lastRowFirstColumn="0" w:lastRowLastColumn="0"/>
        </w:trPr>
        <w:tc>
          <w:tcPr>
            <w:tcW w:w="3060" w:type="dxa"/>
          </w:tcPr>
          <w:p w14:paraId="0E8ABE0D" w14:textId="77777777" w:rsidR="007C520D" w:rsidRDefault="007C520D" w:rsidP="007C520D">
            <w:pPr>
              <w:keepNext/>
              <w:widowControl w:val="0"/>
              <w:spacing w:after="0" w:line="240" w:lineRule="auto"/>
              <w:rPr>
                <w:rFonts w:cs="Arial"/>
              </w:rPr>
            </w:pPr>
            <w:r>
              <w:t>Mental Health Counseling</w:t>
            </w:r>
          </w:p>
        </w:tc>
        <w:tc>
          <w:tcPr>
            <w:tcW w:w="2136" w:type="dxa"/>
          </w:tcPr>
          <w:p w14:paraId="7BA9B809"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39061DC4"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3AB0C2A4" w14:textId="77777777" w:rsidR="007C520D" w:rsidRDefault="007C520D" w:rsidP="007C520D">
            <w:pPr>
              <w:keepNext/>
              <w:widowControl w:val="0"/>
              <w:spacing w:after="0" w:line="240" w:lineRule="auto"/>
              <w:jc w:val="center"/>
              <w:rPr>
                <w:rFonts w:cs="Arial"/>
              </w:rPr>
            </w:pPr>
            <w:r>
              <w:rPr>
                <w:rFonts w:cs="Arial"/>
              </w:rPr>
              <w:t>X</w:t>
            </w:r>
          </w:p>
        </w:tc>
      </w:tr>
      <w:tr w:rsidR="007C520D" w14:paraId="711BEC8E" w14:textId="77777777" w:rsidTr="007C520D">
        <w:tc>
          <w:tcPr>
            <w:tcW w:w="3060" w:type="dxa"/>
          </w:tcPr>
          <w:p w14:paraId="594755A2" w14:textId="77777777" w:rsidR="007C520D" w:rsidRDefault="007C520D" w:rsidP="007C520D">
            <w:pPr>
              <w:keepNext/>
              <w:widowControl w:val="0"/>
              <w:spacing w:after="0" w:line="240" w:lineRule="auto"/>
              <w:rPr>
                <w:rFonts w:cs="Arial"/>
              </w:rPr>
            </w:pPr>
            <w:r>
              <w:t>Transportation</w:t>
            </w:r>
          </w:p>
        </w:tc>
        <w:tc>
          <w:tcPr>
            <w:tcW w:w="2136" w:type="dxa"/>
          </w:tcPr>
          <w:p w14:paraId="20AD1F70"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2C9BE1A2" w14:textId="77777777" w:rsidR="007C520D" w:rsidRDefault="007C520D" w:rsidP="007C520D">
            <w:pPr>
              <w:keepNext/>
              <w:widowControl w:val="0"/>
              <w:spacing w:after="0" w:line="240" w:lineRule="auto"/>
              <w:jc w:val="center"/>
              <w:rPr>
                <w:rFonts w:cs="Arial"/>
              </w:rPr>
            </w:pPr>
            <w:r>
              <w:rPr>
                <w:rFonts w:cs="Arial"/>
              </w:rPr>
              <w:t>X</w:t>
            </w:r>
          </w:p>
        </w:tc>
        <w:tc>
          <w:tcPr>
            <w:tcW w:w="2136" w:type="dxa"/>
          </w:tcPr>
          <w:p w14:paraId="732BC470" w14:textId="77777777" w:rsidR="007C520D" w:rsidRDefault="007C520D" w:rsidP="007C520D">
            <w:pPr>
              <w:keepNext/>
              <w:widowControl w:val="0"/>
              <w:spacing w:after="0" w:line="240" w:lineRule="auto"/>
              <w:jc w:val="center"/>
              <w:rPr>
                <w:rFonts w:cs="Arial"/>
              </w:rPr>
            </w:pPr>
            <w:r>
              <w:rPr>
                <w:rFonts w:cs="Arial"/>
              </w:rPr>
              <w:t>X</w:t>
            </w:r>
          </w:p>
        </w:tc>
      </w:tr>
    </w:tbl>
    <w:p w14:paraId="574EE4C4" w14:textId="77777777" w:rsidR="007C520D" w:rsidRDefault="007C520D" w:rsidP="007C520D">
      <w:pPr>
        <w:spacing w:after="0" w:line="14" w:lineRule="exact"/>
        <w:rPr>
          <w:rFonts w:cs="Arial"/>
          <w:vanish/>
        </w:rPr>
      </w:pPr>
    </w:p>
    <w:tbl>
      <w:tblPr>
        <w:tblStyle w:val="GridTable4-Accent1"/>
        <w:tblW w:w="5000" w:type="pct"/>
        <w:tblLayout w:type="fixed"/>
        <w:tblLook w:val="0420" w:firstRow="1" w:lastRow="0" w:firstColumn="0" w:lastColumn="0" w:noHBand="0" w:noVBand="1"/>
      </w:tblPr>
      <w:tblGrid>
        <w:gridCol w:w="3020"/>
        <w:gridCol w:w="2110"/>
        <w:gridCol w:w="2110"/>
        <w:gridCol w:w="2110"/>
      </w:tblGrid>
      <w:tr w:rsidR="007C520D" w14:paraId="2884499D" w14:textId="77777777" w:rsidTr="007C520D">
        <w:trPr>
          <w:cnfStyle w:val="100000000000" w:firstRow="1" w:lastRow="0" w:firstColumn="0" w:lastColumn="0" w:oddVBand="0" w:evenVBand="0" w:oddHBand="0" w:evenHBand="0" w:firstRowFirstColumn="0" w:firstRowLastColumn="0" w:lastRowFirstColumn="0" w:lastRowLastColumn="0"/>
          <w:trHeight w:val="107"/>
        </w:trPr>
        <w:tc>
          <w:tcPr>
            <w:tcW w:w="9468" w:type="dxa"/>
            <w:gridSpan w:val="4"/>
          </w:tcPr>
          <w:p w14:paraId="08AB23AD" w14:textId="77777777" w:rsidR="007C520D" w:rsidRDefault="007C520D" w:rsidP="007C520D">
            <w:pPr>
              <w:keepNext/>
              <w:widowControl w:val="0"/>
              <w:spacing w:after="0" w:line="240" w:lineRule="auto"/>
              <w:jc w:val="center"/>
              <w:rPr>
                <w:rFonts w:cs="Arial"/>
              </w:rPr>
            </w:pPr>
            <w:r>
              <w:t>Other</w:t>
            </w:r>
          </w:p>
        </w:tc>
      </w:tr>
      <w:tr w:rsidR="007C520D" w14:paraId="18DEC0C0" w14:textId="77777777" w:rsidTr="007C520D">
        <w:trPr>
          <w:cnfStyle w:val="000000100000" w:firstRow="0" w:lastRow="0" w:firstColumn="0" w:lastColumn="0" w:oddVBand="0" w:evenVBand="0" w:oddHBand="1" w:evenHBand="0" w:firstRowFirstColumn="0" w:firstRowLastColumn="0" w:lastRowFirstColumn="0" w:lastRowLastColumn="0"/>
          <w:hidden/>
        </w:trPr>
        <w:tc>
          <w:tcPr>
            <w:tcW w:w="3060" w:type="dxa"/>
          </w:tcPr>
          <w:p w14:paraId="7608D47D" w14:textId="77777777" w:rsidR="007C520D" w:rsidRDefault="007C520D" w:rsidP="007C520D">
            <w:pPr>
              <w:keepNext/>
              <w:widowControl w:val="0"/>
              <w:spacing w:after="0" w:line="240" w:lineRule="auto"/>
              <w:jc w:val="center"/>
              <w:rPr>
                <w:rFonts w:cs="Arial"/>
                <w:vanish/>
              </w:rPr>
            </w:pPr>
          </w:p>
        </w:tc>
        <w:tc>
          <w:tcPr>
            <w:tcW w:w="2136" w:type="dxa"/>
          </w:tcPr>
          <w:p w14:paraId="4BCCB20D" w14:textId="77777777" w:rsidR="007C520D" w:rsidRDefault="007C520D" w:rsidP="007C520D">
            <w:pPr>
              <w:keepNext/>
              <w:widowControl w:val="0"/>
              <w:spacing w:after="0" w:line="240" w:lineRule="auto"/>
              <w:jc w:val="center"/>
              <w:rPr>
                <w:rFonts w:cs="Arial"/>
                <w:vanish/>
              </w:rPr>
            </w:pPr>
          </w:p>
        </w:tc>
        <w:tc>
          <w:tcPr>
            <w:tcW w:w="2136" w:type="dxa"/>
          </w:tcPr>
          <w:p w14:paraId="06D77345" w14:textId="77777777" w:rsidR="007C520D" w:rsidRDefault="007C520D" w:rsidP="007C520D">
            <w:pPr>
              <w:keepNext/>
              <w:widowControl w:val="0"/>
              <w:spacing w:after="0" w:line="240" w:lineRule="auto"/>
              <w:jc w:val="center"/>
              <w:rPr>
                <w:rFonts w:cs="Arial"/>
                <w:vanish/>
              </w:rPr>
            </w:pPr>
          </w:p>
        </w:tc>
        <w:tc>
          <w:tcPr>
            <w:tcW w:w="2136" w:type="dxa"/>
          </w:tcPr>
          <w:p w14:paraId="126DC9AE" w14:textId="77777777" w:rsidR="007C520D" w:rsidRDefault="007C520D" w:rsidP="007C520D">
            <w:pPr>
              <w:keepNext/>
              <w:widowControl w:val="0"/>
              <w:spacing w:after="0" w:line="240" w:lineRule="auto"/>
              <w:jc w:val="center"/>
              <w:rPr>
                <w:rFonts w:cs="Arial"/>
                <w:vanish/>
              </w:rPr>
            </w:pPr>
          </w:p>
        </w:tc>
      </w:tr>
      <w:tr w:rsidR="007C520D" w14:paraId="58819E9A" w14:textId="77777777" w:rsidTr="007C520D">
        <w:tc>
          <w:tcPr>
            <w:tcW w:w="3060" w:type="dxa"/>
          </w:tcPr>
          <w:p w14:paraId="3495437E" w14:textId="77777777" w:rsidR="007C520D" w:rsidRDefault="007C520D" w:rsidP="007C520D">
            <w:pPr>
              <w:keepNext/>
              <w:widowControl w:val="0"/>
              <w:spacing w:after="0" w:line="240" w:lineRule="auto"/>
              <w:rPr>
                <w:rFonts w:cs="Arial"/>
              </w:rPr>
            </w:pPr>
            <w:r>
              <w:t>Other</w:t>
            </w:r>
          </w:p>
        </w:tc>
        <w:tc>
          <w:tcPr>
            <w:tcW w:w="2136" w:type="dxa"/>
          </w:tcPr>
          <w:p w14:paraId="5D4B0606" w14:textId="77777777" w:rsidR="007C520D" w:rsidRDefault="007C520D" w:rsidP="007C520D">
            <w:pPr>
              <w:keepNext/>
              <w:widowControl w:val="0"/>
              <w:spacing w:after="0" w:line="240" w:lineRule="auto"/>
              <w:jc w:val="center"/>
              <w:rPr>
                <w:rFonts w:cs="Arial"/>
              </w:rPr>
            </w:pPr>
          </w:p>
        </w:tc>
        <w:tc>
          <w:tcPr>
            <w:tcW w:w="2136" w:type="dxa"/>
          </w:tcPr>
          <w:p w14:paraId="2232F870" w14:textId="77777777" w:rsidR="007C520D" w:rsidRDefault="007C520D" w:rsidP="007C520D">
            <w:pPr>
              <w:keepNext/>
              <w:widowControl w:val="0"/>
              <w:spacing w:after="0" w:line="240" w:lineRule="auto"/>
              <w:jc w:val="center"/>
              <w:rPr>
                <w:rFonts w:cs="Arial"/>
              </w:rPr>
            </w:pPr>
          </w:p>
        </w:tc>
        <w:tc>
          <w:tcPr>
            <w:tcW w:w="2136" w:type="dxa"/>
          </w:tcPr>
          <w:p w14:paraId="18719584" w14:textId="77777777" w:rsidR="007C520D" w:rsidRDefault="007C520D" w:rsidP="007C520D">
            <w:pPr>
              <w:keepNext/>
              <w:widowControl w:val="0"/>
              <w:spacing w:after="0" w:line="240" w:lineRule="auto"/>
              <w:jc w:val="center"/>
              <w:rPr>
                <w:rFonts w:cs="Arial"/>
              </w:rPr>
            </w:pPr>
          </w:p>
        </w:tc>
      </w:tr>
    </w:tbl>
    <w:p w14:paraId="7FAE55E1" w14:textId="77777777" w:rsidR="007C520D" w:rsidRDefault="007C520D" w:rsidP="007C520D">
      <w:pPr>
        <w:rPr>
          <w:b/>
          <w:sz w:val="24"/>
          <w:szCs w:val="24"/>
        </w:rPr>
      </w:pPr>
    </w:p>
    <w:p w14:paraId="5E219412" w14:textId="77777777" w:rsidR="007C520D" w:rsidRDefault="007C520D" w:rsidP="007C520D">
      <w:pPr>
        <w:rPr>
          <w:b/>
          <w:sz w:val="24"/>
          <w:szCs w:val="24"/>
        </w:rPr>
      </w:pPr>
      <w:r>
        <w:rPr>
          <w:b/>
          <w:sz w:val="24"/>
          <w:szCs w:val="24"/>
        </w:rPr>
        <w:t>Describe the extent to which services targeted to homeless person and persons with HIV and mainstream services, such as health, mental health and employment services are made available to and used by homeless persons (particularly chronically homeless individuals and families, families with children, veterans and their families and unaccompanied youth) and persons with HIV within the jurisdiction</w:t>
      </w:r>
    </w:p>
    <w:p w14:paraId="493A4FC7" w14:textId="7559EA7D" w:rsidR="007C520D" w:rsidRPr="00DC0334" w:rsidRDefault="007C520D" w:rsidP="007C520D">
      <w:pPr>
        <w:autoSpaceDE w:val="0"/>
        <w:autoSpaceDN w:val="0"/>
        <w:adjustRightInd w:val="0"/>
        <w:spacing w:after="0"/>
        <w:rPr>
          <w:rFonts w:asciiTheme="minorHAnsi" w:hAnsiTheme="minorHAnsi" w:cs="Arial"/>
          <w:sz w:val="24"/>
          <w:szCs w:val="24"/>
        </w:rPr>
      </w:pPr>
      <w:r w:rsidRPr="00DC0334">
        <w:rPr>
          <w:rFonts w:asciiTheme="minorHAnsi" w:hAnsiTheme="minorHAnsi" w:cs="Arial"/>
          <w:sz w:val="24"/>
          <w:szCs w:val="24"/>
        </w:rPr>
        <w:t>The KSHC represents the BoS CoC on a number of statewide committees</w:t>
      </w:r>
      <w:r>
        <w:rPr>
          <w:rFonts w:asciiTheme="minorHAnsi" w:hAnsiTheme="minorHAnsi" w:cs="Arial"/>
          <w:sz w:val="24"/>
          <w:szCs w:val="24"/>
        </w:rPr>
        <w:t xml:space="preserve"> </w:t>
      </w:r>
      <w:r w:rsidRPr="00DC0334">
        <w:rPr>
          <w:rFonts w:asciiTheme="minorHAnsi" w:hAnsiTheme="minorHAnsi" w:cs="Arial"/>
          <w:sz w:val="24"/>
          <w:szCs w:val="24"/>
        </w:rPr>
        <w:t xml:space="preserve">looking </w:t>
      </w:r>
      <w:r>
        <w:rPr>
          <w:rFonts w:asciiTheme="minorHAnsi" w:hAnsiTheme="minorHAnsi" w:cs="Arial"/>
          <w:sz w:val="24"/>
          <w:szCs w:val="24"/>
        </w:rPr>
        <w:t xml:space="preserve">at issues of homelessness at a </w:t>
      </w:r>
      <w:r w:rsidR="00556755">
        <w:rPr>
          <w:rFonts w:asciiTheme="minorHAnsi" w:hAnsiTheme="minorHAnsi" w:cs="Arial"/>
          <w:sz w:val="24"/>
          <w:szCs w:val="24"/>
        </w:rPr>
        <w:t>state</w:t>
      </w:r>
      <w:r w:rsidRPr="00DC0334">
        <w:rPr>
          <w:rFonts w:asciiTheme="minorHAnsi" w:hAnsiTheme="minorHAnsi" w:cs="Arial"/>
          <w:sz w:val="24"/>
          <w:szCs w:val="24"/>
        </w:rPr>
        <w:t xml:space="preserve"> level. These committees include</w:t>
      </w:r>
      <w:r>
        <w:rPr>
          <w:rFonts w:asciiTheme="minorHAnsi" w:hAnsiTheme="minorHAnsi" w:cs="Arial"/>
          <w:sz w:val="24"/>
          <w:szCs w:val="24"/>
        </w:rPr>
        <w:t xml:space="preserve"> </w:t>
      </w:r>
      <w:r w:rsidRPr="00DC0334">
        <w:rPr>
          <w:rFonts w:asciiTheme="minorHAnsi" w:hAnsiTheme="minorHAnsi" w:cs="Arial"/>
          <w:sz w:val="24"/>
          <w:szCs w:val="24"/>
        </w:rPr>
        <w:t>the Kansas Interagency Council on Homelessness and the Governor’s Planning</w:t>
      </w:r>
      <w:r>
        <w:rPr>
          <w:rFonts w:asciiTheme="minorHAnsi" w:hAnsiTheme="minorHAnsi" w:cs="Arial"/>
          <w:sz w:val="24"/>
          <w:szCs w:val="24"/>
        </w:rPr>
        <w:t xml:space="preserve"> </w:t>
      </w:r>
      <w:r w:rsidRPr="00DC0334">
        <w:rPr>
          <w:rFonts w:asciiTheme="minorHAnsi" w:hAnsiTheme="minorHAnsi" w:cs="Arial"/>
          <w:sz w:val="24"/>
          <w:szCs w:val="24"/>
        </w:rPr>
        <w:t>Council’s Subcommittee on Housing and Homelessness. Both committees</w:t>
      </w:r>
      <w:r>
        <w:rPr>
          <w:rFonts w:asciiTheme="minorHAnsi" w:hAnsiTheme="minorHAnsi" w:cs="Arial"/>
          <w:sz w:val="24"/>
          <w:szCs w:val="24"/>
        </w:rPr>
        <w:t xml:space="preserve"> </w:t>
      </w:r>
      <w:r w:rsidRPr="00DC0334">
        <w:rPr>
          <w:rFonts w:asciiTheme="minorHAnsi" w:hAnsiTheme="minorHAnsi" w:cs="Arial"/>
          <w:sz w:val="24"/>
          <w:szCs w:val="24"/>
        </w:rPr>
        <w:t>include membership from the Veteran’s Administration and Kansas Housing</w:t>
      </w:r>
      <w:r>
        <w:rPr>
          <w:rFonts w:asciiTheme="minorHAnsi" w:hAnsiTheme="minorHAnsi" w:cs="Arial"/>
          <w:sz w:val="24"/>
          <w:szCs w:val="24"/>
        </w:rPr>
        <w:t xml:space="preserve"> </w:t>
      </w:r>
      <w:r w:rsidRPr="00DC0334">
        <w:rPr>
          <w:rFonts w:asciiTheme="minorHAnsi" w:hAnsiTheme="minorHAnsi" w:cs="Arial"/>
          <w:sz w:val="24"/>
          <w:szCs w:val="24"/>
        </w:rPr>
        <w:t>Resources Corporation. Last year, a new Supportive Services for Veteran</w:t>
      </w:r>
    </w:p>
    <w:p w14:paraId="5D136BF1" w14:textId="77777777" w:rsidR="007C520D" w:rsidRPr="00DC0334" w:rsidRDefault="007C520D" w:rsidP="007C520D">
      <w:pPr>
        <w:autoSpaceDE w:val="0"/>
        <w:autoSpaceDN w:val="0"/>
        <w:adjustRightInd w:val="0"/>
        <w:spacing w:after="0"/>
        <w:rPr>
          <w:rFonts w:asciiTheme="minorHAnsi" w:hAnsiTheme="minorHAnsi" w:cs="Arial"/>
          <w:sz w:val="24"/>
          <w:szCs w:val="24"/>
        </w:rPr>
      </w:pPr>
      <w:r w:rsidRPr="00DC0334">
        <w:rPr>
          <w:rFonts w:asciiTheme="minorHAnsi" w:hAnsiTheme="minorHAnsi" w:cs="Arial"/>
          <w:sz w:val="24"/>
          <w:szCs w:val="24"/>
        </w:rPr>
        <w:t xml:space="preserve">Families </w:t>
      </w:r>
      <w:r>
        <w:rPr>
          <w:rFonts w:asciiTheme="minorHAnsi" w:hAnsiTheme="minorHAnsi" w:cs="Arial"/>
          <w:sz w:val="24"/>
          <w:szCs w:val="24"/>
        </w:rPr>
        <w:t xml:space="preserve">(SSVF) program began in Kansas. </w:t>
      </w:r>
      <w:r w:rsidRPr="00DC0334">
        <w:rPr>
          <w:rFonts w:asciiTheme="minorHAnsi" w:hAnsiTheme="minorHAnsi" w:cs="Arial"/>
          <w:sz w:val="24"/>
          <w:szCs w:val="24"/>
        </w:rPr>
        <w:t>The</w:t>
      </w:r>
      <w:r>
        <w:rPr>
          <w:rFonts w:asciiTheme="minorHAnsi" w:hAnsiTheme="minorHAnsi" w:cs="Arial"/>
          <w:sz w:val="24"/>
          <w:szCs w:val="24"/>
        </w:rPr>
        <w:t xml:space="preserve"> </w:t>
      </w:r>
      <w:r w:rsidRPr="00DC0334">
        <w:rPr>
          <w:rFonts w:asciiTheme="minorHAnsi" w:hAnsiTheme="minorHAnsi" w:cs="Arial"/>
          <w:sz w:val="24"/>
          <w:szCs w:val="24"/>
        </w:rPr>
        <w:t xml:space="preserve">ESG Program Manager is very involved with the BoS </w:t>
      </w:r>
      <w:r>
        <w:rPr>
          <w:rFonts w:asciiTheme="minorHAnsi" w:hAnsiTheme="minorHAnsi" w:cs="Arial"/>
          <w:sz w:val="24"/>
          <w:szCs w:val="24"/>
        </w:rPr>
        <w:t>CoC</w:t>
      </w:r>
      <w:r w:rsidRPr="00DC0334">
        <w:rPr>
          <w:rFonts w:asciiTheme="minorHAnsi" w:hAnsiTheme="minorHAnsi" w:cs="Arial"/>
          <w:sz w:val="24"/>
          <w:szCs w:val="24"/>
        </w:rPr>
        <w:t xml:space="preserve"> by</w:t>
      </w:r>
      <w:r>
        <w:rPr>
          <w:rFonts w:asciiTheme="minorHAnsi" w:hAnsiTheme="minorHAnsi" w:cs="Arial"/>
          <w:sz w:val="24"/>
          <w:szCs w:val="24"/>
        </w:rPr>
        <w:t xml:space="preserve"> </w:t>
      </w:r>
      <w:r w:rsidRPr="00DC0334">
        <w:rPr>
          <w:rFonts w:asciiTheme="minorHAnsi" w:hAnsiTheme="minorHAnsi" w:cs="Arial"/>
          <w:sz w:val="24"/>
          <w:szCs w:val="24"/>
        </w:rPr>
        <w:t>attending the BoS membership committee meetings.</w:t>
      </w:r>
    </w:p>
    <w:p w14:paraId="4D20F6E8" w14:textId="77777777" w:rsidR="007C520D" w:rsidRDefault="007C520D" w:rsidP="007C520D">
      <w:pPr>
        <w:autoSpaceDE w:val="0"/>
        <w:autoSpaceDN w:val="0"/>
        <w:adjustRightInd w:val="0"/>
        <w:spacing w:after="0"/>
        <w:rPr>
          <w:rFonts w:ascii="Arial" w:hAnsi="Arial" w:cs="Arial"/>
          <w:sz w:val="24"/>
          <w:szCs w:val="24"/>
          <w:lang w:eastAsia="ko-KR"/>
        </w:rPr>
      </w:pPr>
    </w:p>
    <w:p w14:paraId="04AD13E0" w14:textId="77777777" w:rsidR="007C520D" w:rsidRDefault="007C520D" w:rsidP="007C520D">
      <w:pPr>
        <w:rPr>
          <w:b/>
          <w:sz w:val="24"/>
          <w:szCs w:val="24"/>
        </w:rPr>
      </w:pPr>
      <w:r w:rsidRPr="00DC0334">
        <w:rPr>
          <w:rFonts w:asciiTheme="minorHAnsi" w:hAnsiTheme="minorHAnsi" w:cs="Arial"/>
          <w:sz w:val="24"/>
          <w:szCs w:val="24"/>
        </w:rPr>
        <w:t>The CoC will review and evaluate current project performance through the</w:t>
      </w:r>
      <w:r>
        <w:rPr>
          <w:rFonts w:asciiTheme="minorHAnsi" w:hAnsiTheme="minorHAnsi" w:cs="Arial"/>
          <w:sz w:val="24"/>
          <w:szCs w:val="24"/>
        </w:rPr>
        <w:t xml:space="preserve"> </w:t>
      </w:r>
      <w:r w:rsidRPr="00DC0334">
        <w:rPr>
          <w:rFonts w:asciiTheme="minorHAnsi" w:hAnsiTheme="minorHAnsi" w:cs="Arial"/>
          <w:sz w:val="24"/>
          <w:szCs w:val="24"/>
        </w:rPr>
        <w:t>monitoring activities as the Collaborative Applicant. Projects performing below</w:t>
      </w:r>
      <w:r>
        <w:rPr>
          <w:rFonts w:asciiTheme="minorHAnsi" w:hAnsiTheme="minorHAnsi" w:cs="Arial"/>
          <w:sz w:val="24"/>
          <w:szCs w:val="24"/>
        </w:rPr>
        <w:t xml:space="preserve"> </w:t>
      </w:r>
      <w:r w:rsidRPr="00DC0334">
        <w:rPr>
          <w:rFonts w:asciiTheme="minorHAnsi" w:hAnsiTheme="minorHAnsi" w:cs="Arial"/>
          <w:sz w:val="24"/>
          <w:szCs w:val="24"/>
        </w:rPr>
        <w:t>the 80% threshold will be provided technical assistance. Through regular</w:t>
      </w:r>
      <w:r>
        <w:rPr>
          <w:rFonts w:asciiTheme="minorHAnsi" w:hAnsiTheme="minorHAnsi" w:cs="Arial"/>
          <w:sz w:val="24"/>
          <w:szCs w:val="24"/>
        </w:rPr>
        <w:t xml:space="preserve"> </w:t>
      </w:r>
      <w:r w:rsidRPr="00DC0334">
        <w:rPr>
          <w:rFonts w:asciiTheme="minorHAnsi" w:hAnsiTheme="minorHAnsi" w:cs="Arial"/>
          <w:sz w:val="24"/>
          <w:szCs w:val="24"/>
        </w:rPr>
        <w:t>regional coord</w:t>
      </w:r>
      <w:r>
        <w:rPr>
          <w:rFonts w:asciiTheme="minorHAnsi" w:hAnsiTheme="minorHAnsi" w:cs="Arial"/>
          <w:sz w:val="24"/>
          <w:szCs w:val="24"/>
        </w:rPr>
        <w:t xml:space="preserve">inator contact, and educational </w:t>
      </w:r>
      <w:r w:rsidRPr="00DC0334">
        <w:rPr>
          <w:rFonts w:asciiTheme="minorHAnsi" w:hAnsiTheme="minorHAnsi" w:cs="Arial"/>
          <w:sz w:val="24"/>
          <w:szCs w:val="24"/>
        </w:rPr>
        <w:t>opportunities offered during the</w:t>
      </w:r>
      <w:r>
        <w:rPr>
          <w:rFonts w:asciiTheme="minorHAnsi" w:hAnsiTheme="minorHAnsi" w:cs="Arial"/>
          <w:sz w:val="24"/>
          <w:szCs w:val="24"/>
        </w:rPr>
        <w:t xml:space="preserve"> </w:t>
      </w:r>
      <w:r w:rsidRPr="00DC0334">
        <w:rPr>
          <w:rFonts w:asciiTheme="minorHAnsi" w:hAnsiTheme="minorHAnsi" w:cs="Arial"/>
          <w:sz w:val="24"/>
          <w:szCs w:val="24"/>
        </w:rPr>
        <w:t>annual statewide summit and regional mini-summits, the CoC will encourage</w:t>
      </w:r>
      <w:r>
        <w:rPr>
          <w:rFonts w:asciiTheme="minorHAnsi" w:hAnsiTheme="minorHAnsi" w:cs="Arial"/>
          <w:sz w:val="24"/>
          <w:szCs w:val="24"/>
        </w:rPr>
        <w:t xml:space="preserve"> </w:t>
      </w:r>
      <w:r w:rsidRPr="00DC0334">
        <w:rPr>
          <w:rFonts w:asciiTheme="minorHAnsi" w:hAnsiTheme="minorHAnsi" w:cs="Arial"/>
          <w:sz w:val="24"/>
          <w:szCs w:val="24"/>
        </w:rPr>
        <w:t>best practices including strength-based case management, housing first/rapid</w:t>
      </w:r>
      <w:r>
        <w:rPr>
          <w:rFonts w:asciiTheme="minorHAnsi" w:hAnsiTheme="minorHAnsi" w:cs="Arial"/>
          <w:sz w:val="24"/>
          <w:szCs w:val="24"/>
        </w:rPr>
        <w:t xml:space="preserve"> </w:t>
      </w:r>
      <w:r w:rsidRPr="00DC0334">
        <w:rPr>
          <w:rFonts w:asciiTheme="minorHAnsi" w:hAnsiTheme="minorHAnsi" w:cs="Arial"/>
          <w:sz w:val="24"/>
          <w:szCs w:val="24"/>
        </w:rPr>
        <w:t>rehousing, and other evidence</w:t>
      </w:r>
      <w:r>
        <w:rPr>
          <w:rFonts w:asciiTheme="minorHAnsi" w:hAnsiTheme="minorHAnsi" w:cs="Arial"/>
          <w:sz w:val="24"/>
          <w:szCs w:val="24"/>
        </w:rPr>
        <w:t>-</w:t>
      </w:r>
      <w:r w:rsidRPr="00DC0334">
        <w:rPr>
          <w:rFonts w:asciiTheme="minorHAnsi" w:hAnsiTheme="minorHAnsi" w:cs="Arial"/>
          <w:sz w:val="24"/>
          <w:szCs w:val="24"/>
        </w:rPr>
        <w:t>based models for improving housing stability for</w:t>
      </w:r>
      <w:r>
        <w:rPr>
          <w:rFonts w:asciiTheme="minorHAnsi" w:hAnsiTheme="minorHAnsi" w:cs="Arial"/>
          <w:sz w:val="24"/>
          <w:szCs w:val="24"/>
        </w:rPr>
        <w:t xml:space="preserve"> </w:t>
      </w:r>
      <w:r w:rsidRPr="00DC0334">
        <w:rPr>
          <w:rFonts w:asciiTheme="minorHAnsi" w:hAnsiTheme="minorHAnsi" w:cs="Arial"/>
          <w:sz w:val="24"/>
          <w:szCs w:val="24"/>
        </w:rPr>
        <w:t>participants. KSHC is an active participant on statewide committees examining</w:t>
      </w:r>
      <w:r>
        <w:rPr>
          <w:rFonts w:asciiTheme="minorHAnsi" w:hAnsiTheme="minorHAnsi" w:cs="Arial"/>
          <w:sz w:val="24"/>
          <w:szCs w:val="24"/>
        </w:rPr>
        <w:t xml:space="preserve"> </w:t>
      </w:r>
      <w:r w:rsidRPr="00DC0334">
        <w:rPr>
          <w:rFonts w:asciiTheme="minorHAnsi" w:hAnsiTheme="minorHAnsi" w:cs="Arial"/>
          <w:sz w:val="24"/>
          <w:szCs w:val="24"/>
        </w:rPr>
        <w:t>housing and homelessness issues. Through this partnership, providers in the</w:t>
      </w:r>
      <w:r>
        <w:rPr>
          <w:rFonts w:asciiTheme="minorHAnsi" w:hAnsiTheme="minorHAnsi" w:cs="Arial"/>
          <w:sz w:val="24"/>
          <w:szCs w:val="24"/>
        </w:rPr>
        <w:t xml:space="preserve"> </w:t>
      </w:r>
      <w:r w:rsidRPr="00DC0334">
        <w:rPr>
          <w:rFonts w:asciiTheme="minorHAnsi" w:hAnsiTheme="minorHAnsi" w:cs="Arial"/>
          <w:sz w:val="24"/>
          <w:szCs w:val="24"/>
        </w:rPr>
        <w:t>BoS Continuum will be afforded educational opportunities for assisting their</w:t>
      </w:r>
      <w:r>
        <w:rPr>
          <w:rFonts w:asciiTheme="minorHAnsi" w:hAnsiTheme="minorHAnsi" w:cs="Arial"/>
          <w:sz w:val="24"/>
          <w:szCs w:val="24"/>
        </w:rPr>
        <w:t xml:space="preserve"> </w:t>
      </w:r>
      <w:r w:rsidRPr="00DC0334">
        <w:rPr>
          <w:rFonts w:asciiTheme="minorHAnsi" w:hAnsiTheme="minorHAnsi" w:cs="Arial"/>
          <w:sz w:val="24"/>
          <w:szCs w:val="24"/>
        </w:rPr>
        <w:t>participants with housing stability, such as tenant education. KSHC will conduct</w:t>
      </w:r>
      <w:r>
        <w:rPr>
          <w:rFonts w:asciiTheme="minorHAnsi" w:hAnsiTheme="minorHAnsi" w:cs="Arial"/>
          <w:sz w:val="24"/>
          <w:szCs w:val="24"/>
        </w:rPr>
        <w:t xml:space="preserve"> </w:t>
      </w:r>
      <w:r w:rsidRPr="00DC0334">
        <w:rPr>
          <w:rFonts w:asciiTheme="minorHAnsi" w:hAnsiTheme="minorHAnsi" w:cs="Arial"/>
          <w:sz w:val="24"/>
          <w:szCs w:val="24"/>
        </w:rPr>
        <w:t>annual project monitoring that will include a review of project performance to</w:t>
      </w:r>
      <w:r>
        <w:rPr>
          <w:rFonts w:asciiTheme="minorHAnsi" w:hAnsiTheme="minorHAnsi" w:cs="Arial"/>
          <w:sz w:val="24"/>
          <w:szCs w:val="24"/>
        </w:rPr>
        <w:t xml:space="preserve"> </w:t>
      </w:r>
      <w:r w:rsidRPr="00DC0334">
        <w:rPr>
          <w:rFonts w:asciiTheme="minorHAnsi" w:hAnsiTheme="minorHAnsi" w:cs="Arial"/>
          <w:sz w:val="24"/>
          <w:szCs w:val="24"/>
        </w:rPr>
        <w:t>track outcomes.</w:t>
      </w:r>
    </w:p>
    <w:p w14:paraId="7EE039EF" w14:textId="77777777" w:rsidR="007C520D" w:rsidRDefault="007C520D" w:rsidP="007C520D">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14:paraId="7B1B838D" w14:textId="77777777" w:rsidR="007C520D" w:rsidRDefault="007C520D" w:rsidP="007C520D">
      <w:pPr>
        <w:autoSpaceDE w:val="0"/>
        <w:autoSpaceDN w:val="0"/>
        <w:adjustRightInd w:val="0"/>
        <w:spacing w:after="0"/>
        <w:rPr>
          <w:rFonts w:asciiTheme="minorHAnsi" w:hAnsiTheme="minorHAnsi" w:cs="Arial"/>
          <w:sz w:val="24"/>
          <w:szCs w:val="24"/>
        </w:rPr>
      </w:pPr>
      <w:r w:rsidRPr="008C4F20">
        <w:rPr>
          <w:rFonts w:asciiTheme="minorHAnsi" w:hAnsiTheme="minorHAnsi" w:cs="Arial"/>
          <w:sz w:val="24"/>
          <w:szCs w:val="24"/>
        </w:rPr>
        <w:t>One of the founding tenets of KSHC is to provide education regarding</w:t>
      </w:r>
      <w:r>
        <w:rPr>
          <w:rFonts w:asciiTheme="minorHAnsi" w:hAnsiTheme="minorHAnsi" w:cs="Arial"/>
          <w:sz w:val="24"/>
          <w:szCs w:val="24"/>
        </w:rPr>
        <w:t xml:space="preserve"> </w:t>
      </w:r>
      <w:r w:rsidRPr="008C4F20">
        <w:rPr>
          <w:rFonts w:asciiTheme="minorHAnsi" w:hAnsiTheme="minorHAnsi" w:cs="Arial"/>
          <w:sz w:val="24"/>
          <w:szCs w:val="24"/>
        </w:rPr>
        <w:t>homeless issues and resources to the members of the BoS CoC, including</w:t>
      </w:r>
      <w:r>
        <w:rPr>
          <w:rFonts w:asciiTheme="minorHAnsi" w:hAnsiTheme="minorHAnsi" w:cs="Arial"/>
          <w:sz w:val="24"/>
          <w:szCs w:val="24"/>
        </w:rPr>
        <w:t xml:space="preserve"> </w:t>
      </w:r>
      <w:r w:rsidRPr="008C4F20">
        <w:rPr>
          <w:rFonts w:asciiTheme="minorHAnsi" w:hAnsiTheme="minorHAnsi" w:cs="Arial"/>
          <w:sz w:val="24"/>
          <w:szCs w:val="24"/>
        </w:rPr>
        <w:t>persons experiencing homelessness and those at risk of becoming homeless.</w:t>
      </w:r>
    </w:p>
    <w:p w14:paraId="6992B0A1" w14:textId="77777777" w:rsidR="007C520D" w:rsidRDefault="007C520D" w:rsidP="007C520D">
      <w:pPr>
        <w:autoSpaceDE w:val="0"/>
        <w:autoSpaceDN w:val="0"/>
        <w:adjustRightInd w:val="0"/>
        <w:spacing w:after="0"/>
        <w:rPr>
          <w:rFonts w:asciiTheme="minorHAnsi" w:hAnsiTheme="minorHAnsi" w:cs="Arial"/>
          <w:sz w:val="24"/>
          <w:szCs w:val="24"/>
        </w:rPr>
      </w:pPr>
    </w:p>
    <w:p w14:paraId="3B8F0CCB" w14:textId="77777777" w:rsidR="007C520D" w:rsidRDefault="007C520D" w:rsidP="007C520D">
      <w:pPr>
        <w:autoSpaceDE w:val="0"/>
        <w:autoSpaceDN w:val="0"/>
        <w:adjustRightInd w:val="0"/>
        <w:spacing w:after="0"/>
        <w:rPr>
          <w:rFonts w:asciiTheme="minorHAnsi" w:hAnsiTheme="minorHAnsi" w:cs="Arial"/>
          <w:sz w:val="24"/>
          <w:szCs w:val="24"/>
        </w:rPr>
      </w:pPr>
      <w:r w:rsidRPr="008C4F20">
        <w:rPr>
          <w:rFonts w:asciiTheme="minorHAnsi" w:hAnsiTheme="minorHAnsi" w:cs="Arial"/>
          <w:sz w:val="24"/>
          <w:szCs w:val="24"/>
        </w:rPr>
        <w:t>Since its inception, the KSHC has provided an annual Summit on Housing and</w:t>
      </w:r>
      <w:r>
        <w:rPr>
          <w:rFonts w:asciiTheme="minorHAnsi" w:hAnsiTheme="minorHAnsi" w:cs="Arial"/>
          <w:sz w:val="24"/>
          <w:szCs w:val="24"/>
        </w:rPr>
        <w:t xml:space="preserve"> </w:t>
      </w:r>
      <w:r w:rsidRPr="008C4F20">
        <w:rPr>
          <w:rFonts w:asciiTheme="minorHAnsi" w:hAnsiTheme="minorHAnsi" w:cs="Arial"/>
          <w:sz w:val="24"/>
          <w:szCs w:val="24"/>
        </w:rPr>
        <w:t>Homelessness. Through these summits, providers are educated on the highly</w:t>
      </w:r>
      <w:r>
        <w:rPr>
          <w:rFonts w:asciiTheme="minorHAnsi" w:hAnsiTheme="minorHAnsi" w:cs="Arial"/>
          <w:sz w:val="24"/>
          <w:szCs w:val="24"/>
        </w:rPr>
        <w:t xml:space="preserve"> </w:t>
      </w:r>
      <w:r w:rsidRPr="008C4F20">
        <w:rPr>
          <w:rFonts w:asciiTheme="minorHAnsi" w:hAnsiTheme="minorHAnsi" w:cs="Arial"/>
          <w:sz w:val="24"/>
          <w:szCs w:val="24"/>
        </w:rPr>
        <w:t>effective models for providing housing and services including models for</w:t>
      </w:r>
      <w:r>
        <w:rPr>
          <w:rFonts w:asciiTheme="minorHAnsi" w:hAnsiTheme="minorHAnsi" w:cs="Arial"/>
          <w:sz w:val="24"/>
          <w:szCs w:val="24"/>
        </w:rPr>
        <w:t xml:space="preserve"> </w:t>
      </w:r>
      <w:r w:rsidRPr="008C4F20">
        <w:rPr>
          <w:rFonts w:asciiTheme="minorHAnsi" w:hAnsiTheme="minorHAnsi" w:cs="Arial"/>
          <w:sz w:val="24"/>
          <w:szCs w:val="24"/>
        </w:rPr>
        <w:t>providing effective outreach to persons not likely to seek services on their own.</w:t>
      </w:r>
      <w:r>
        <w:rPr>
          <w:rFonts w:asciiTheme="minorHAnsi" w:hAnsiTheme="minorHAnsi" w:cs="Arial"/>
          <w:sz w:val="24"/>
          <w:szCs w:val="24"/>
        </w:rPr>
        <w:t xml:space="preserve">  </w:t>
      </w:r>
      <w:r w:rsidRPr="008C4F20">
        <w:rPr>
          <w:rFonts w:asciiTheme="minorHAnsi" w:hAnsiTheme="minorHAnsi" w:cs="Arial"/>
          <w:sz w:val="24"/>
          <w:szCs w:val="24"/>
        </w:rPr>
        <w:t>Additionally, KSHC has started providing mini-summits in each of the</w:t>
      </w:r>
      <w:r>
        <w:rPr>
          <w:rFonts w:asciiTheme="minorHAnsi" w:hAnsiTheme="minorHAnsi" w:cs="Arial"/>
          <w:sz w:val="24"/>
          <w:szCs w:val="24"/>
        </w:rPr>
        <w:t xml:space="preserve"> </w:t>
      </w:r>
      <w:r w:rsidRPr="008C4F20">
        <w:rPr>
          <w:rFonts w:asciiTheme="minorHAnsi" w:hAnsiTheme="minorHAnsi" w:cs="Arial"/>
          <w:sz w:val="24"/>
          <w:szCs w:val="24"/>
        </w:rPr>
        <w:t>regions to educate the public on homeless issues and services. With the</w:t>
      </w:r>
      <w:r>
        <w:rPr>
          <w:rFonts w:asciiTheme="minorHAnsi" w:hAnsiTheme="minorHAnsi" w:cs="Arial"/>
          <w:sz w:val="24"/>
          <w:szCs w:val="24"/>
        </w:rPr>
        <w:t xml:space="preserve"> </w:t>
      </w:r>
      <w:r w:rsidRPr="008C4F20">
        <w:rPr>
          <w:rFonts w:asciiTheme="minorHAnsi" w:hAnsiTheme="minorHAnsi" w:cs="Arial"/>
          <w:sz w:val="24"/>
          <w:szCs w:val="24"/>
        </w:rPr>
        <w:t>development of the 211 coordinated assessment system, homeless persons</w:t>
      </w:r>
      <w:r>
        <w:rPr>
          <w:rFonts w:asciiTheme="minorHAnsi" w:hAnsiTheme="minorHAnsi" w:cs="Arial"/>
          <w:sz w:val="24"/>
          <w:szCs w:val="24"/>
        </w:rPr>
        <w:t xml:space="preserve"> </w:t>
      </w:r>
      <w:r w:rsidRPr="008C4F20">
        <w:rPr>
          <w:rFonts w:asciiTheme="minorHAnsi" w:hAnsiTheme="minorHAnsi" w:cs="Arial"/>
          <w:sz w:val="24"/>
          <w:szCs w:val="24"/>
        </w:rPr>
        <w:t>seeking assistance will be directed to appropriate services. There are five</w:t>
      </w:r>
      <w:r>
        <w:rPr>
          <w:rFonts w:asciiTheme="minorHAnsi" w:hAnsiTheme="minorHAnsi" w:cs="Arial"/>
          <w:sz w:val="24"/>
          <w:szCs w:val="24"/>
        </w:rPr>
        <w:t xml:space="preserve"> </w:t>
      </w:r>
      <w:r w:rsidRPr="008C4F20">
        <w:rPr>
          <w:rFonts w:asciiTheme="minorHAnsi" w:hAnsiTheme="minorHAnsi" w:cs="Arial"/>
          <w:sz w:val="24"/>
          <w:szCs w:val="24"/>
        </w:rPr>
        <w:t>providers in the BoS CoC that have developed PATH programs, providing</w:t>
      </w:r>
      <w:r>
        <w:rPr>
          <w:rFonts w:asciiTheme="minorHAnsi" w:hAnsiTheme="minorHAnsi" w:cs="Arial"/>
          <w:sz w:val="24"/>
          <w:szCs w:val="24"/>
        </w:rPr>
        <w:t xml:space="preserve"> </w:t>
      </w:r>
      <w:r w:rsidRPr="008C4F20">
        <w:rPr>
          <w:rFonts w:asciiTheme="minorHAnsi" w:hAnsiTheme="minorHAnsi" w:cs="Arial"/>
          <w:sz w:val="24"/>
          <w:szCs w:val="24"/>
        </w:rPr>
        <w:t>outreach to homeless persons in order to help identify their needs and connect</w:t>
      </w:r>
      <w:r>
        <w:rPr>
          <w:rFonts w:asciiTheme="minorHAnsi" w:hAnsiTheme="minorHAnsi" w:cs="Arial"/>
          <w:sz w:val="24"/>
          <w:szCs w:val="24"/>
        </w:rPr>
        <w:t xml:space="preserve"> </w:t>
      </w:r>
      <w:r w:rsidRPr="008C4F20">
        <w:rPr>
          <w:rFonts w:asciiTheme="minorHAnsi" w:hAnsiTheme="minorHAnsi" w:cs="Arial"/>
          <w:sz w:val="24"/>
          <w:szCs w:val="24"/>
        </w:rPr>
        <w:t>them to appropriate services.</w:t>
      </w:r>
    </w:p>
    <w:p w14:paraId="79EAAEB2" w14:textId="77777777" w:rsidR="007C520D" w:rsidRPr="00B37A95" w:rsidRDefault="007C520D" w:rsidP="007C520D">
      <w:pPr>
        <w:autoSpaceDE w:val="0"/>
        <w:autoSpaceDN w:val="0"/>
        <w:adjustRightInd w:val="0"/>
        <w:spacing w:after="0"/>
        <w:rPr>
          <w:rFonts w:asciiTheme="minorHAnsi" w:hAnsiTheme="minorHAnsi" w:cs="Arial"/>
          <w:sz w:val="24"/>
          <w:szCs w:val="24"/>
        </w:rPr>
      </w:pPr>
    </w:p>
    <w:p w14:paraId="3B3CD288" w14:textId="77777777" w:rsidR="007C520D" w:rsidRDefault="007C520D" w:rsidP="007C520D">
      <w:pPr>
        <w:rPr>
          <w:b/>
          <w:sz w:val="24"/>
          <w:szCs w:val="24"/>
        </w:rPr>
      </w:pPr>
      <w:r>
        <w:rPr>
          <w:sz w:val="24"/>
          <w:szCs w:val="24"/>
        </w:rPr>
        <w:t>As discussed in NA-40, Homeless Needs Assessment, t</w:t>
      </w:r>
      <w:r w:rsidRPr="004C0A96">
        <w:rPr>
          <w:sz w:val="24"/>
          <w:szCs w:val="24"/>
        </w:rPr>
        <w:t>he BoS CoC is complex due to geographic differe</w:t>
      </w:r>
      <w:r>
        <w:rPr>
          <w:sz w:val="24"/>
          <w:szCs w:val="24"/>
        </w:rPr>
        <w:t xml:space="preserve">nces among the counties; </w:t>
      </w:r>
      <w:r w:rsidRPr="004C0A96">
        <w:rPr>
          <w:sz w:val="24"/>
          <w:szCs w:val="24"/>
        </w:rPr>
        <w:t>rang</w:t>
      </w:r>
      <w:r>
        <w:rPr>
          <w:sz w:val="24"/>
          <w:szCs w:val="24"/>
        </w:rPr>
        <w:t>ing</w:t>
      </w:r>
      <w:r w:rsidRPr="004C0A96">
        <w:rPr>
          <w:sz w:val="24"/>
          <w:szCs w:val="24"/>
        </w:rPr>
        <w:t xml:space="preserve"> from </w:t>
      </w:r>
      <w:r>
        <w:rPr>
          <w:sz w:val="24"/>
          <w:szCs w:val="24"/>
        </w:rPr>
        <w:t>rural/</w:t>
      </w:r>
      <w:r w:rsidRPr="004C0A96">
        <w:rPr>
          <w:sz w:val="24"/>
          <w:szCs w:val="24"/>
        </w:rPr>
        <w:t>frontier to</w:t>
      </w:r>
      <w:r>
        <w:rPr>
          <w:sz w:val="24"/>
          <w:szCs w:val="24"/>
        </w:rPr>
        <w:t xml:space="preserve"> </w:t>
      </w:r>
      <w:r w:rsidRPr="004C0A96">
        <w:rPr>
          <w:sz w:val="24"/>
          <w:szCs w:val="24"/>
        </w:rPr>
        <w:t>urban. Subsequently, the needs and gaps in housing vary depending on the community. In many of the</w:t>
      </w:r>
      <w:r>
        <w:rPr>
          <w:sz w:val="24"/>
          <w:szCs w:val="24"/>
        </w:rPr>
        <w:t xml:space="preserve"> </w:t>
      </w:r>
      <w:r w:rsidRPr="004C0A96">
        <w:rPr>
          <w:sz w:val="24"/>
          <w:szCs w:val="24"/>
        </w:rPr>
        <w:t>frontier and rural counties service providers must refer persons experiencing homelessness to other counties</w:t>
      </w:r>
      <w:r>
        <w:rPr>
          <w:sz w:val="24"/>
          <w:szCs w:val="24"/>
        </w:rPr>
        <w:t xml:space="preserve"> </w:t>
      </w:r>
      <w:r w:rsidRPr="004C0A96">
        <w:rPr>
          <w:sz w:val="24"/>
          <w:szCs w:val="24"/>
        </w:rPr>
        <w:t xml:space="preserve">for housing. Another gap is the availability of affordable, </w:t>
      </w:r>
      <w:r>
        <w:rPr>
          <w:sz w:val="24"/>
          <w:szCs w:val="24"/>
        </w:rPr>
        <w:t>quality</w:t>
      </w:r>
      <w:r w:rsidRPr="004C0A96">
        <w:rPr>
          <w:sz w:val="24"/>
          <w:szCs w:val="24"/>
        </w:rPr>
        <w:t xml:space="preserve"> permanent housing. Some rural and</w:t>
      </w:r>
      <w:r>
        <w:rPr>
          <w:sz w:val="24"/>
          <w:szCs w:val="24"/>
        </w:rPr>
        <w:t xml:space="preserve"> </w:t>
      </w:r>
      <w:r w:rsidRPr="004C0A96">
        <w:rPr>
          <w:sz w:val="24"/>
          <w:szCs w:val="24"/>
        </w:rPr>
        <w:t xml:space="preserve">frontier counties have limited units available for persons experiencing homelessness. Often the </w:t>
      </w:r>
      <w:r>
        <w:rPr>
          <w:sz w:val="24"/>
          <w:szCs w:val="24"/>
        </w:rPr>
        <w:t xml:space="preserve">available </w:t>
      </w:r>
      <w:r w:rsidRPr="004C0A96">
        <w:rPr>
          <w:sz w:val="24"/>
          <w:szCs w:val="24"/>
        </w:rPr>
        <w:t>units</w:t>
      </w:r>
      <w:r>
        <w:rPr>
          <w:sz w:val="24"/>
          <w:szCs w:val="24"/>
        </w:rPr>
        <w:t xml:space="preserve"> in rural areas</w:t>
      </w:r>
      <w:r w:rsidRPr="004C0A96">
        <w:rPr>
          <w:sz w:val="24"/>
          <w:szCs w:val="24"/>
        </w:rPr>
        <w:t xml:space="preserve"> are in poor condition</w:t>
      </w:r>
      <w:r>
        <w:rPr>
          <w:sz w:val="24"/>
          <w:szCs w:val="24"/>
        </w:rPr>
        <w:t xml:space="preserve"> in need of repairs</w:t>
      </w:r>
      <w:r w:rsidRPr="004C0A96">
        <w:rPr>
          <w:sz w:val="24"/>
          <w:szCs w:val="24"/>
        </w:rPr>
        <w:t>. In the urban counties, there are housing units available</w:t>
      </w:r>
      <w:r>
        <w:rPr>
          <w:sz w:val="24"/>
          <w:szCs w:val="24"/>
        </w:rPr>
        <w:t>,</w:t>
      </w:r>
      <w:r w:rsidRPr="004C0A96">
        <w:rPr>
          <w:sz w:val="24"/>
          <w:szCs w:val="24"/>
        </w:rPr>
        <w:t xml:space="preserve"> however</w:t>
      </w:r>
      <w:r>
        <w:rPr>
          <w:sz w:val="24"/>
          <w:szCs w:val="24"/>
        </w:rPr>
        <w:t>,</w:t>
      </w:r>
      <w:r w:rsidRPr="004C0A96">
        <w:rPr>
          <w:sz w:val="24"/>
          <w:szCs w:val="24"/>
        </w:rPr>
        <w:t xml:space="preserve"> they</w:t>
      </w:r>
      <w:r>
        <w:rPr>
          <w:sz w:val="24"/>
          <w:szCs w:val="24"/>
        </w:rPr>
        <w:t xml:space="preserve"> </w:t>
      </w:r>
      <w:r w:rsidRPr="004C0A96">
        <w:rPr>
          <w:sz w:val="24"/>
          <w:szCs w:val="24"/>
        </w:rPr>
        <w:t xml:space="preserve">are </w:t>
      </w:r>
      <w:r>
        <w:rPr>
          <w:sz w:val="24"/>
          <w:szCs w:val="24"/>
        </w:rPr>
        <w:t xml:space="preserve">often </w:t>
      </w:r>
      <w:r w:rsidRPr="004C0A96">
        <w:rPr>
          <w:sz w:val="24"/>
          <w:szCs w:val="24"/>
        </w:rPr>
        <w:t>not affordable without a housing subsidy.</w:t>
      </w:r>
      <w:r>
        <w:rPr>
          <w:sz w:val="24"/>
          <w:szCs w:val="24"/>
        </w:rPr>
        <w:t xml:space="preserve"> This is especially true in the neighborhoods that have access to quality schools, employment, and desirable amenities. </w:t>
      </w:r>
    </w:p>
    <w:p w14:paraId="27658C97" w14:textId="77777777" w:rsidR="007C520D" w:rsidRPr="00B37A95" w:rsidRDefault="007C520D" w:rsidP="007C520D">
      <w:pPr>
        <w:rPr>
          <w:b/>
          <w:sz w:val="24"/>
          <w:szCs w:val="24"/>
        </w:rPr>
      </w:pPr>
      <w:r>
        <w:rPr>
          <w:b/>
          <w:sz w:val="24"/>
          <w:szCs w:val="24"/>
        </w:rPr>
        <w:t>Provide a summary of the strategy for overcoming gaps in the institutional structure and service delivery system for carrying out a strategy to address priority needs</w:t>
      </w:r>
    </w:p>
    <w:p w14:paraId="7DCF46E2" w14:textId="77777777" w:rsidR="007C520D" w:rsidRPr="0041726F" w:rsidRDefault="007C520D" w:rsidP="007C520D">
      <w:pPr>
        <w:autoSpaceDE w:val="0"/>
        <w:autoSpaceDN w:val="0"/>
        <w:adjustRightInd w:val="0"/>
        <w:spacing w:after="0"/>
        <w:rPr>
          <w:sz w:val="24"/>
          <w:szCs w:val="24"/>
        </w:rPr>
      </w:pPr>
      <w:r w:rsidRPr="0041726F">
        <w:rPr>
          <w:sz w:val="24"/>
          <w:szCs w:val="24"/>
        </w:rPr>
        <w:t>The Kansas Balance of State Continuum of Care (BoS CoC) is divided into</w:t>
      </w:r>
      <w:r>
        <w:rPr>
          <w:sz w:val="24"/>
          <w:szCs w:val="24"/>
        </w:rPr>
        <w:t xml:space="preserve"> </w:t>
      </w:r>
      <w:r w:rsidRPr="0041726F">
        <w:rPr>
          <w:sz w:val="24"/>
          <w:szCs w:val="24"/>
        </w:rPr>
        <w:t>eight regions</w:t>
      </w:r>
      <w:r>
        <w:rPr>
          <w:sz w:val="24"/>
          <w:szCs w:val="24"/>
        </w:rPr>
        <w:t>, covering 101 of the 105 counties (the four metropolitan counties have their own CoC)</w:t>
      </w:r>
      <w:r w:rsidRPr="0041726F">
        <w:rPr>
          <w:sz w:val="24"/>
          <w:szCs w:val="24"/>
        </w:rPr>
        <w:t>. Each has elected a Regional Coordinator to facilitate strategic</w:t>
      </w:r>
      <w:r>
        <w:rPr>
          <w:sz w:val="24"/>
          <w:szCs w:val="24"/>
        </w:rPr>
        <w:t xml:space="preserve"> </w:t>
      </w:r>
      <w:r w:rsidRPr="0041726F">
        <w:rPr>
          <w:sz w:val="24"/>
          <w:szCs w:val="24"/>
        </w:rPr>
        <w:t>planning efforts. Regional coordinators work toward</w:t>
      </w:r>
      <w:r>
        <w:rPr>
          <w:sz w:val="24"/>
          <w:szCs w:val="24"/>
        </w:rPr>
        <w:t xml:space="preserve"> </w:t>
      </w:r>
      <w:r w:rsidRPr="0041726F">
        <w:rPr>
          <w:sz w:val="24"/>
          <w:szCs w:val="24"/>
        </w:rPr>
        <w:t>maintaining and building regional planning committees. The KSHC Coordinator</w:t>
      </w:r>
      <w:r>
        <w:rPr>
          <w:sz w:val="24"/>
          <w:szCs w:val="24"/>
        </w:rPr>
        <w:t xml:space="preserve"> </w:t>
      </w:r>
      <w:r w:rsidRPr="0041726F">
        <w:rPr>
          <w:sz w:val="24"/>
          <w:szCs w:val="24"/>
        </w:rPr>
        <w:t>participates in regional planning meetings and hosts regional workshops</w:t>
      </w:r>
      <w:r>
        <w:rPr>
          <w:sz w:val="24"/>
          <w:szCs w:val="24"/>
        </w:rPr>
        <w:t xml:space="preserve"> </w:t>
      </w:r>
      <w:r w:rsidRPr="0041726F">
        <w:rPr>
          <w:sz w:val="24"/>
          <w:szCs w:val="24"/>
        </w:rPr>
        <w:t>focusing on raising awareness of homelessness and providing education about</w:t>
      </w:r>
      <w:r>
        <w:rPr>
          <w:sz w:val="24"/>
          <w:szCs w:val="24"/>
        </w:rPr>
        <w:t xml:space="preserve"> </w:t>
      </w:r>
      <w:r w:rsidRPr="0041726F">
        <w:rPr>
          <w:sz w:val="24"/>
          <w:szCs w:val="24"/>
        </w:rPr>
        <w:t>the Continuum of Care process. Through these efforts, new members of the</w:t>
      </w:r>
      <w:r>
        <w:rPr>
          <w:sz w:val="24"/>
          <w:szCs w:val="24"/>
        </w:rPr>
        <w:t xml:space="preserve"> </w:t>
      </w:r>
      <w:r w:rsidRPr="0041726F">
        <w:rPr>
          <w:sz w:val="24"/>
          <w:szCs w:val="24"/>
        </w:rPr>
        <w:t>Continuum are recruited. The Board of Directors of the KSHC are nominated</w:t>
      </w:r>
      <w:r>
        <w:rPr>
          <w:sz w:val="24"/>
          <w:szCs w:val="24"/>
        </w:rPr>
        <w:t xml:space="preserve"> </w:t>
      </w:r>
      <w:r w:rsidRPr="0041726F">
        <w:rPr>
          <w:sz w:val="24"/>
          <w:szCs w:val="24"/>
        </w:rPr>
        <w:t>during the annual meeting of the Coalition and voted on by the membership.</w:t>
      </w:r>
      <w:r>
        <w:rPr>
          <w:sz w:val="24"/>
          <w:szCs w:val="24"/>
        </w:rPr>
        <w:t xml:space="preserve">  </w:t>
      </w:r>
      <w:r w:rsidRPr="0041726F">
        <w:rPr>
          <w:sz w:val="24"/>
          <w:szCs w:val="24"/>
        </w:rPr>
        <w:t>The BoS CoC committee meetings are posted on KSHC’s website and are open</w:t>
      </w:r>
      <w:r>
        <w:rPr>
          <w:sz w:val="24"/>
          <w:szCs w:val="24"/>
        </w:rPr>
        <w:t xml:space="preserve"> </w:t>
      </w:r>
      <w:r w:rsidRPr="0041726F">
        <w:rPr>
          <w:sz w:val="24"/>
          <w:szCs w:val="24"/>
        </w:rPr>
        <w:t>to the public.</w:t>
      </w:r>
    </w:p>
    <w:p w14:paraId="13DF37A0" w14:textId="77777777" w:rsidR="007C520D" w:rsidRDefault="007C520D" w:rsidP="007C520D">
      <w:pPr>
        <w:autoSpaceDE w:val="0"/>
        <w:autoSpaceDN w:val="0"/>
        <w:adjustRightInd w:val="0"/>
        <w:spacing w:after="0"/>
        <w:rPr>
          <w:sz w:val="24"/>
          <w:szCs w:val="24"/>
        </w:rPr>
      </w:pPr>
    </w:p>
    <w:p w14:paraId="7565C1C6" w14:textId="3AEA050E" w:rsidR="007C520D" w:rsidRDefault="007C520D" w:rsidP="007C520D">
      <w:pPr>
        <w:rPr>
          <w:rFonts w:cs="Arial"/>
        </w:rPr>
        <w:sectPr w:rsidR="007C520D">
          <w:pgSz w:w="12240" w:h="15840"/>
          <w:pgMar w:top="1440" w:right="1440" w:bottom="1440" w:left="1440" w:header="720" w:footer="720" w:gutter="0"/>
          <w:cols w:space="720"/>
          <w:docGrid w:linePitch="360"/>
        </w:sectPr>
      </w:pPr>
      <w:r w:rsidRPr="0041726F">
        <w:rPr>
          <w:sz w:val="24"/>
          <w:szCs w:val="24"/>
        </w:rPr>
        <w:t xml:space="preserve">The BoS </w:t>
      </w:r>
      <w:r>
        <w:rPr>
          <w:sz w:val="24"/>
          <w:szCs w:val="24"/>
        </w:rPr>
        <w:t>CoC</w:t>
      </w:r>
      <w:r w:rsidRPr="0041726F">
        <w:rPr>
          <w:sz w:val="24"/>
          <w:szCs w:val="24"/>
        </w:rPr>
        <w:t xml:space="preserve"> </w:t>
      </w:r>
      <w:r w:rsidR="00AF2301">
        <w:rPr>
          <w:sz w:val="24"/>
          <w:szCs w:val="24"/>
        </w:rPr>
        <w:t>has implemented a Coordinated Entry system</w:t>
      </w:r>
      <w:r w:rsidRPr="0041726F">
        <w:rPr>
          <w:sz w:val="24"/>
          <w:szCs w:val="24"/>
        </w:rPr>
        <w:t>. The Kansas Statewide Homeless Coalition</w:t>
      </w:r>
      <w:r>
        <w:rPr>
          <w:sz w:val="24"/>
          <w:szCs w:val="24"/>
        </w:rPr>
        <w:t xml:space="preserve"> </w:t>
      </w:r>
      <w:r w:rsidRPr="0041726F">
        <w:rPr>
          <w:sz w:val="24"/>
          <w:szCs w:val="24"/>
        </w:rPr>
        <w:t>will coordinate with the ESG Program Manager at Kansas Housing</w:t>
      </w:r>
      <w:r>
        <w:rPr>
          <w:sz w:val="24"/>
          <w:szCs w:val="24"/>
        </w:rPr>
        <w:t xml:space="preserve"> </w:t>
      </w:r>
      <w:r w:rsidRPr="0041726F">
        <w:rPr>
          <w:sz w:val="24"/>
          <w:szCs w:val="24"/>
        </w:rPr>
        <w:t>Resources Corporation to develop a plan for ensuring that ESG</w:t>
      </w:r>
      <w:r>
        <w:rPr>
          <w:sz w:val="24"/>
          <w:szCs w:val="24"/>
        </w:rPr>
        <w:t xml:space="preserve"> </w:t>
      </w:r>
      <w:r w:rsidRPr="0041726F">
        <w:rPr>
          <w:sz w:val="24"/>
          <w:szCs w:val="24"/>
        </w:rPr>
        <w:t>subrecipients develop projects that will target the gaps and needs of the</w:t>
      </w:r>
      <w:r>
        <w:rPr>
          <w:sz w:val="24"/>
          <w:szCs w:val="24"/>
        </w:rPr>
        <w:t xml:space="preserve"> </w:t>
      </w:r>
      <w:r w:rsidRPr="0041726F">
        <w:rPr>
          <w:sz w:val="24"/>
          <w:szCs w:val="24"/>
        </w:rPr>
        <w:t xml:space="preserve">BoS </w:t>
      </w:r>
      <w:r>
        <w:rPr>
          <w:sz w:val="24"/>
          <w:szCs w:val="24"/>
        </w:rPr>
        <w:t>CoC</w:t>
      </w:r>
      <w:r w:rsidRPr="0041726F">
        <w:rPr>
          <w:sz w:val="24"/>
          <w:szCs w:val="24"/>
        </w:rPr>
        <w:t>.</w:t>
      </w:r>
    </w:p>
    <w:p w14:paraId="5BC7C22A" w14:textId="77777777" w:rsidR="007C520D" w:rsidRPr="00DF4059" w:rsidRDefault="007C520D" w:rsidP="007C520D">
      <w:pPr>
        <w:pStyle w:val="Heading2"/>
        <w:shd w:val="clear" w:color="auto" w:fill="95B3D7" w:themeFill="accent1" w:themeFillTint="99"/>
        <w:rPr>
          <w:rFonts w:ascii="Calibri" w:hAnsi="Calibri"/>
          <w:i w:val="0"/>
        </w:rPr>
      </w:pPr>
      <w:bookmarkStart w:id="51" w:name="_Toc524603035"/>
      <w:r w:rsidRPr="00DF4059">
        <w:rPr>
          <w:rFonts w:ascii="Calibri" w:hAnsi="Calibri"/>
          <w:i w:val="0"/>
        </w:rPr>
        <w:t>SP-45 Goals Summary – 91.315(a)(4)</w:t>
      </w:r>
      <w:bookmarkEnd w:id="51"/>
    </w:p>
    <w:p w14:paraId="19709B34" w14:textId="77777777" w:rsidR="007C520D" w:rsidRDefault="007C520D" w:rsidP="007C520D">
      <w:pPr>
        <w:keepNext/>
        <w:rPr>
          <w:b/>
          <w:sz w:val="24"/>
          <w:szCs w:val="24"/>
        </w:rPr>
      </w:pPr>
    </w:p>
    <w:p w14:paraId="0FFEDA7B" w14:textId="77777777" w:rsidR="007C520D" w:rsidRDefault="007C520D" w:rsidP="007C520D">
      <w:pPr>
        <w:keepNext/>
        <w:rPr>
          <w:b/>
          <w:sz w:val="24"/>
          <w:szCs w:val="24"/>
        </w:rPr>
      </w:pPr>
      <w:r>
        <w:rPr>
          <w:b/>
          <w:sz w:val="24"/>
          <w:szCs w:val="24"/>
        </w:rPr>
        <w:t xml:space="preserve">Goals Summary Information </w:t>
      </w:r>
    </w:p>
    <w:p w14:paraId="3F106A30" w14:textId="77777777" w:rsidR="007C520D" w:rsidRDefault="007C520D" w:rsidP="007C520D">
      <w:pPr>
        <w:keepNext/>
        <w:spacing w:line="240" w:lineRule="auto"/>
        <w:contextualSpacing/>
        <w:rPr>
          <w:b/>
          <w:sz w:val="24"/>
          <w:szCs w:val="24"/>
        </w:rPr>
      </w:pPr>
      <w:r>
        <w:rPr>
          <w:b/>
          <w:sz w:val="24"/>
          <w:szCs w:val="24"/>
        </w:rPr>
        <w:t>Table 6 – Goals Summary Information</w:t>
      </w:r>
    </w:p>
    <w:tbl>
      <w:tblPr>
        <w:tblStyle w:val="GridTable4-Accent1"/>
        <w:tblW w:w="4816" w:type="pct"/>
        <w:tblLook w:val="0420" w:firstRow="1" w:lastRow="0" w:firstColumn="0" w:lastColumn="0" w:noHBand="0" w:noVBand="1"/>
      </w:tblPr>
      <w:tblGrid>
        <w:gridCol w:w="871"/>
        <w:gridCol w:w="2523"/>
        <w:gridCol w:w="622"/>
        <w:gridCol w:w="622"/>
        <w:gridCol w:w="1609"/>
        <w:gridCol w:w="1406"/>
        <w:gridCol w:w="2040"/>
        <w:gridCol w:w="2780"/>
      </w:tblGrid>
      <w:tr w:rsidR="007C520D" w14:paraId="321458C6" w14:textId="77777777" w:rsidTr="007C520D">
        <w:trPr>
          <w:cnfStyle w:val="100000000000" w:firstRow="1" w:lastRow="0" w:firstColumn="0" w:lastColumn="0" w:oddVBand="0" w:evenVBand="0" w:oddHBand="0" w:evenHBand="0" w:firstRowFirstColumn="0" w:firstRowLastColumn="0" w:lastRowFirstColumn="0" w:lastRowLastColumn="0"/>
          <w:trHeight w:val="470"/>
        </w:trPr>
        <w:tc>
          <w:tcPr>
            <w:tcW w:w="873" w:type="dxa"/>
          </w:tcPr>
          <w:p w14:paraId="73C6948B" w14:textId="77777777" w:rsidR="007C520D" w:rsidRDefault="007C520D" w:rsidP="007C520D">
            <w:pPr>
              <w:keepNext/>
              <w:widowControl w:val="0"/>
              <w:spacing w:after="0" w:line="240" w:lineRule="auto"/>
              <w:contextualSpacing/>
              <w:jc w:val="center"/>
              <w:rPr>
                <w:b w:val="0"/>
                <w:sz w:val="20"/>
                <w:szCs w:val="20"/>
              </w:rPr>
            </w:pPr>
            <w:bookmarkStart w:id="52" w:name="_Hlk516216357"/>
            <w:r>
              <w:rPr>
                <w:sz w:val="20"/>
                <w:szCs w:val="20"/>
              </w:rPr>
              <w:t>Sort Order</w:t>
            </w:r>
          </w:p>
        </w:tc>
        <w:tc>
          <w:tcPr>
            <w:tcW w:w="2534" w:type="dxa"/>
          </w:tcPr>
          <w:p w14:paraId="243D81EC" w14:textId="77777777" w:rsidR="007C520D" w:rsidRDefault="007C520D" w:rsidP="007C520D">
            <w:pPr>
              <w:keepNext/>
              <w:widowControl w:val="0"/>
              <w:spacing w:after="0" w:line="240" w:lineRule="auto"/>
              <w:contextualSpacing/>
              <w:jc w:val="center"/>
              <w:rPr>
                <w:b w:val="0"/>
                <w:sz w:val="20"/>
                <w:szCs w:val="20"/>
              </w:rPr>
            </w:pPr>
            <w:r>
              <w:rPr>
                <w:sz w:val="20"/>
                <w:szCs w:val="20"/>
              </w:rPr>
              <w:t>Goal Name</w:t>
            </w:r>
          </w:p>
        </w:tc>
        <w:tc>
          <w:tcPr>
            <w:tcW w:w="622" w:type="dxa"/>
          </w:tcPr>
          <w:p w14:paraId="66AE0416" w14:textId="77777777" w:rsidR="007C520D" w:rsidRDefault="007C520D" w:rsidP="007C520D">
            <w:pPr>
              <w:keepNext/>
              <w:widowControl w:val="0"/>
              <w:spacing w:after="0" w:line="240" w:lineRule="auto"/>
              <w:contextualSpacing/>
              <w:jc w:val="center"/>
              <w:rPr>
                <w:b w:val="0"/>
                <w:sz w:val="20"/>
                <w:szCs w:val="20"/>
              </w:rPr>
            </w:pPr>
            <w:r>
              <w:rPr>
                <w:sz w:val="20"/>
                <w:szCs w:val="20"/>
              </w:rPr>
              <w:t>Start Year</w:t>
            </w:r>
          </w:p>
        </w:tc>
        <w:tc>
          <w:tcPr>
            <w:tcW w:w="622" w:type="dxa"/>
          </w:tcPr>
          <w:p w14:paraId="3CDFB987" w14:textId="77777777" w:rsidR="007C520D" w:rsidRDefault="007C520D" w:rsidP="007C520D">
            <w:pPr>
              <w:keepNext/>
              <w:widowControl w:val="0"/>
              <w:spacing w:after="0" w:line="240" w:lineRule="auto"/>
              <w:contextualSpacing/>
              <w:jc w:val="center"/>
              <w:rPr>
                <w:b w:val="0"/>
                <w:sz w:val="20"/>
                <w:szCs w:val="20"/>
              </w:rPr>
            </w:pPr>
            <w:r>
              <w:rPr>
                <w:sz w:val="20"/>
                <w:szCs w:val="20"/>
              </w:rPr>
              <w:t>End Year</w:t>
            </w:r>
          </w:p>
        </w:tc>
        <w:tc>
          <w:tcPr>
            <w:tcW w:w="1611" w:type="dxa"/>
          </w:tcPr>
          <w:p w14:paraId="6DDD3B58" w14:textId="77777777" w:rsidR="007C520D" w:rsidRDefault="007C520D" w:rsidP="007C520D">
            <w:pPr>
              <w:keepNext/>
              <w:widowControl w:val="0"/>
              <w:spacing w:after="0" w:line="240" w:lineRule="auto"/>
              <w:contextualSpacing/>
              <w:jc w:val="center"/>
              <w:rPr>
                <w:b w:val="0"/>
                <w:sz w:val="20"/>
                <w:szCs w:val="20"/>
              </w:rPr>
            </w:pPr>
            <w:r>
              <w:rPr>
                <w:sz w:val="20"/>
                <w:szCs w:val="20"/>
              </w:rPr>
              <w:t>Category</w:t>
            </w:r>
          </w:p>
        </w:tc>
        <w:tc>
          <w:tcPr>
            <w:tcW w:w="1369" w:type="dxa"/>
          </w:tcPr>
          <w:p w14:paraId="5B3A8DDC" w14:textId="77777777" w:rsidR="007C520D" w:rsidRDefault="007C520D" w:rsidP="007C520D">
            <w:pPr>
              <w:keepNext/>
              <w:widowControl w:val="0"/>
              <w:spacing w:after="0" w:line="240" w:lineRule="auto"/>
              <w:contextualSpacing/>
              <w:jc w:val="center"/>
              <w:rPr>
                <w:b w:val="0"/>
                <w:sz w:val="20"/>
                <w:szCs w:val="20"/>
              </w:rPr>
            </w:pPr>
            <w:r>
              <w:rPr>
                <w:sz w:val="20"/>
                <w:szCs w:val="20"/>
              </w:rPr>
              <w:t>Needs Addressed</w:t>
            </w:r>
          </w:p>
        </w:tc>
        <w:tc>
          <w:tcPr>
            <w:tcW w:w="2048" w:type="dxa"/>
          </w:tcPr>
          <w:p w14:paraId="70612A87" w14:textId="77777777" w:rsidR="007C520D" w:rsidRDefault="007C520D" w:rsidP="007C520D">
            <w:pPr>
              <w:keepNext/>
              <w:widowControl w:val="0"/>
              <w:spacing w:after="0" w:line="240" w:lineRule="auto"/>
              <w:contextualSpacing/>
              <w:jc w:val="center"/>
              <w:rPr>
                <w:b w:val="0"/>
                <w:sz w:val="20"/>
                <w:szCs w:val="20"/>
              </w:rPr>
            </w:pPr>
            <w:r>
              <w:rPr>
                <w:sz w:val="20"/>
                <w:szCs w:val="20"/>
              </w:rPr>
              <w:t>Funding</w:t>
            </w:r>
          </w:p>
        </w:tc>
        <w:tc>
          <w:tcPr>
            <w:tcW w:w="2794" w:type="dxa"/>
          </w:tcPr>
          <w:p w14:paraId="5AA975AD" w14:textId="77777777" w:rsidR="007C520D" w:rsidRDefault="007C520D" w:rsidP="007C520D">
            <w:pPr>
              <w:keepNext/>
              <w:widowControl w:val="0"/>
              <w:spacing w:after="0" w:line="240" w:lineRule="auto"/>
              <w:contextualSpacing/>
              <w:jc w:val="center"/>
              <w:rPr>
                <w:b w:val="0"/>
                <w:sz w:val="20"/>
                <w:szCs w:val="20"/>
              </w:rPr>
            </w:pPr>
            <w:r>
              <w:rPr>
                <w:sz w:val="20"/>
                <w:szCs w:val="20"/>
              </w:rPr>
              <w:t>Goal Outcome Indicator</w:t>
            </w:r>
          </w:p>
        </w:tc>
      </w:tr>
      <w:tr w:rsidR="007C520D" w14:paraId="220D4C27"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519E5F1F" w14:textId="77777777" w:rsidR="007C520D" w:rsidRDefault="007C520D" w:rsidP="007C520D">
            <w:pPr>
              <w:keepNext/>
              <w:widowControl w:val="0"/>
              <w:spacing w:after="0" w:line="240" w:lineRule="auto"/>
              <w:jc w:val="center"/>
              <w:rPr>
                <w:b/>
                <w:sz w:val="20"/>
                <w:szCs w:val="20"/>
              </w:rPr>
            </w:pPr>
            <w:r>
              <w:rPr>
                <w:b/>
                <w:sz w:val="20"/>
                <w:szCs w:val="20"/>
              </w:rPr>
              <w:t>1</w:t>
            </w:r>
          </w:p>
        </w:tc>
        <w:tc>
          <w:tcPr>
            <w:tcW w:w="2534" w:type="dxa"/>
          </w:tcPr>
          <w:p w14:paraId="43B41522" w14:textId="77777777" w:rsidR="007C520D" w:rsidRPr="00AF3563" w:rsidRDefault="007C520D" w:rsidP="007C520D">
            <w:pPr>
              <w:keepNext/>
              <w:widowControl w:val="0"/>
              <w:spacing w:after="0" w:line="240" w:lineRule="auto"/>
              <w:rPr>
                <w:sz w:val="20"/>
                <w:szCs w:val="20"/>
              </w:rPr>
            </w:pPr>
            <w:r w:rsidRPr="00AF3563">
              <w:rPr>
                <w:sz w:val="20"/>
                <w:szCs w:val="20"/>
              </w:rPr>
              <w:t>Water and Sewer Improvements</w:t>
            </w:r>
          </w:p>
        </w:tc>
        <w:tc>
          <w:tcPr>
            <w:tcW w:w="622" w:type="dxa"/>
          </w:tcPr>
          <w:p w14:paraId="6E9B9044"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60FA7584"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037B29B1" w14:textId="77777777" w:rsidR="007C520D" w:rsidRPr="00AF3563" w:rsidRDefault="007C520D" w:rsidP="007C520D">
            <w:pPr>
              <w:keepNext/>
              <w:widowControl w:val="0"/>
              <w:spacing w:after="0" w:line="240" w:lineRule="auto"/>
              <w:rPr>
                <w:sz w:val="20"/>
                <w:szCs w:val="20"/>
              </w:rPr>
            </w:pPr>
            <w:r w:rsidRPr="00AF3563">
              <w:rPr>
                <w:sz w:val="20"/>
                <w:szCs w:val="20"/>
              </w:rPr>
              <w:t>Water and Sewer Improvements</w:t>
            </w:r>
          </w:p>
        </w:tc>
        <w:tc>
          <w:tcPr>
            <w:tcW w:w="1369" w:type="dxa"/>
          </w:tcPr>
          <w:p w14:paraId="26FB0B86" w14:textId="77777777" w:rsidR="007C520D" w:rsidRDefault="007C520D" w:rsidP="007C520D">
            <w:pPr>
              <w:keepNext/>
              <w:widowControl w:val="0"/>
              <w:spacing w:after="0" w:line="240" w:lineRule="auto"/>
              <w:rPr>
                <w:sz w:val="20"/>
                <w:szCs w:val="20"/>
              </w:rPr>
            </w:pPr>
            <w:r>
              <w:rPr>
                <w:sz w:val="20"/>
                <w:szCs w:val="20"/>
              </w:rPr>
              <w:t>Community Development</w:t>
            </w:r>
          </w:p>
          <w:p w14:paraId="07F5CB35" w14:textId="77777777" w:rsidR="007C520D" w:rsidRPr="00AF3563" w:rsidRDefault="007C520D" w:rsidP="007C520D">
            <w:pPr>
              <w:keepNext/>
              <w:widowControl w:val="0"/>
              <w:spacing w:after="0" w:line="240" w:lineRule="auto"/>
              <w:rPr>
                <w:sz w:val="20"/>
                <w:szCs w:val="20"/>
              </w:rPr>
            </w:pPr>
            <w:r>
              <w:rPr>
                <w:sz w:val="20"/>
                <w:szCs w:val="20"/>
              </w:rPr>
              <w:t>Water and Sewer Improvements</w:t>
            </w:r>
          </w:p>
        </w:tc>
        <w:tc>
          <w:tcPr>
            <w:tcW w:w="2048" w:type="dxa"/>
          </w:tcPr>
          <w:p w14:paraId="7B815437" w14:textId="77777777" w:rsidR="007C520D" w:rsidRPr="00AF3563" w:rsidRDefault="007C520D" w:rsidP="007C520D">
            <w:pPr>
              <w:keepNext/>
              <w:widowControl w:val="0"/>
              <w:spacing w:after="0" w:line="240" w:lineRule="auto"/>
              <w:rPr>
                <w:sz w:val="20"/>
                <w:szCs w:val="20"/>
              </w:rPr>
            </w:pPr>
            <w:r w:rsidRPr="00795DBE">
              <w:rPr>
                <w:sz w:val="20"/>
                <w:szCs w:val="20"/>
              </w:rPr>
              <w:t>CDBG: $2</w:t>
            </w:r>
            <w:r>
              <w:rPr>
                <w:sz w:val="20"/>
                <w:szCs w:val="20"/>
              </w:rPr>
              <w:t>5</w:t>
            </w:r>
            <w:r w:rsidRPr="00795DBE">
              <w:rPr>
                <w:sz w:val="20"/>
                <w:szCs w:val="20"/>
              </w:rPr>
              <w:t>,</w:t>
            </w:r>
            <w:r>
              <w:rPr>
                <w:sz w:val="20"/>
                <w:szCs w:val="20"/>
              </w:rPr>
              <w:t>326</w:t>
            </w:r>
            <w:r w:rsidRPr="00795DBE">
              <w:rPr>
                <w:sz w:val="20"/>
                <w:szCs w:val="20"/>
              </w:rPr>
              <w:t>,</w:t>
            </w:r>
            <w:r>
              <w:rPr>
                <w:sz w:val="20"/>
                <w:szCs w:val="20"/>
              </w:rPr>
              <w:t>128</w:t>
            </w:r>
          </w:p>
        </w:tc>
        <w:tc>
          <w:tcPr>
            <w:tcW w:w="2794" w:type="dxa"/>
          </w:tcPr>
          <w:p w14:paraId="2B88C961" w14:textId="77777777" w:rsidR="007C520D" w:rsidRDefault="007C520D" w:rsidP="007C520D">
            <w:pPr>
              <w:keepNext/>
              <w:widowControl w:val="0"/>
              <w:spacing w:after="0" w:line="240" w:lineRule="auto"/>
              <w:rPr>
                <w:sz w:val="20"/>
                <w:szCs w:val="20"/>
              </w:rPr>
            </w:pPr>
            <w:r w:rsidRPr="00720FFF">
              <w:rPr>
                <w:sz w:val="20"/>
                <w:szCs w:val="20"/>
              </w:rPr>
              <w:t>Public Facility or Infrastructure Activities other than Low/Moderate Income Housing Benefit:</w:t>
            </w:r>
          </w:p>
          <w:p w14:paraId="39A24A68" w14:textId="77777777" w:rsidR="007C520D" w:rsidRPr="00AF3563" w:rsidRDefault="007C520D" w:rsidP="007C520D">
            <w:pPr>
              <w:keepNext/>
              <w:widowControl w:val="0"/>
              <w:spacing w:after="0" w:line="240" w:lineRule="auto"/>
              <w:rPr>
                <w:sz w:val="20"/>
                <w:szCs w:val="20"/>
              </w:rPr>
            </w:pPr>
            <w:r>
              <w:rPr>
                <w:sz w:val="20"/>
                <w:szCs w:val="20"/>
              </w:rPr>
              <w:t>126,631 Persons Assisted</w:t>
            </w:r>
          </w:p>
        </w:tc>
      </w:tr>
      <w:tr w:rsidR="007C520D" w14:paraId="656C10C1" w14:textId="77777777" w:rsidTr="007C520D">
        <w:trPr>
          <w:trHeight w:val="226"/>
        </w:trPr>
        <w:tc>
          <w:tcPr>
            <w:tcW w:w="873" w:type="dxa"/>
          </w:tcPr>
          <w:p w14:paraId="732F3BDF" w14:textId="77777777" w:rsidR="007C520D" w:rsidRDefault="007C520D" w:rsidP="007C520D">
            <w:pPr>
              <w:keepNext/>
              <w:widowControl w:val="0"/>
              <w:spacing w:after="0" w:line="240" w:lineRule="auto"/>
              <w:jc w:val="center"/>
              <w:rPr>
                <w:b/>
                <w:sz w:val="20"/>
                <w:szCs w:val="20"/>
              </w:rPr>
            </w:pPr>
            <w:r>
              <w:rPr>
                <w:b/>
                <w:sz w:val="20"/>
                <w:szCs w:val="20"/>
              </w:rPr>
              <w:t>2</w:t>
            </w:r>
          </w:p>
        </w:tc>
        <w:tc>
          <w:tcPr>
            <w:tcW w:w="2534" w:type="dxa"/>
          </w:tcPr>
          <w:p w14:paraId="7618D3B1" w14:textId="77777777" w:rsidR="007C520D" w:rsidRPr="00AF3563" w:rsidRDefault="007C520D" w:rsidP="007C520D">
            <w:pPr>
              <w:keepNext/>
              <w:widowControl w:val="0"/>
              <w:spacing w:after="0" w:line="240" w:lineRule="auto"/>
              <w:rPr>
                <w:sz w:val="20"/>
                <w:szCs w:val="20"/>
              </w:rPr>
            </w:pPr>
            <w:r w:rsidRPr="00AF3563">
              <w:rPr>
                <w:sz w:val="20"/>
                <w:szCs w:val="20"/>
              </w:rPr>
              <w:t>Increase the quality of affordable housing: CDBG</w:t>
            </w:r>
          </w:p>
        </w:tc>
        <w:tc>
          <w:tcPr>
            <w:tcW w:w="622" w:type="dxa"/>
          </w:tcPr>
          <w:p w14:paraId="317E2CE8"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508D80A5"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5F8D14E7" w14:textId="77777777" w:rsidR="007C520D" w:rsidRPr="00AF3563" w:rsidRDefault="007C520D" w:rsidP="007C520D">
            <w:pPr>
              <w:keepNext/>
              <w:widowControl w:val="0"/>
              <w:spacing w:after="0" w:line="240" w:lineRule="auto"/>
              <w:rPr>
                <w:sz w:val="20"/>
                <w:szCs w:val="20"/>
              </w:rPr>
            </w:pPr>
            <w:r w:rsidRPr="00AF3563">
              <w:rPr>
                <w:sz w:val="20"/>
                <w:szCs w:val="20"/>
              </w:rPr>
              <w:t>Affordable Housing</w:t>
            </w:r>
          </w:p>
        </w:tc>
        <w:tc>
          <w:tcPr>
            <w:tcW w:w="1369" w:type="dxa"/>
          </w:tcPr>
          <w:p w14:paraId="4267CF63" w14:textId="77777777" w:rsidR="007C520D" w:rsidRPr="00AF3563" w:rsidRDefault="007C520D" w:rsidP="007C520D">
            <w:pPr>
              <w:keepNext/>
              <w:widowControl w:val="0"/>
              <w:spacing w:after="0" w:line="240" w:lineRule="auto"/>
              <w:rPr>
                <w:sz w:val="20"/>
                <w:szCs w:val="20"/>
              </w:rPr>
            </w:pPr>
            <w:r>
              <w:rPr>
                <w:sz w:val="20"/>
                <w:szCs w:val="20"/>
              </w:rPr>
              <w:t xml:space="preserve">Affordable Housing </w:t>
            </w:r>
          </w:p>
        </w:tc>
        <w:tc>
          <w:tcPr>
            <w:tcW w:w="2048" w:type="dxa"/>
          </w:tcPr>
          <w:p w14:paraId="238BF144" w14:textId="77777777" w:rsidR="007C520D" w:rsidRPr="00AF3563" w:rsidRDefault="007C520D" w:rsidP="007C520D">
            <w:pPr>
              <w:keepNext/>
              <w:widowControl w:val="0"/>
              <w:spacing w:after="0" w:line="240" w:lineRule="auto"/>
              <w:rPr>
                <w:sz w:val="20"/>
                <w:szCs w:val="20"/>
              </w:rPr>
            </w:pPr>
            <w:r w:rsidRPr="00795DBE">
              <w:rPr>
                <w:sz w:val="20"/>
                <w:szCs w:val="20"/>
              </w:rPr>
              <w:t>CDBG: $</w:t>
            </w:r>
            <w:r>
              <w:rPr>
                <w:sz w:val="20"/>
                <w:szCs w:val="20"/>
              </w:rPr>
              <w:t>8</w:t>
            </w:r>
            <w:r w:rsidRPr="00795DBE">
              <w:rPr>
                <w:sz w:val="20"/>
                <w:szCs w:val="20"/>
              </w:rPr>
              <w:t>,</w:t>
            </w:r>
            <w:r>
              <w:rPr>
                <w:sz w:val="20"/>
                <w:szCs w:val="20"/>
              </w:rPr>
              <w:t>340</w:t>
            </w:r>
            <w:r w:rsidRPr="00795DBE">
              <w:rPr>
                <w:sz w:val="20"/>
                <w:szCs w:val="20"/>
              </w:rPr>
              <w:t>,</w:t>
            </w:r>
            <w:r>
              <w:rPr>
                <w:sz w:val="20"/>
                <w:szCs w:val="20"/>
              </w:rPr>
              <w:t>372</w:t>
            </w:r>
          </w:p>
        </w:tc>
        <w:tc>
          <w:tcPr>
            <w:tcW w:w="2794" w:type="dxa"/>
          </w:tcPr>
          <w:p w14:paraId="4AB3918C" w14:textId="77777777" w:rsidR="007C520D" w:rsidRDefault="007C520D" w:rsidP="007C520D">
            <w:pPr>
              <w:keepNext/>
              <w:widowControl w:val="0"/>
              <w:spacing w:after="0" w:line="240" w:lineRule="auto"/>
              <w:rPr>
                <w:sz w:val="20"/>
                <w:szCs w:val="20"/>
              </w:rPr>
            </w:pPr>
            <w:r>
              <w:rPr>
                <w:sz w:val="20"/>
                <w:szCs w:val="20"/>
              </w:rPr>
              <w:t>New rental units: 143</w:t>
            </w:r>
          </w:p>
          <w:p w14:paraId="65E38B83" w14:textId="77777777" w:rsidR="007C520D" w:rsidRPr="00AF3563" w:rsidRDefault="007C520D" w:rsidP="007C520D">
            <w:pPr>
              <w:keepNext/>
              <w:widowControl w:val="0"/>
              <w:spacing w:after="0" w:line="240" w:lineRule="auto"/>
              <w:rPr>
                <w:sz w:val="20"/>
                <w:szCs w:val="20"/>
              </w:rPr>
            </w:pPr>
            <w:r>
              <w:rPr>
                <w:sz w:val="20"/>
                <w:szCs w:val="20"/>
              </w:rPr>
              <w:t>Rental rehabilitation: 54</w:t>
            </w:r>
          </w:p>
        </w:tc>
      </w:tr>
      <w:tr w:rsidR="007C520D" w14:paraId="2000026B"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7DCBB917" w14:textId="77777777" w:rsidR="007C520D" w:rsidRDefault="007C520D" w:rsidP="007C520D">
            <w:pPr>
              <w:keepNext/>
              <w:widowControl w:val="0"/>
              <w:spacing w:after="0" w:line="240" w:lineRule="auto"/>
              <w:jc w:val="center"/>
              <w:rPr>
                <w:b/>
                <w:sz w:val="20"/>
                <w:szCs w:val="20"/>
              </w:rPr>
            </w:pPr>
            <w:r>
              <w:rPr>
                <w:b/>
                <w:sz w:val="20"/>
                <w:szCs w:val="20"/>
              </w:rPr>
              <w:t>3</w:t>
            </w:r>
          </w:p>
        </w:tc>
        <w:tc>
          <w:tcPr>
            <w:tcW w:w="2534" w:type="dxa"/>
          </w:tcPr>
          <w:p w14:paraId="0B88A6AA" w14:textId="77777777" w:rsidR="007C520D" w:rsidRPr="00AF3563" w:rsidRDefault="007C520D" w:rsidP="007C520D">
            <w:pPr>
              <w:keepNext/>
              <w:widowControl w:val="0"/>
              <w:spacing w:after="0" w:line="240" w:lineRule="auto"/>
              <w:rPr>
                <w:sz w:val="20"/>
                <w:szCs w:val="20"/>
              </w:rPr>
            </w:pPr>
            <w:r w:rsidRPr="00AF3563">
              <w:rPr>
                <w:sz w:val="20"/>
                <w:szCs w:val="20"/>
              </w:rPr>
              <w:t>Community Facilities</w:t>
            </w:r>
          </w:p>
        </w:tc>
        <w:tc>
          <w:tcPr>
            <w:tcW w:w="622" w:type="dxa"/>
          </w:tcPr>
          <w:p w14:paraId="146E6C40"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6B3B9855"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684FE0D9" w14:textId="77777777" w:rsidR="007C520D" w:rsidRPr="00AF3563" w:rsidRDefault="007C520D" w:rsidP="007C520D">
            <w:pPr>
              <w:keepNext/>
              <w:widowControl w:val="0"/>
              <w:spacing w:after="0" w:line="240" w:lineRule="auto"/>
              <w:rPr>
                <w:sz w:val="20"/>
                <w:szCs w:val="20"/>
              </w:rPr>
            </w:pPr>
            <w:r w:rsidRPr="00AF3563">
              <w:rPr>
                <w:sz w:val="20"/>
                <w:szCs w:val="20"/>
              </w:rPr>
              <w:t>Community Facility Improvements</w:t>
            </w:r>
          </w:p>
        </w:tc>
        <w:tc>
          <w:tcPr>
            <w:tcW w:w="1369" w:type="dxa"/>
          </w:tcPr>
          <w:p w14:paraId="5B71DB4B" w14:textId="77777777" w:rsidR="007C520D" w:rsidRPr="00AF3563" w:rsidRDefault="007C520D" w:rsidP="007C520D">
            <w:pPr>
              <w:keepNext/>
              <w:widowControl w:val="0"/>
              <w:spacing w:after="0" w:line="240" w:lineRule="auto"/>
              <w:rPr>
                <w:sz w:val="20"/>
                <w:szCs w:val="20"/>
              </w:rPr>
            </w:pPr>
            <w:r>
              <w:rPr>
                <w:sz w:val="20"/>
                <w:szCs w:val="20"/>
              </w:rPr>
              <w:t xml:space="preserve">Community Development </w:t>
            </w:r>
          </w:p>
        </w:tc>
        <w:tc>
          <w:tcPr>
            <w:tcW w:w="2048" w:type="dxa"/>
          </w:tcPr>
          <w:p w14:paraId="39F6ACC1" w14:textId="77777777" w:rsidR="007C520D" w:rsidRPr="00AF3563" w:rsidRDefault="007C520D" w:rsidP="007C520D">
            <w:pPr>
              <w:keepNext/>
              <w:widowControl w:val="0"/>
              <w:spacing w:after="0" w:line="240" w:lineRule="auto"/>
              <w:rPr>
                <w:sz w:val="20"/>
                <w:szCs w:val="20"/>
              </w:rPr>
            </w:pPr>
            <w:r w:rsidRPr="00795DBE">
              <w:rPr>
                <w:sz w:val="20"/>
                <w:szCs w:val="20"/>
              </w:rPr>
              <w:t>CDBG: $1</w:t>
            </w:r>
            <w:r>
              <w:rPr>
                <w:sz w:val="20"/>
                <w:szCs w:val="20"/>
              </w:rPr>
              <w:t>7</w:t>
            </w:r>
            <w:r w:rsidRPr="00795DBE">
              <w:rPr>
                <w:sz w:val="20"/>
                <w:szCs w:val="20"/>
              </w:rPr>
              <w:t>,</w:t>
            </w:r>
            <w:r>
              <w:rPr>
                <w:sz w:val="20"/>
                <w:szCs w:val="20"/>
              </w:rPr>
              <w:t>711</w:t>
            </w:r>
            <w:r w:rsidRPr="00795DBE">
              <w:rPr>
                <w:sz w:val="20"/>
                <w:szCs w:val="20"/>
              </w:rPr>
              <w:t>,</w:t>
            </w:r>
            <w:r>
              <w:rPr>
                <w:sz w:val="20"/>
                <w:szCs w:val="20"/>
              </w:rPr>
              <w:t>824</w:t>
            </w:r>
          </w:p>
        </w:tc>
        <w:tc>
          <w:tcPr>
            <w:tcW w:w="2794" w:type="dxa"/>
          </w:tcPr>
          <w:p w14:paraId="474E4027" w14:textId="77777777" w:rsidR="007C520D" w:rsidRPr="00AF3563" w:rsidRDefault="007C520D" w:rsidP="007C520D">
            <w:pPr>
              <w:keepNext/>
              <w:widowControl w:val="0"/>
              <w:spacing w:after="0" w:line="240" w:lineRule="auto"/>
              <w:rPr>
                <w:sz w:val="20"/>
                <w:szCs w:val="20"/>
              </w:rPr>
            </w:pPr>
            <w:r>
              <w:rPr>
                <w:sz w:val="20"/>
                <w:szCs w:val="20"/>
              </w:rPr>
              <w:t>Other: 41</w:t>
            </w:r>
          </w:p>
        </w:tc>
      </w:tr>
      <w:tr w:rsidR="007C520D" w14:paraId="4C669BEB" w14:textId="77777777" w:rsidTr="007C520D">
        <w:trPr>
          <w:trHeight w:val="226"/>
        </w:trPr>
        <w:tc>
          <w:tcPr>
            <w:tcW w:w="873" w:type="dxa"/>
          </w:tcPr>
          <w:p w14:paraId="3B698C14" w14:textId="77777777" w:rsidR="007C520D" w:rsidRDefault="007C520D" w:rsidP="007C520D">
            <w:pPr>
              <w:keepNext/>
              <w:widowControl w:val="0"/>
              <w:spacing w:after="0" w:line="240" w:lineRule="auto"/>
              <w:jc w:val="center"/>
              <w:rPr>
                <w:b/>
                <w:sz w:val="20"/>
                <w:szCs w:val="20"/>
              </w:rPr>
            </w:pPr>
            <w:r>
              <w:rPr>
                <w:b/>
                <w:sz w:val="20"/>
                <w:szCs w:val="20"/>
              </w:rPr>
              <w:t>4</w:t>
            </w:r>
          </w:p>
        </w:tc>
        <w:tc>
          <w:tcPr>
            <w:tcW w:w="2534" w:type="dxa"/>
          </w:tcPr>
          <w:p w14:paraId="5B2FA07F" w14:textId="77777777" w:rsidR="007C520D" w:rsidRPr="00AF3563" w:rsidRDefault="007C520D" w:rsidP="007C520D">
            <w:pPr>
              <w:keepNext/>
              <w:widowControl w:val="0"/>
              <w:spacing w:after="0" w:line="240" w:lineRule="auto"/>
              <w:rPr>
                <w:sz w:val="20"/>
                <w:szCs w:val="20"/>
              </w:rPr>
            </w:pPr>
            <w:r w:rsidRPr="00AF3563">
              <w:rPr>
                <w:sz w:val="20"/>
                <w:szCs w:val="20"/>
              </w:rPr>
              <w:t>Economic Development</w:t>
            </w:r>
          </w:p>
        </w:tc>
        <w:tc>
          <w:tcPr>
            <w:tcW w:w="622" w:type="dxa"/>
          </w:tcPr>
          <w:p w14:paraId="4D2D220B"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577FEE24"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61DFB55D" w14:textId="77777777" w:rsidR="007C520D" w:rsidRPr="00AF3563" w:rsidRDefault="007C520D" w:rsidP="007C520D">
            <w:pPr>
              <w:keepNext/>
              <w:widowControl w:val="0"/>
              <w:spacing w:after="0" w:line="240" w:lineRule="auto"/>
              <w:rPr>
                <w:sz w:val="20"/>
                <w:szCs w:val="20"/>
              </w:rPr>
            </w:pPr>
            <w:r w:rsidRPr="00AF3563">
              <w:rPr>
                <w:sz w:val="20"/>
                <w:szCs w:val="20"/>
              </w:rPr>
              <w:t>Economic Development</w:t>
            </w:r>
          </w:p>
        </w:tc>
        <w:tc>
          <w:tcPr>
            <w:tcW w:w="1369" w:type="dxa"/>
          </w:tcPr>
          <w:p w14:paraId="5E3DAC44" w14:textId="77777777" w:rsidR="007C520D" w:rsidRPr="00AF3563" w:rsidRDefault="007C520D" w:rsidP="007C520D">
            <w:pPr>
              <w:keepNext/>
              <w:widowControl w:val="0"/>
              <w:spacing w:after="0" w:line="240" w:lineRule="auto"/>
              <w:rPr>
                <w:sz w:val="20"/>
                <w:szCs w:val="20"/>
              </w:rPr>
            </w:pPr>
            <w:r>
              <w:rPr>
                <w:sz w:val="20"/>
                <w:szCs w:val="20"/>
              </w:rPr>
              <w:t>Community Development</w:t>
            </w:r>
          </w:p>
        </w:tc>
        <w:tc>
          <w:tcPr>
            <w:tcW w:w="2048" w:type="dxa"/>
          </w:tcPr>
          <w:p w14:paraId="7F0693BA" w14:textId="77777777" w:rsidR="007C520D" w:rsidRPr="00AF3563" w:rsidRDefault="007C520D" w:rsidP="007C520D">
            <w:pPr>
              <w:keepNext/>
              <w:widowControl w:val="0"/>
              <w:spacing w:after="0" w:line="240" w:lineRule="auto"/>
              <w:rPr>
                <w:sz w:val="20"/>
                <w:szCs w:val="20"/>
              </w:rPr>
            </w:pPr>
            <w:r w:rsidRPr="00795DBE">
              <w:rPr>
                <w:sz w:val="20"/>
                <w:szCs w:val="20"/>
              </w:rPr>
              <w:t>CDBG: $</w:t>
            </w:r>
            <w:r>
              <w:rPr>
                <w:sz w:val="20"/>
                <w:szCs w:val="20"/>
              </w:rPr>
              <w:t>6</w:t>
            </w:r>
            <w:r w:rsidRPr="00795DBE">
              <w:rPr>
                <w:sz w:val="20"/>
                <w:szCs w:val="20"/>
              </w:rPr>
              <w:t>,</w:t>
            </w:r>
            <w:r>
              <w:rPr>
                <w:sz w:val="20"/>
                <w:szCs w:val="20"/>
              </w:rPr>
              <w:t>876</w:t>
            </w:r>
            <w:r w:rsidRPr="00795DBE">
              <w:rPr>
                <w:sz w:val="20"/>
                <w:szCs w:val="20"/>
              </w:rPr>
              <w:t>,</w:t>
            </w:r>
            <w:r>
              <w:rPr>
                <w:sz w:val="20"/>
                <w:szCs w:val="20"/>
              </w:rPr>
              <w:t>083</w:t>
            </w:r>
          </w:p>
        </w:tc>
        <w:tc>
          <w:tcPr>
            <w:tcW w:w="2794" w:type="dxa"/>
          </w:tcPr>
          <w:p w14:paraId="3A5E3D68" w14:textId="77777777" w:rsidR="007C520D" w:rsidRPr="00AF3563" w:rsidRDefault="007C520D" w:rsidP="007C520D">
            <w:pPr>
              <w:keepNext/>
              <w:widowControl w:val="0"/>
              <w:spacing w:after="0" w:line="240" w:lineRule="auto"/>
              <w:rPr>
                <w:sz w:val="20"/>
                <w:szCs w:val="20"/>
              </w:rPr>
            </w:pPr>
            <w:r w:rsidRPr="00496B83">
              <w:rPr>
                <w:sz w:val="20"/>
                <w:szCs w:val="20"/>
              </w:rPr>
              <w:t>Businesses assisted:</w:t>
            </w:r>
            <w:r>
              <w:rPr>
                <w:sz w:val="20"/>
                <w:szCs w:val="20"/>
              </w:rPr>
              <w:t xml:space="preserve"> 24</w:t>
            </w:r>
          </w:p>
        </w:tc>
      </w:tr>
      <w:tr w:rsidR="007C520D" w14:paraId="6BF7D11E"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177857BF" w14:textId="77777777" w:rsidR="007C520D" w:rsidRDefault="007C520D" w:rsidP="007C520D">
            <w:pPr>
              <w:keepNext/>
              <w:widowControl w:val="0"/>
              <w:spacing w:after="0" w:line="240" w:lineRule="auto"/>
              <w:jc w:val="center"/>
              <w:rPr>
                <w:b/>
                <w:sz w:val="20"/>
                <w:szCs w:val="20"/>
              </w:rPr>
            </w:pPr>
            <w:r>
              <w:rPr>
                <w:b/>
                <w:sz w:val="20"/>
                <w:szCs w:val="20"/>
              </w:rPr>
              <w:t>5</w:t>
            </w:r>
          </w:p>
        </w:tc>
        <w:tc>
          <w:tcPr>
            <w:tcW w:w="2534" w:type="dxa"/>
          </w:tcPr>
          <w:p w14:paraId="7ECAF7E6" w14:textId="77777777" w:rsidR="007C520D" w:rsidRPr="00AF3563" w:rsidRDefault="007C520D" w:rsidP="007C520D">
            <w:pPr>
              <w:keepNext/>
              <w:widowControl w:val="0"/>
              <w:spacing w:after="0" w:line="240" w:lineRule="auto"/>
              <w:rPr>
                <w:sz w:val="20"/>
                <w:szCs w:val="20"/>
              </w:rPr>
            </w:pPr>
            <w:r w:rsidRPr="00AF3563">
              <w:rPr>
                <w:sz w:val="20"/>
                <w:szCs w:val="20"/>
              </w:rPr>
              <w:t>Downtown Commercial Rehabilitation</w:t>
            </w:r>
          </w:p>
        </w:tc>
        <w:tc>
          <w:tcPr>
            <w:tcW w:w="622" w:type="dxa"/>
          </w:tcPr>
          <w:p w14:paraId="4B9537A0"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3683E5BE"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7D118415" w14:textId="77777777" w:rsidR="007C520D" w:rsidRPr="00AF3563" w:rsidRDefault="007C520D" w:rsidP="007C520D">
            <w:pPr>
              <w:keepNext/>
              <w:widowControl w:val="0"/>
              <w:spacing w:after="0" w:line="240" w:lineRule="auto"/>
              <w:rPr>
                <w:sz w:val="20"/>
                <w:szCs w:val="20"/>
              </w:rPr>
            </w:pPr>
            <w:r w:rsidRPr="00AF3563">
              <w:rPr>
                <w:sz w:val="20"/>
                <w:szCs w:val="20"/>
              </w:rPr>
              <w:t>Non-Housing Community Development</w:t>
            </w:r>
          </w:p>
        </w:tc>
        <w:tc>
          <w:tcPr>
            <w:tcW w:w="1369" w:type="dxa"/>
          </w:tcPr>
          <w:p w14:paraId="24052692" w14:textId="77777777" w:rsidR="007C520D" w:rsidRPr="00AF3563" w:rsidRDefault="007C520D" w:rsidP="007C520D">
            <w:pPr>
              <w:keepNext/>
              <w:widowControl w:val="0"/>
              <w:spacing w:after="0" w:line="240" w:lineRule="auto"/>
              <w:rPr>
                <w:sz w:val="20"/>
                <w:szCs w:val="20"/>
              </w:rPr>
            </w:pPr>
            <w:r>
              <w:rPr>
                <w:sz w:val="20"/>
                <w:szCs w:val="20"/>
              </w:rPr>
              <w:t>Community Development</w:t>
            </w:r>
          </w:p>
        </w:tc>
        <w:tc>
          <w:tcPr>
            <w:tcW w:w="2048" w:type="dxa"/>
          </w:tcPr>
          <w:p w14:paraId="74A57C23" w14:textId="77777777" w:rsidR="007C520D" w:rsidRPr="00AF3563" w:rsidRDefault="007C520D" w:rsidP="007C520D">
            <w:pPr>
              <w:keepNext/>
              <w:widowControl w:val="0"/>
              <w:spacing w:after="0" w:line="240" w:lineRule="auto"/>
              <w:rPr>
                <w:sz w:val="20"/>
                <w:szCs w:val="20"/>
              </w:rPr>
            </w:pPr>
            <w:r w:rsidRPr="00795DBE">
              <w:rPr>
                <w:sz w:val="20"/>
                <w:szCs w:val="20"/>
              </w:rPr>
              <w:t>CDBG: $</w:t>
            </w:r>
            <w:r>
              <w:rPr>
                <w:sz w:val="20"/>
                <w:szCs w:val="20"/>
              </w:rPr>
              <w:t>5</w:t>
            </w:r>
            <w:r w:rsidRPr="00795DBE">
              <w:rPr>
                <w:sz w:val="20"/>
                <w:szCs w:val="20"/>
              </w:rPr>
              <w:t>,</w:t>
            </w:r>
            <w:r>
              <w:rPr>
                <w:sz w:val="20"/>
                <w:szCs w:val="20"/>
              </w:rPr>
              <w:t>997</w:t>
            </w:r>
            <w:r w:rsidRPr="00795DBE">
              <w:rPr>
                <w:sz w:val="20"/>
                <w:szCs w:val="20"/>
              </w:rPr>
              <w:t>,</w:t>
            </w:r>
            <w:r>
              <w:rPr>
                <w:sz w:val="20"/>
                <w:szCs w:val="20"/>
              </w:rPr>
              <w:t>509</w:t>
            </w:r>
          </w:p>
        </w:tc>
        <w:tc>
          <w:tcPr>
            <w:tcW w:w="2794" w:type="dxa"/>
          </w:tcPr>
          <w:p w14:paraId="0B984766" w14:textId="77777777" w:rsidR="007C520D" w:rsidRPr="00AF3563" w:rsidRDefault="007C520D" w:rsidP="007C520D">
            <w:pPr>
              <w:keepNext/>
              <w:widowControl w:val="0"/>
              <w:spacing w:after="0" w:line="240" w:lineRule="auto"/>
              <w:rPr>
                <w:sz w:val="20"/>
                <w:szCs w:val="20"/>
              </w:rPr>
            </w:pPr>
            <w:r w:rsidRPr="00496B83">
              <w:rPr>
                <w:sz w:val="20"/>
                <w:szCs w:val="20"/>
              </w:rPr>
              <w:t>Businesses assisted:</w:t>
            </w:r>
            <w:r>
              <w:rPr>
                <w:sz w:val="20"/>
                <w:szCs w:val="20"/>
              </w:rPr>
              <w:t xml:space="preserve"> 30</w:t>
            </w:r>
          </w:p>
        </w:tc>
      </w:tr>
      <w:tr w:rsidR="007C520D" w14:paraId="4C431913" w14:textId="77777777" w:rsidTr="007C520D">
        <w:trPr>
          <w:trHeight w:val="226"/>
        </w:trPr>
        <w:tc>
          <w:tcPr>
            <w:tcW w:w="873" w:type="dxa"/>
          </w:tcPr>
          <w:p w14:paraId="1D1E6D87" w14:textId="77777777" w:rsidR="007C520D" w:rsidRDefault="007C520D" w:rsidP="007C520D">
            <w:pPr>
              <w:keepNext/>
              <w:widowControl w:val="0"/>
              <w:spacing w:after="0" w:line="240" w:lineRule="auto"/>
              <w:jc w:val="center"/>
              <w:rPr>
                <w:b/>
                <w:sz w:val="20"/>
                <w:szCs w:val="20"/>
              </w:rPr>
            </w:pPr>
            <w:r>
              <w:rPr>
                <w:b/>
                <w:sz w:val="20"/>
                <w:szCs w:val="20"/>
              </w:rPr>
              <w:t>6</w:t>
            </w:r>
          </w:p>
        </w:tc>
        <w:tc>
          <w:tcPr>
            <w:tcW w:w="2534" w:type="dxa"/>
          </w:tcPr>
          <w:p w14:paraId="335C90D0" w14:textId="77777777" w:rsidR="007C520D" w:rsidRPr="00AF3563" w:rsidRDefault="007C520D" w:rsidP="007C520D">
            <w:pPr>
              <w:keepNext/>
              <w:widowControl w:val="0"/>
              <w:spacing w:after="0" w:line="240" w:lineRule="auto"/>
              <w:rPr>
                <w:sz w:val="20"/>
                <w:szCs w:val="20"/>
              </w:rPr>
            </w:pPr>
            <w:r w:rsidRPr="00AF3563">
              <w:rPr>
                <w:sz w:val="20"/>
                <w:szCs w:val="20"/>
              </w:rPr>
              <w:t>Urgent Need</w:t>
            </w:r>
          </w:p>
        </w:tc>
        <w:tc>
          <w:tcPr>
            <w:tcW w:w="622" w:type="dxa"/>
          </w:tcPr>
          <w:p w14:paraId="012C3AF5"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18DE6FBF"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2871A258" w14:textId="77777777" w:rsidR="007C520D" w:rsidRPr="00AF3563" w:rsidRDefault="007C520D" w:rsidP="007C520D">
            <w:pPr>
              <w:keepNext/>
              <w:widowControl w:val="0"/>
              <w:spacing w:after="0" w:line="240" w:lineRule="auto"/>
              <w:rPr>
                <w:sz w:val="20"/>
                <w:szCs w:val="20"/>
              </w:rPr>
            </w:pPr>
            <w:r>
              <w:rPr>
                <w:sz w:val="20"/>
                <w:szCs w:val="20"/>
              </w:rPr>
              <w:t xml:space="preserve">- </w:t>
            </w:r>
            <w:r w:rsidRPr="00AF3563">
              <w:rPr>
                <w:sz w:val="20"/>
                <w:szCs w:val="20"/>
              </w:rPr>
              <w:t>Affordable Housing</w:t>
            </w:r>
          </w:p>
          <w:p w14:paraId="2A6DD28A" w14:textId="77777777" w:rsidR="007C520D" w:rsidRDefault="007C520D" w:rsidP="007C520D">
            <w:pPr>
              <w:keepNext/>
              <w:widowControl w:val="0"/>
              <w:spacing w:after="0" w:line="240" w:lineRule="auto"/>
              <w:rPr>
                <w:b/>
                <w:sz w:val="20"/>
                <w:szCs w:val="20"/>
              </w:rPr>
            </w:pPr>
            <w:r>
              <w:rPr>
                <w:sz w:val="20"/>
                <w:szCs w:val="20"/>
              </w:rPr>
              <w:t xml:space="preserve">- </w:t>
            </w:r>
            <w:r w:rsidRPr="00AF3563">
              <w:rPr>
                <w:sz w:val="20"/>
                <w:szCs w:val="20"/>
              </w:rPr>
              <w:t>Non-Housing Community Development</w:t>
            </w:r>
          </w:p>
        </w:tc>
        <w:tc>
          <w:tcPr>
            <w:tcW w:w="1369" w:type="dxa"/>
          </w:tcPr>
          <w:p w14:paraId="5232BBAE" w14:textId="77777777" w:rsidR="007C520D" w:rsidRPr="00AF3563" w:rsidRDefault="007C520D" w:rsidP="007C520D">
            <w:pPr>
              <w:keepNext/>
              <w:widowControl w:val="0"/>
              <w:spacing w:after="0" w:line="240" w:lineRule="auto"/>
              <w:rPr>
                <w:sz w:val="20"/>
                <w:szCs w:val="20"/>
              </w:rPr>
            </w:pPr>
            <w:r>
              <w:rPr>
                <w:sz w:val="20"/>
                <w:szCs w:val="20"/>
              </w:rPr>
              <w:t>Community Development Affordable Housing</w:t>
            </w:r>
          </w:p>
        </w:tc>
        <w:tc>
          <w:tcPr>
            <w:tcW w:w="2048" w:type="dxa"/>
          </w:tcPr>
          <w:p w14:paraId="7F56E59A" w14:textId="77777777" w:rsidR="007C520D" w:rsidRPr="00AF3563" w:rsidRDefault="007C520D" w:rsidP="007C520D">
            <w:pPr>
              <w:keepNext/>
              <w:widowControl w:val="0"/>
              <w:spacing w:after="0" w:line="240" w:lineRule="auto"/>
              <w:rPr>
                <w:sz w:val="20"/>
                <w:szCs w:val="20"/>
              </w:rPr>
            </w:pPr>
            <w:r>
              <w:rPr>
                <w:sz w:val="20"/>
                <w:szCs w:val="20"/>
              </w:rPr>
              <w:t>CDBG: $2,483</w:t>
            </w:r>
            <w:r w:rsidRPr="00795DBE">
              <w:rPr>
                <w:sz w:val="20"/>
                <w:szCs w:val="20"/>
              </w:rPr>
              <w:t>,</w:t>
            </w:r>
            <w:r>
              <w:rPr>
                <w:sz w:val="20"/>
                <w:szCs w:val="20"/>
              </w:rPr>
              <w:t>215</w:t>
            </w:r>
          </w:p>
        </w:tc>
        <w:tc>
          <w:tcPr>
            <w:tcW w:w="2794" w:type="dxa"/>
          </w:tcPr>
          <w:p w14:paraId="43B32FF1" w14:textId="77777777" w:rsidR="007C520D" w:rsidRPr="00AF3563" w:rsidRDefault="007C520D" w:rsidP="007C520D">
            <w:pPr>
              <w:keepNext/>
              <w:widowControl w:val="0"/>
              <w:spacing w:after="0" w:line="240" w:lineRule="auto"/>
              <w:rPr>
                <w:sz w:val="20"/>
                <w:szCs w:val="20"/>
              </w:rPr>
            </w:pPr>
            <w:r>
              <w:rPr>
                <w:sz w:val="20"/>
                <w:szCs w:val="20"/>
              </w:rPr>
              <w:t>Other: 6</w:t>
            </w:r>
          </w:p>
        </w:tc>
      </w:tr>
      <w:tr w:rsidR="007C520D" w14:paraId="3A15E1F7"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4525D6A7" w14:textId="77777777" w:rsidR="007C520D" w:rsidRDefault="007C520D" w:rsidP="007C520D">
            <w:pPr>
              <w:keepNext/>
              <w:widowControl w:val="0"/>
              <w:spacing w:after="0" w:line="240" w:lineRule="auto"/>
              <w:jc w:val="center"/>
              <w:rPr>
                <w:b/>
                <w:sz w:val="20"/>
                <w:szCs w:val="20"/>
              </w:rPr>
            </w:pPr>
            <w:r>
              <w:rPr>
                <w:b/>
                <w:sz w:val="20"/>
                <w:szCs w:val="20"/>
              </w:rPr>
              <w:t>7</w:t>
            </w:r>
          </w:p>
        </w:tc>
        <w:tc>
          <w:tcPr>
            <w:tcW w:w="2534" w:type="dxa"/>
          </w:tcPr>
          <w:p w14:paraId="57A89BF5" w14:textId="77777777" w:rsidR="007C520D" w:rsidRPr="00AF3563" w:rsidRDefault="007C520D" w:rsidP="007C520D">
            <w:pPr>
              <w:keepNext/>
              <w:widowControl w:val="0"/>
              <w:spacing w:after="0" w:line="240" w:lineRule="auto"/>
              <w:rPr>
                <w:sz w:val="20"/>
                <w:szCs w:val="20"/>
              </w:rPr>
            </w:pPr>
            <w:r w:rsidRPr="00AF3563">
              <w:rPr>
                <w:sz w:val="20"/>
                <w:szCs w:val="20"/>
              </w:rPr>
              <w:t>State Administration and Technical Assistance</w:t>
            </w:r>
          </w:p>
        </w:tc>
        <w:tc>
          <w:tcPr>
            <w:tcW w:w="622" w:type="dxa"/>
          </w:tcPr>
          <w:p w14:paraId="7A73F74B"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4DE2EAA9"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15513D53" w14:textId="77777777" w:rsidR="007C520D" w:rsidRPr="00AF3563" w:rsidRDefault="007C520D" w:rsidP="007C520D">
            <w:pPr>
              <w:keepNext/>
              <w:widowControl w:val="0"/>
              <w:spacing w:after="0" w:line="240" w:lineRule="auto"/>
              <w:rPr>
                <w:sz w:val="20"/>
                <w:szCs w:val="20"/>
              </w:rPr>
            </w:pPr>
            <w:r>
              <w:rPr>
                <w:sz w:val="20"/>
                <w:szCs w:val="20"/>
              </w:rPr>
              <w:t xml:space="preserve">- </w:t>
            </w:r>
            <w:r w:rsidRPr="00AF3563">
              <w:rPr>
                <w:sz w:val="20"/>
                <w:szCs w:val="20"/>
              </w:rPr>
              <w:t>Affordable Housing</w:t>
            </w:r>
          </w:p>
          <w:p w14:paraId="68AA4A27" w14:textId="77777777" w:rsidR="007C520D" w:rsidRDefault="007C520D" w:rsidP="007C520D">
            <w:pPr>
              <w:keepNext/>
              <w:widowControl w:val="0"/>
              <w:spacing w:after="0" w:line="240" w:lineRule="auto"/>
              <w:jc w:val="center"/>
              <w:rPr>
                <w:b/>
                <w:sz w:val="20"/>
                <w:szCs w:val="20"/>
              </w:rPr>
            </w:pPr>
            <w:r>
              <w:rPr>
                <w:sz w:val="20"/>
                <w:szCs w:val="20"/>
              </w:rPr>
              <w:t xml:space="preserve">- </w:t>
            </w:r>
            <w:r w:rsidRPr="00AF3563">
              <w:rPr>
                <w:sz w:val="20"/>
                <w:szCs w:val="20"/>
              </w:rPr>
              <w:t>Non-Housing Community Development</w:t>
            </w:r>
          </w:p>
        </w:tc>
        <w:tc>
          <w:tcPr>
            <w:tcW w:w="1369" w:type="dxa"/>
          </w:tcPr>
          <w:p w14:paraId="67EBB26D" w14:textId="77777777" w:rsidR="007C520D" w:rsidRPr="00AF3563" w:rsidRDefault="007C520D" w:rsidP="007C520D">
            <w:pPr>
              <w:keepNext/>
              <w:widowControl w:val="0"/>
              <w:spacing w:after="0" w:line="240" w:lineRule="auto"/>
              <w:rPr>
                <w:sz w:val="20"/>
                <w:szCs w:val="20"/>
              </w:rPr>
            </w:pPr>
          </w:p>
        </w:tc>
        <w:tc>
          <w:tcPr>
            <w:tcW w:w="2048" w:type="dxa"/>
          </w:tcPr>
          <w:p w14:paraId="5828EDE4" w14:textId="77777777" w:rsidR="007C520D" w:rsidRPr="00AF3563" w:rsidRDefault="007C520D" w:rsidP="007C520D">
            <w:pPr>
              <w:keepNext/>
              <w:widowControl w:val="0"/>
              <w:spacing w:after="0" w:line="240" w:lineRule="auto"/>
              <w:rPr>
                <w:sz w:val="20"/>
                <w:szCs w:val="20"/>
              </w:rPr>
            </w:pPr>
            <w:r w:rsidRPr="00795DBE">
              <w:rPr>
                <w:sz w:val="20"/>
                <w:szCs w:val="20"/>
              </w:rPr>
              <w:t>CDBG: $2,</w:t>
            </w:r>
            <w:r>
              <w:rPr>
                <w:sz w:val="20"/>
                <w:szCs w:val="20"/>
              </w:rPr>
              <w:t>6</w:t>
            </w:r>
            <w:r w:rsidRPr="00795DBE">
              <w:rPr>
                <w:sz w:val="20"/>
                <w:szCs w:val="20"/>
              </w:rPr>
              <w:t>00,</w:t>
            </w:r>
            <w:r>
              <w:rPr>
                <w:sz w:val="20"/>
                <w:szCs w:val="20"/>
              </w:rPr>
              <w:t>358</w:t>
            </w:r>
          </w:p>
        </w:tc>
        <w:tc>
          <w:tcPr>
            <w:tcW w:w="2794" w:type="dxa"/>
          </w:tcPr>
          <w:p w14:paraId="353B2C0E" w14:textId="77777777" w:rsidR="007C520D" w:rsidRPr="00AF3563" w:rsidRDefault="007C520D" w:rsidP="007C520D">
            <w:pPr>
              <w:keepNext/>
              <w:widowControl w:val="0"/>
              <w:spacing w:after="0" w:line="240" w:lineRule="auto"/>
              <w:rPr>
                <w:sz w:val="20"/>
                <w:szCs w:val="20"/>
              </w:rPr>
            </w:pPr>
            <w:r>
              <w:rPr>
                <w:sz w:val="20"/>
                <w:szCs w:val="20"/>
              </w:rPr>
              <w:t>Other: 25</w:t>
            </w:r>
          </w:p>
        </w:tc>
      </w:tr>
      <w:tr w:rsidR="007C520D" w14:paraId="7A617A0E" w14:textId="77777777" w:rsidTr="007C520D">
        <w:trPr>
          <w:trHeight w:val="226"/>
        </w:trPr>
        <w:tc>
          <w:tcPr>
            <w:tcW w:w="873" w:type="dxa"/>
          </w:tcPr>
          <w:p w14:paraId="748A8224" w14:textId="77777777" w:rsidR="007C520D" w:rsidRDefault="007C520D" w:rsidP="007C520D">
            <w:pPr>
              <w:keepNext/>
              <w:widowControl w:val="0"/>
              <w:spacing w:after="0" w:line="240" w:lineRule="auto"/>
              <w:jc w:val="center"/>
              <w:rPr>
                <w:b/>
                <w:sz w:val="20"/>
                <w:szCs w:val="20"/>
              </w:rPr>
            </w:pPr>
            <w:r>
              <w:rPr>
                <w:b/>
                <w:sz w:val="20"/>
                <w:szCs w:val="20"/>
              </w:rPr>
              <w:t>8</w:t>
            </w:r>
          </w:p>
        </w:tc>
        <w:tc>
          <w:tcPr>
            <w:tcW w:w="2534" w:type="dxa"/>
          </w:tcPr>
          <w:p w14:paraId="00AF8EE0" w14:textId="77777777" w:rsidR="007C520D" w:rsidRPr="00AF3563" w:rsidRDefault="007C520D" w:rsidP="007C520D">
            <w:pPr>
              <w:keepNext/>
              <w:widowControl w:val="0"/>
              <w:spacing w:after="0" w:line="240" w:lineRule="auto"/>
              <w:rPr>
                <w:sz w:val="20"/>
                <w:szCs w:val="20"/>
              </w:rPr>
            </w:pPr>
            <w:r w:rsidRPr="00AF3563">
              <w:rPr>
                <w:sz w:val="20"/>
                <w:szCs w:val="20"/>
              </w:rPr>
              <w:t>First-Time Homebuyers</w:t>
            </w:r>
          </w:p>
        </w:tc>
        <w:tc>
          <w:tcPr>
            <w:tcW w:w="622" w:type="dxa"/>
          </w:tcPr>
          <w:p w14:paraId="6A08DB26"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70CC2E59"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641B0710" w14:textId="77777777" w:rsidR="007C520D" w:rsidRPr="00AF3563" w:rsidRDefault="007C520D" w:rsidP="007C520D">
            <w:pPr>
              <w:keepNext/>
              <w:widowControl w:val="0"/>
              <w:spacing w:after="0" w:line="240" w:lineRule="auto"/>
              <w:rPr>
                <w:sz w:val="20"/>
                <w:szCs w:val="20"/>
              </w:rPr>
            </w:pPr>
            <w:r w:rsidRPr="00AF3563">
              <w:rPr>
                <w:sz w:val="20"/>
                <w:szCs w:val="20"/>
              </w:rPr>
              <w:t>Affordable Housing</w:t>
            </w:r>
          </w:p>
        </w:tc>
        <w:tc>
          <w:tcPr>
            <w:tcW w:w="1369" w:type="dxa"/>
          </w:tcPr>
          <w:p w14:paraId="7BEADF07" w14:textId="77777777" w:rsidR="007C520D" w:rsidRPr="00AF3563" w:rsidRDefault="007C520D" w:rsidP="007C520D">
            <w:pPr>
              <w:keepNext/>
              <w:widowControl w:val="0"/>
              <w:spacing w:after="0" w:line="240" w:lineRule="auto"/>
              <w:rPr>
                <w:sz w:val="20"/>
                <w:szCs w:val="20"/>
              </w:rPr>
            </w:pPr>
            <w:r>
              <w:rPr>
                <w:sz w:val="20"/>
                <w:szCs w:val="20"/>
              </w:rPr>
              <w:t>Affordable Housing</w:t>
            </w:r>
          </w:p>
        </w:tc>
        <w:tc>
          <w:tcPr>
            <w:tcW w:w="2048" w:type="dxa"/>
          </w:tcPr>
          <w:p w14:paraId="7C7B1729" w14:textId="466D729B" w:rsidR="007C520D" w:rsidRPr="00AF3563" w:rsidRDefault="007C520D" w:rsidP="007C520D">
            <w:pPr>
              <w:keepNext/>
              <w:widowControl w:val="0"/>
              <w:spacing w:after="0" w:line="240" w:lineRule="auto"/>
              <w:rPr>
                <w:sz w:val="20"/>
                <w:szCs w:val="20"/>
              </w:rPr>
            </w:pPr>
            <w:r>
              <w:rPr>
                <w:sz w:val="20"/>
                <w:szCs w:val="20"/>
              </w:rPr>
              <w:t xml:space="preserve">HOME: </w:t>
            </w:r>
            <w:r w:rsidR="00455186">
              <w:rPr>
                <w:sz w:val="20"/>
                <w:szCs w:val="20"/>
              </w:rPr>
              <w:t xml:space="preserve">  </w:t>
            </w:r>
            <w:r>
              <w:rPr>
                <w:sz w:val="20"/>
                <w:szCs w:val="20"/>
              </w:rPr>
              <w:t>$5</w:t>
            </w:r>
            <w:r w:rsidRPr="00795DBE">
              <w:rPr>
                <w:sz w:val="20"/>
                <w:szCs w:val="20"/>
              </w:rPr>
              <w:t>,</w:t>
            </w:r>
            <w:r w:rsidR="00651B78">
              <w:rPr>
                <w:sz w:val="20"/>
                <w:szCs w:val="20"/>
              </w:rPr>
              <w:t>889</w:t>
            </w:r>
            <w:r w:rsidRPr="00795DBE">
              <w:rPr>
                <w:sz w:val="20"/>
                <w:szCs w:val="20"/>
              </w:rPr>
              <w:t>,</w:t>
            </w:r>
            <w:r>
              <w:rPr>
                <w:sz w:val="20"/>
                <w:szCs w:val="20"/>
              </w:rPr>
              <w:t>71</w:t>
            </w:r>
            <w:r w:rsidR="00455186">
              <w:rPr>
                <w:sz w:val="20"/>
                <w:szCs w:val="20"/>
              </w:rPr>
              <w:t>5</w:t>
            </w:r>
          </w:p>
        </w:tc>
        <w:tc>
          <w:tcPr>
            <w:tcW w:w="2794" w:type="dxa"/>
          </w:tcPr>
          <w:p w14:paraId="19347768" w14:textId="77777777" w:rsidR="007C520D" w:rsidRDefault="007C520D" w:rsidP="007C520D">
            <w:pPr>
              <w:keepNext/>
              <w:widowControl w:val="0"/>
              <w:spacing w:after="0" w:line="240" w:lineRule="auto"/>
              <w:rPr>
                <w:sz w:val="20"/>
                <w:szCs w:val="20"/>
              </w:rPr>
            </w:pPr>
            <w:r w:rsidRPr="00496B83">
              <w:rPr>
                <w:sz w:val="20"/>
                <w:szCs w:val="20"/>
              </w:rPr>
              <w:t>Direct Financial Assistance to Homebuyers:</w:t>
            </w:r>
          </w:p>
          <w:p w14:paraId="0CD59FD6" w14:textId="77777777" w:rsidR="007C520D" w:rsidRPr="00AF3563" w:rsidRDefault="007C520D" w:rsidP="007C520D">
            <w:pPr>
              <w:keepNext/>
              <w:widowControl w:val="0"/>
              <w:spacing w:after="0" w:line="240" w:lineRule="auto"/>
              <w:rPr>
                <w:sz w:val="20"/>
                <w:szCs w:val="20"/>
              </w:rPr>
            </w:pPr>
            <w:r>
              <w:rPr>
                <w:sz w:val="20"/>
                <w:szCs w:val="20"/>
              </w:rPr>
              <w:t xml:space="preserve">375 </w:t>
            </w:r>
            <w:r w:rsidRPr="00496B83">
              <w:rPr>
                <w:sz w:val="20"/>
                <w:szCs w:val="20"/>
              </w:rPr>
              <w:t>Households Assisted</w:t>
            </w:r>
          </w:p>
        </w:tc>
      </w:tr>
      <w:tr w:rsidR="007C520D" w14:paraId="5DAA18D8"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08945676" w14:textId="77777777" w:rsidR="007C520D" w:rsidRDefault="007C520D" w:rsidP="007C520D">
            <w:pPr>
              <w:keepNext/>
              <w:widowControl w:val="0"/>
              <w:spacing w:after="0" w:line="240" w:lineRule="auto"/>
              <w:jc w:val="center"/>
              <w:rPr>
                <w:b/>
                <w:sz w:val="20"/>
                <w:szCs w:val="20"/>
              </w:rPr>
            </w:pPr>
            <w:r>
              <w:rPr>
                <w:b/>
                <w:sz w:val="20"/>
                <w:szCs w:val="20"/>
              </w:rPr>
              <w:t>9</w:t>
            </w:r>
          </w:p>
        </w:tc>
        <w:tc>
          <w:tcPr>
            <w:tcW w:w="2534" w:type="dxa"/>
          </w:tcPr>
          <w:p w14:paraId="3DC5AB95" w14:textId="77777777" w:rsidR="007C520D" w:rsidRPr="00AF3563" w:rsidRDefault="007C520D" w:rsidP="007C520D">
            <w:pPr>
              <w:keepNext/>
              <w:widowControl w:val="0"/>
              <w:spacing w:after="0" w:line="240" w:lineRule="auto"/>
              <w:rPr>
                <w:sz w:val="20"/>
                <w:szCs w:val="20"/>
              </w:rPr>
            </w:pPr>
            <w:r w:rsidRPr="00AF3563">
              <w:rPr>
                <w:sz w:val="20"/>
                <w:szCs w:val="20"/>
              </w:rPr>
              <w:t>HOME Rental Development</w:t>
            </w:r>
          </w:p>
        </w:tc>
        <w:tc>
          <w:tcPr>
            <w:tcW w:w="622" w:type="dxa"/>
          </w:tcPr>
          <w:p w14:paraId="63544E3D"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344A7591"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278D1BBC" w14:textId="77777777" w:rsidR="007C520D" w:rsidRPr="00AF3563" w:rsidRDefault="007C520D" w:rsidP="007C520D">
            <w:pPr>
              <w:keepNext/>
              <w:widowControl w:val="0"/>
              <w:spacing w:after="0" w:line="240" w:lineRule="auto"/>
              <w:rPr>
                <w:sz w:val="20"/>
                <w:szCs w:val="20"/>
              </w:rPr>
            </w:pPr>
            <w:r w:rsidRPr="00AF3563">
              <w:rPr>
                <w:sz w:val="20"/>
                <w:szCs w:val="20"/>
              </w:rPr>
              <w:t>Affordable Housing</w:t>
            </w:r>
          </w:p>
        </w:tc>
        <w:tc>
          <w:tcPr>
            <w:tcW w:w="1369" w:type="dxa"/>
          </w:tcPr>
          <w:p w14:paraId="6B6DCFE3" w14:textId="77777777" w:rsidR="007C520D" w:rsidRPr="00AF3563" w:rsidRDefault="007C520D" w:rsidP="007C520D">
            <w:pPr>
              <w:keepNext/>
              <w:widowControl w:val="0"/>
              <w:spacing w:after="0" w:line="240" w:lineRule="auto"/>
              <w:rPr>
                <w:sz w:val="20"/>
                <w:szCs w:val="20"/>
              </w:rPr>
            </w:pPr>
            <w:r>
              <w:rPr>
                <w:sz w:val="20"/>
                <w:szCs w:val="20"/>
              </w:rPr>
              <w:t>Affordable Housing</w:t>
            </w:r>
          </w:p>
        </w:tc>
        <w:tc>
          <w:tcPr>
            <w:tcW w:w="2048" w:type="dxa"/>
          </w:tcPr>
          <w:p w14:paraId="6ECD3A70" w14:textId="77777777" w:rsidR="007C520D" w:rsidRPr="00AF3563" w:rsidRDefault="007C520D" w:rsidP="007C520D">
            <w:pPr>
              <w:keepNext/>
              <w:widowControl w:val="0"/>
              <w:spacing w:after="0" w:line="240" w:lineRule="auto"/>
              <w:rPr>
                <w:sz w:val="20"/>
                <w:szCs w:val="20"/>
              </w:rPr>
            </w:pPr>
            <w:r>
              <w:rPr>
                <w:sz w:val="20"/>
                <w:szCs w:val="20"/>
              </w:rPr>
              <w:t>HOME: $14</w:t>
            </w:r>
            <w:r w:rsidRPr="00795DBE">
              <w:rPr>
                <w:sz w:val="20"/>
                <w:szCs w:val="20"/>
              </w:rPr>
              <w:t>,</w:t>
            </w:r>
            <w:r>
              <w:rPr>
                <w:sz w:val="20"/>
                <w:szCs w:val="20"/>
              </w:rPr>
              <w:t>500</w:t>
            </w:r>
            <w:r w:rsidRPr="00795DBE">
              <w:rPr>
                <w:sz w:val="20"/>
                <w:szCs w:val="20"/>
              </w:rPr>
              <w:t>,</w:t>
            </w:r>
            <w:r>
              <w:rPr>
                <w:sz w:val="20"/>
                <w:szCs w:val="20"/>
              </w:rPr>
              <w:t>000</w:t>
            </w:r>
          </w:p>
        </w:tc>
        <w:tc>
          <w:tcPr>
            <w:tcW w:w="2794" w:type="dxa"/>
          </w:tcPr>
          <w:p w14:paraId="5247C802" w14:textId="77777777" w:rsidR="007C520D" w:rsidRDefault="007C520D" w:rsidP="007C520D">
            <w:pPr>
              <w:keepNext/>
              <w:widowControl w:val="0"/>
              <w:spacing w:after="0" w:line="240" w:lineRule="auto"/>
              <w:rPr>
                <w:sz w:val="20"/>
                <w:szCs w:val="20"/>
              </w:rPr>
            </w:pPr>
            <w:r w:rsidRPr="00496B83">
              <w:rPr>
                <w:sz w:val="20"/>
                <w:szCs w:val="20"/>
              </w:rPr>
              <w:t>Rental units rehabilitated:</w:t>
            </w:r>
          </w:p>
          <w:p w14:paraId="26D0CF2B" w14:textId="77777777" w:rsidR="007C520D" w:rsidRDefault="007C520D" w:rsidP="007C520D">
            <w:pPr>
              <w:keepNext/>
              <w:widowControl w:val="0"/>
              <w:spacing w:after="0" w:line="240" w:lineRule="auto"/>
              <w:rPr>
                <w:sz w:val="20"/>
                <w:szCs w:val="20"/>
              </w:rPr>
            </w:pPr>
            <w:r>
              <w:rPr>
                <w:sz w:val="20"/>
                <w:szCs w:val="20"/>
              </w:rPr>
              <w:t>86 H</w:t>
            </w:r>
            <w:r w:rsidRPr="00496B83">
              <w:rPr>
                <w:sz w:val="20"/>
                <w:szCs w:val="20"/>
              </w:rPr>
              <w:t>ousehold Housing Unit</w:t>
            </w:r>
          </w:p>
          <w:p w14:paraId="33A86150" w14:textId="77777777" w:rsidR="007C520D" w:rsidRPr="00AF3563" w:rsidRDefault="007C520D" w:rsidP="007C520D">
            <w:pPr>
              <w:keepNext/>
              <w:widowControl w:val="0"/>
              <w:spacing w:after="0" w:line="240" w:lineRule="auto"/>
              <w:rPr>
                <w:sz w:val="20"/>
                <w:szCs w:val="20"/>
              </w:rPr>
            </w:pPr>
            <w:r>
              <w:rPr>
                <w:sz w:val="20"/>
                <w:szCs w:val="20"/>
              </w:rPr>
              <w:t>311 Rental Units</w:t>
            </w:r>
          </w:p>
        </w:tc>
      </w:tr>
      <w:tr w:rsidR="007C520D" w14:paraId="47EC4F05" w14:textId="77777777" w:rsidTr="007C520D">
        <w:trPr>
          <w:trHeight w:val="226"/>
        </w:trPr>
        <w:tc>
          <w:tcPr>
            <w:tcW w:w="873" w:type="dxa"/>
          </w:tcPr>
          <w:p w14:paraId="61880E0D" w14:textId="77777777" w:rsidR="007C520D" w:rsidRDefault="007C520D" w:rsidP="007C520D">
            <w:pPr>
              <w:keepNext/>
              <w:widowControl w:val="0"/>
              <w:spacing w:after="0" w:line="240" w:lineRule="auto"/>
              <w:jc w:val="center"/>
              <w:rPr>
                <w:b/>
                <w:sz w:val="20"/>
                <w:szCs w:val="20"/>
              </w:rPr>
            </w:pPr>
            <w:r>
              <w:rPr>
                <w:b/>
                <w:sz w:val="20"/>
                <w:szCs w:val="20"/>
              </w:rPr>
              <w:t>10</w:t>
            </w:r>
          </w:p>
        </w:tc>
        <w:tc>
          <w:tcPr>
            <w:tcW w:w="2534" w:type="dxa"/>
          </w:tcPr>
          <w:p w14:paraId="3B900507" w14:textId="77777777" w:rsidR="007C520D" w:rsidRPr="00AF3563" w:rsidRDefault="007C520D" w:rsidP="007C520D">
            <w:pPr>
              <w:keepNext/>
              <w:widowControl w:val="0"/>
              <w:spacing w:after="0" w:line="240" w:lineRule="auto"/>
              <w:rPr>
                <w:sz w:val="20"/>
                <w:szCs w:val="20"/>
              </w:rPr>
            </w:pPr>
            <w:r w:rsidRPr="00AF3563">
              <w:rPr>
                <w:sz w:val="20"/>
                <w:szCs w:val="20"/>
              </w:rPr>
              <w:t>Tenant Based Rental Assistance (TBRA)</w:t>
            </w:r>
          </w:p>
        </w:tc>
        <w:tc>
          <w:tcPr>
            <w:tcW w:w="622" w:type="dxa"/>
          </w:tcPr>
          <w:p w14:paraId="1F1DC47F"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540805A4"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52CD45AF" w14:textId="77777777" w:rsidR="007C520D" w:rsidRDefault="007C520D" w:rsidP="007C520D">
            <w:pPr>
              <w:keepNext/>
              <w:widowControl w:val="0"/>
              <w:spacing w:after="0" w:line="240" w:lineRule="auto"/>
              <w:rPr>
                <w:sz w:val="20"/>
                <w:szCs w:val="20"/>
              </w:rPr>
            </w:pPr>
            <w:r>
              <w:rPr>
                <w:sz w:val="20"/>
                <w:szCs w:val="20"/>
              </w:rPr>
              <w:t xml:space="preserve">- </w:t>
            </w:r>
            <w:r w:rsidRPr="00AF3563">
              <w:rPr>
                <w:sz w:val="20"/>
                <w:szCs w:val="20"/>
              </w:rPr>
              <w:t>Affordable Housing</w:t>
            </w:r>
          </w:p>
          <w:p w14:paraId="27F73400" w14:textId="77777777" w:rsidR="007C520D" w:rsidRDefault="007C520D" w:rsidP="007C520D">
            <w:pPr>
              <w:keepNext/>
              <w:widowControl w:val="0"/>
              <w:spacing w:after="0" w:line="240" w:lineRule="auto"/>
              <w:rPr>
                <w:sz w:val="20"/>
                <w:szCs w:val="20"/>
              </w:rPr>
            </w:pPr>
            <w:r>
              <w:rPr>
                <w:sz w:val="20"/>
                <w:szCs w:val="20"/>
              </w:rPr>
              <w:t>- Public Housing</w:t>
            </w:r>
          </w:p>
          <w:p w14:paraId="5192AD47" w14:textId="77777777" w:rsidR="007C520D" w:rsidRPr="00AF3563" w:rsidRDefault="007C520D" w:rsidP="007C520D">
            <w:pPr>
              <w:keepNext/>
              <w:widowControl w:val="0"/>
              <w:spacing w:after="0" w:line="240" w:lineRule="auto"/>
              <w:rPr>
                <w:sz w:val="20"/>
                <w:szCs w:val="20"/>
              </w:rPr>
            </w:pPr>
          </w:p>
        </w:tc>
        <w:tc>
          <w:tcPr>
            <w:tcW w:w="1369" w:type="dxa"/>
          </w:tcPr>
          <w:p w14:paraId="030E6F5D" w14:textId="77777777" w:rsidR="007C520D" w:rsidRPr="00AF3563" w:rsidRDefault="007C520D" w:rsidP="007C520D">
            <w:pPr>
              <w:keepNext/>
              <w:widowControl w:val="0"/>
              <w:spacing w:after="0" w:line="240" w:lineRule="auto"/>
              <w:rPr>
                <w:sz w:val="20"/>
                <w:szCs w:val="20"/>
              </w:rPr>
            </w:pPr>
            <w:r>
              <w:rPr>
                <w:sz w:val="20"/>
                <w:szCs w:val="20"/>
              </w:rPr>
              <w:t>Affordable Housing</w:t>
            </w:r>
          </w:p>
        </w:tc>
        <w:tc>
          <w:tcPr>
            <w:tcW w:w="2048" w:type="dxa"/>
          </w:tcPr>
          <w:p w14:paraId="5BD2EBD8" w14:textId="77777777" w:rsidR="007C520D" w:rsidRPr="00AF3563" w:rsidRDefault="007C520D" w:rsidP="007C520D">
            <w:pPr>
              <w:keepNext/>
              <w:widowControl w:val="0"/>
              <w:spacing w:after="0" w:line="240" w:lineRule="auto"/>
              <w:rPr>
                <w:sz w:val="20"/>
                <w:szCs w:val="20"/>
              </w:rPr>
            </w:pPr>
            <w:r w:rsidRPr="00795DBE">
              <w:rPr>
                <w:sz w:val="20"/>
                <w:szCs w:val="20"/>
              </w:rPr>
              <w:t>HOME: $</w:t>
            </w:r>
            <w:r>
              <w:rPr>
                <w:sz w:val="20"/>
                <w:szCs w:val="20"/>
              </w:rPr>
              <w:t>12</w:t>
            </w:r>
            <w:r w:rsidRPr="00795DBE">
              <w:rPr>
                <w:sz w:val="20"/>
                <w:szCs w:val="20"/>
              </w:rPr>
              <w:t>,</w:t>
            </w:r>
            <w:r>
              <w:rPr>
                <w:sz w:val="20"/>
                <w:szCs w:val="20"/>
              </w:rPr>
              <w:t>500</w:t>
            </w:r>
            <w:r w:rsidRPr="00795DBE">
              <w:rPr>
                <w:sz w:val="20"/>
                <w:szCs w:val="20"/>
              </w:rPr>
              <w:t>,</w:t>
            </w:r>
            <w:r>
              <w:rPr>
                <w:sz w:val="20"/>
                <w:szCs w:val="20"/>
              </w:rPr>
              <w:t>000</w:t>
            </w:r>
          </w:p>
        </w:tc>
        <w:tc>
          <w:tcPr>
            <w:tcW w:w="2794" w:type="dxa"/>
          </w:tcPr>
          <w:p w14:paraId="45AEABFE" w14:textId="77777777" w:rsidR="007C520D" w:rsidRDefault="007C520D" w:rsidP="007C520D">
            <w:pPr>
              <w:keepNext/>
              <w:widowControl w:val="0"/>
              <w:spacing w:after="0" w:line="240" w:lineRule="auto"/>
              <w:rPr>
                <w:sz w:val="20"/>
                <w:szCs w:val="20"/>
              </w:rPr>
            </w:pPr>
            <w:r w:rsidRPr="00496B83">
              <w:rPr>
                <w:sz w:val="20"/>
                <w:szCs w:val="20"/>
              </w:rPr>
              <w:t>Tenant-based rental assistance / Rapid Rehousing:</w:t>
            </w:r>
          </w:p>
          <w:p w14:paraId="5908F6AE" w14:textId="77777777" w:rsidR="007C520D" w:rsidRPr="00AF3563" w:rsidRDefault="007C520D" w:rsidP="007C520D">
            <w:pPr>
              <w:keepNext/>
              <w:widowControl w:val="0"/>
              <w:spacing w:after="0" w:line="240" w:lineRule="auto"/>
              <w:rPr>
                <w:sz w:val="20"/>
                <w:szCs w:val="20"/>
              </w:rPr>
            </w:pPr>
            <w:r>
              <w:rPr>
                <w:sz w:val="20"/>
                <w:szCs w:val="20"/>
              </w:rPr>
              <w:t xml:space="preserve">3,750 </w:t>
            </w:r>
            <w:r w:rsidRPr="00496B83">
              <w:rPr>
                <w:sz w:val="20"/>
                <w:szCs w:val="20"/>
              </w:rPr>
              <w:t>Households Assisted</w:t>
            </w:r>
          </w:p>
        </w:tc>
      </w:tr>
      <w:tr w:rsidR="007C520D" w14:paraId="0C4B8C08"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4FA05C8A" w14:textId="77777777" w:rsidR="007C520D" w:rsidRDefault="007C520D" w:rsidP="007C520D">
            <w:pPr>
              <w:keepNext/>
              <w:widowControl w:val="0"/>
              <w:spacing w:after="0" w:line="240" w:lineRule="auto"/>
              <w:jc w:val="center"/>
              <w:rPr>
                <w:b/>
                <w:sz w:val="20"/>
                <w:szCs w:val="20"/>
              </w:rPr>
            </w:pPr>
            <w:r>
              <w:rPr>
                <w:b/>
                <w:sz w:val="20"/>
                <w:szCs w:val="20"/>
              </w:rPr>
              <w:t>11</w:t>
            </w:r>
          </w:p>
        </w:tc>
        <w:tc>
          <w:tcPr>
            <w:tcW w:w="2534" w:type="dxa"/>
          </w:tcPr>
          <w:p w14:paraId="560AFF49" w14:textId="77777777" w:rsidR="007C520D" w:rsidRPr="00AF3563" w:rsidRDefault="007C520D" w:rsidP="007C520D">
            <w:pPr>
              <w:keepNext/>
              <w:widowControl w:val="0"/>
              <w:spacing w:after="0" w:line="240" w:lineRule="auto"/>
              <w:rPr>
                <w:sz w:val="20"/>
                <w:szCs w:val="20"/>
              </w:rPr>
            </w:pPr>
            <w:r w:rsidRPr="00AF3563">
              <w:rPr>
                <w:sz w:val="20"/>
                <w:szCs w:val="20"/>
              </w:rPr>
              <w:t>Emergency Solutions Grant (ESG) Program</w:t>
            </w:r>
          </w:p>
        </w:tc>
        <w:tc>
          <w:tcPr>
            <w:tcW w:w="622" w:type="dxa"/>
          </w:tcPr>
          <w:p w14:paraId="7EF07599"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69DC65DE"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473CD615" w14:textId="77777777" w:rsidR="007C520D" w:rsidRPr="00AF3563" w:rsidRDefault="007C520D" w:rsidP="007C520D">
            <w:pPr>
              <w:keepNext/>
              <w:widowControl w:val="0"/>
              <w:spacing w:after="0" w:line="240" w:lineRule="auto"/>
              <w:rPr>
                <w:sz w:val="20"/>
                <w:szCs w:val="20"/>
              </w:rPr>
            </w:pPr>
            <w:r w:rsidRPr="00AF3563">
              <w:rPr>
                <w:sz w:val="20"/>
                <w:szCs w:val="20"/>
              </w:rPr>
              <w:t>Homelessness</w:t>
            </w:r>
          </w:p>
        </w:tc>
        <w:tc>
          <w:tcPr>
            <w:tcW w:w="1369" w:type="dxa"/>
          </w:tcPr>
          <w:p w14:paraId="03EDB4B5" w14:textId="77777777" w:rsidR="007C520D" w:rsidRPr="00AF3563" w:rsidRDefault="007C520D" w:rsidP="007C520D">
            <w:pPr>
              <w:keepNext/>
              <w:widowControl w:val="0"/>
              <w:spacing w:after="0" w:line="240" w:lineRule="auto"/>
              <w:rPr>
                <w:sz w:val="20"/>
                <w:szCs w:val="20"/>
              </w:rPr>
            </w:pPr>
            <w:r>
              <w:rPr>
                <w:sz w:val="20"/>
                <w:szCs w:val="20"/>
              </w:rPr>
              <w:t xml:space="preserve">Homelessness </w:t>
            </w:r>
          </w:p>
        </w:tc>
        <w:tc>
          <w:tcPr>
            <w:tcW w:w="2048" w:type="dxa"/>
          </w:tcPr>
          <w:p w14:paraId="513A2565" w14:textId="77777777" w:rsidR="007C520D" w:rsidRPr="00AF3563" w:rsidRDefault="007C520D" w:rsidP="007C520D">
            <w:pPr>
              <w:keepNext/>
              <w:widowControl w:val="0"/>
              <w:spacing w:after="0" w:line="240" w:lineRule="auto"/>
              <w:rPr>
                <w:sz w:val="20"/>
                <w:szCs w:val="20"/>
              </w:rPr>
            </w:pPr>
            <w:r>
              <w:rPr>
                <w:sz w:val="20"/>
                <w:szCs w:val="20"/>
              </w:rPr>
              <w:t>ESG: $7</w:t>
            </w:r>
            <w:r w:rsidRPr="00795DBE">
              <w:rPr>
                <w:sz w:val="20"/>
                <w:szCs w:val="20"/>
              </w:rPr>
              <w:t>,</w:t>
            </w:r>
            <w:r>
              <w:rPr>
                <w:sz w:val="20"/>
                <w:szCs w:val="20"/>
              </w:rPr>
              <w:t>500</w:t>
            </w:r>
            <w:r w:rsidRPr="00795DBE">
              <w:rPr>
                <w:sz w:val="20"/>
                <w:szCs w:val="20"/>
              </w:rPr>
              <w:t>,</w:t>
            </w:r>
            <w:r>
              <w:rPr>
                <w:sz w:val="20"/>
                <w:szCs w:val="20"/>
              </w:rPr>
              <w:t>000</w:t>
            </w:r>
          </w:p>
        </w:tc>
        <w:tc>
          <w:tcPr>
            <w:tcW w:w="2794" w:type="dxa"/>
          </w:tcPr>
          <w:p w14:paraId="3EB982E3" w14:textId="77777777" w:rsidR="007C520D" w:rsidRDefault="007C520D" w:rsidP="007C520D">
            <w:pPr>
              <w:keepNext/>
              <w:widowControl w:val="0"/>
              <w:spacing w:after="0" w:line="240" w:lineRule="auto"/>
              <w:rPr>
                <w:sz w:val="20"/>
                <w:szCs w:val="20"/>
              </w:rPr>
            </w:pPr>
            <w:r w:rsidRPr="00496B83">
              <w:rPr>
                <w:sz w:val="20"/>
                <w:szCs w:val="20"/>
              </w:rPr>
              <w:t>Homelessness Prevention:</w:t>
            </w:r>
          </w:p>
          <w:p w14:paraId="6DDF0738" w14:textId="77777777" w:rsidR="007C520D" w:rsidRDefault="007C520D" w:rsidP="007C520D">
            <w:pPr>
              <w:keepNext/>
              <w:widowControl w:val="0"/>
              <w:spacing w:after="0" w:line="240" w:lineRule="auto"/>
              <w:rPr>
                <w:sz w:val="20"/>
                <w:szCs w:val="20"/>
              </w:rPr>
            </w:pPr>
            <w:r>
              <w:rPr>
                <w:sz w:val="20"/>
                <w:szCs w:val="20"/>
              </w:rPr>
              <w:t>9,250 P</w:t>
            </w:r>
            <w:r w:rsidRPr="00496B83">
              <w:rPr>
                <w:sz w:val="20"/>
                <w:szCs w:val="20"/>
              </w:rPr>
              <w:t>ersons Assisted</w:t>
            </w:r>
          </w:p>
          <w:p w14:paraId="2024D77F" w14:textId="77777777" w:rsidR="007C520D" w:rsidRDefault="007C520D" w:rsidP="007C520D">
            <w:pPr>
              <w:keepNext/>
              <w:widowControl w:val="0"/>
              <w:spacing w:after="0" w:line="240" w:lineRule="auto"/>
              <w:rPr>
                <w:sz w:val="20"/>
                <w:szCs w:val="20"/>
              </w:rPr>
            </w:pPr>
          </w:p>
          <w:p w14:paraId="406BE932" w14:textId="77777777" w:rsidR="007C520D" w:rsidRDefault="007C520D" w:rsidP="007C520D">
            <w:pPr>
              <w:keepNext/>
              <w:widowControl w:val="0"/>
              <w:spacing w:after="0" w:line="240" w:lineRule="auto"/>
              <w:rPr>
                <w:sz w:val="20"/>
                <w:szCs w:val="20"/>
              </w:rPr>
            </w:pPr>
            <w:r w:rsidRPr="00496B83">
              <w:rPr>
                <w:sz w:val="20"/>
                <w:szCs w:val="20"/>
              </w:rPr>
              <w:t>Housing for Homeless added:</w:t>
            </w:r>
          </w:p>
          <w:p w14:paraId="06DDF6A3" w14:textId="77777777" w:rsidR="007C520D" w:rsidRPr="00AF3563" w:rsidRDefault="007C520D" w:rsidP="007C520D">
            <w:pPr>
              <w:keepNext/>
              <w:widowControl w:val="0"/>
              <w:spacing w:after="0" w:line="240" w:lineRule="auto"/>
              <w:rPr>
                <w:sz w:val="20"/>
                <w:szCs w:val="20"/>
              </w:rPr>
            </w:pPr>
            <w:r>
              <w:rPr>
                <w:sz w:val="20"/>
                <w:szCs w:val="20"/>
              </w:rPr>
              <w:t xml:space="preserve">1,500 Rapid Rehousing </w:t>
            </w:r>
            <w:r w:rsidRPr="00496B83">
              <w:rPr>
                <w:sz w:val="20"/>
                <w:szCs w:val="20"/>
              </w:rPr>
              <w:t>Household Housing Unit</w:t>
            </w:r>
          </w:p>
        </w:tc>
      </w:tr>
      <w:tr w:rsidR="007C520D" w14:paraId="287B339C" w14:textId="77777777" w:rsidTr="007C520D">
        <w:trPr>
          <w:trHeight w:val="226"/>
        </w:trPr>
        <w:tc>
          <w:tcPr>
            <w:tcW w:w="873" w:type="dxa"/>
          </w:tcPr>
          <w:p w14:paraId="4947C6F4" w14:textId="77777777" w:rsidR="007C520D" w:rsidRDefault="007C520D" w:rsidP="007C520D">
            <w:pPr>
              <w:keepNext/>
              <w:widowControl w:val="0"/>
              <w:spacing w:after="0" w:line="240" w:lineRule="auto"/>
              <w:jc w:val="center"/>
              <w:rPr>
                <w:b/>
                <w:sz w:val="20"/>
                <w:szCs w:val="20"/>
              </w:rPr>
            </w:pPr>
            <w:r>
              <w:rPr>
                <w:b/>
                <w:sz w:val="20"/>
                <w:szCs w:val="20"/>
              </w:rPr>
              <w:t>12</w:t>
            </w:r>
          </w:p>
        </w:tc>
        <w:tc>
          <w:tcPr>
            <w:tcW w:w="2534" w:type="dxa"/>
          </w:tcPr>
          <w:p w14:paraId="61A85362" w14:textId="77777777" w:rsidR="007C520D" w:rsidRPr="00AF3563" w:rsidRDefault="007C520D" w:rsidP="007C520D">
            <w:pPr>
              <w:keepNext/>
              <w:widowControl w:val="0"/>
              <w:spacing w:after="0" w:line="240" w:lineRule="auto"/>
              <w:rPr>
                <w:sz w:val="20"/>
                <w:szCs w:val="20"/>
              </w:rPr>
            </w:pPr>
            <w:r w:rsidRPr="00AF3563">
              <w:rPr>
                <w:sz w:val="20"/>
                <w:szCs w:val="20"/>
              </w:rPr>
              <w:t>Housing Opportunities for Persons with AIDS (HOPWA)</w:t>
            </w:r>
          </w:p>
        </w:tc>
        <w:tc>
          <w:tcPr>
            <w:tcW w:w="622" w:type="dxa"/>
          </w:tcPr>
          <w:p w14:paraId="1193C127" w14:textId="77777777" w:rsidR="007C520D" w:rsidRPr="00AF3563" w:rsidRDefault="007C520D" w:rsidP="007C520D">
            <w:pPr>
              <w:keepNext/>
              <w:widowControl w:val="0"/>
              <w:spacing w:after="0" w:line="240" w:lineRule="auto"/>
              <w:jc w:val="center"/>
              <w:rPr>
                <w:sz w:val="20"/>
                <w:szCs w:val="20"/>
              </w:rPr>
            </w:pPr>
            <w:r w:rsidRPr="00AF3563">
              <w:rPr>
                <w:sz w:val="20"/>
                <w:szCs w:val="20"/>
              </w:rPr>
              <w:t>2019</w:t>
            </w:r>
          </w:p>
        </w:tc>
        <w:tc>
          <w:tcPr>
            <w:tcW w:w="622" w:type="dxa"/>
          </w:tcPr>
          <w:p w14:paraId="6C65B3E1" w14:textId="77777777" w:rsidR="007C520D" w:rsidRPr="00AF3563" w:rsidRDefault="007C520D" w:rsidP="007C520D">
            <w:pPr>
              <w:keepNext/>
              <w:widowControl w:val="0"/>
              <w:spacing w:after="0" w:line="240" w:lineRule="auto"/>
              <w:jc w:val="center"/>
              <w:rPr>
                <w:sz w:val="20"/>
                <w:szCs w:val="20"/>
              </w:rPr>
            </w:pPr>
            <w:r w:rsidRPr="00AF3563">
              <w:rPr>
                <w:sz w:val="20"/>
                <w:szCs w:val="20"/>
              </w:rPr>
              <w:t>2023</w:t>
            </w:r>
          </w:p>
        </w:tc>
        <w:tc>
          <w:tcPr>
            <w:tcW w:w="1611" w:type="dxa"/>
          </w:tcPr>
          <w:p w14:paraId="14B2C038" w14:textId="77777777" w:rsidR="007C520D" w:rsidRPr="00AF3563" w:rsidRDefault="007C520D" w:rsidP="007C520D">
            <w:pPr>
              <w:keepNext/>
              <w:widowControl w:val="0"/>
              <w:spacing w:after="0" w:line="240" w:lineRule="auto"/>
              <w:rPr>
                <w:sz w:val="20"/>
                <w:szCs w:val="20"/>
              </w:rPr>
            </w:pPr>
            <w:r w:rsidRPr="00AF3563">
              <w:rPr>
                <w:sz w:val="20"/>
                <w:szCs w:val="20"/>
              </w:rPr>
              <w:t>Persons with HIV</w:t>
            </w:r>
          </w:p>
        </w:tc>
        <w:tc>
          <w:tcPr>
            <w:tcW w:w="1369" w:type="dxa"/>
          </w:tcPr>
          <w:p w14:paraId="2884D307" w14:textId="77777777" w:rsidR="007C520D" w:rsidRPr="00AF3563" w:rsidRDefault="007C520D" w:rsidP="007C520D">
            <w:pPr>
              <w:keepNext/>
              <w:widowControl w:val="0"/>
              <w:spacing w:after="0" w:line="240" w:lineRule="auto"/>
              <w:rPr>
                <w:sz w:val="20"/>
                <w:szCs w:val="20"/>
              </w:rPr>
            </w:pPr>
            <w:r>
              <w:rPr>
                <w:sz w:val="20"/>
                <w:szCs w:val="20"/>
              </w:rPr>
              <w:t xml:space="preserve">Homeless and Special Needs </w:t>
            </w:r>
          </w:p>
        </w:tc>
        <w:tc>
          <w:tcPr>
            <w:tcW w:w="2048" w:type="dxa"/>
          </w:tcPr>
          <w:p w14:paraId="0AA06D3E" w14:textId="77777777" w:rsidR="007C520D" w:rsidRPr="00AF3563" w:rsidRDefault="007C520D" w:rsidP="007C520D">
            <w:pPr>
              <w:keepNext/>
              <w:widowControl w:val="0"/>
              <w:spacing w:after="0" w:line="240" w:lineRule="auto"/>
              <w:rPr>
                <w:sz w:val="20"/>
                <w:szCs w:val="20"/>
              </w:rPr>
            </w:pPr>
            <w:r>
              <w:rPr>
                <w:sz w:val="20"/>
                <w:szCs w:val="20"/>
              </w:rPr>
              <w:t>HOPWA: $2</w:t>
            </w:r>
            <w:r w:rsidRPr="00795DBE">
              <w:rPr>
                <w:sz w:val="20"/>
                <w:szCs w:val="20"/>
              </w:rPr>
              <w:t>,</w:t>
            </w:r>
            <w:r>
              <w:rPr>
                <w:sz w:val="20"/>
                <w:szCs w:val="20"/>
              </w:rPr>
              <w:t>564</w:t>
            </w:r>
            <w:r w:rsidRPr="00795DBE">
              <w:rPr>
                <w:sz w:val="20"/>
                <w:szCs w:val="20"/>
              </w:rPr>
              <w:t>,</w:t>
            </w:r>
            <w:r>
              <w:rPr>
                <w:sz w:val="20"/>
                <w:szCs w:val="20"/>
              </w:rPr>
              <w:t>635</w:t>
            </w:r>
          </w:p>
        </w:tc>
        <w:tc>
          <w:tcPr>
            <w:tcW w:w="2794" w:type="dxa"/>
          </w:tcPr>
          <w:p w14:paraId="478B91C1" w14:textId="77777777" w:rsidR="007C520D" w:rsidRDefault="007C520D" w:rsidP="007C520D">
            <w:pPr>
              <w:keepNext/>
              <w:widowControl w:val="0"/>
              <w:spacing w:after="0" w:line="240" w:lineRule="auto"/>
              <w:rPr>
                <w:sz w:val="20"/>
                <w:szCs w:val="20"/>
              </w:rPr>
            </w:pPr>
            <w:r>
              <w:rPr>
                <w:sz w:val="20"/>
                <w:szCs w:val="20"/>
              </w:rPr>
              <w:t xml:space="preserve">Homelessness Prevention: </w:t>
            </w:r>
          </w:p>
          <w:p w14:paraId="506375B9" w14:textId="77777777" w:rsidR="007C520D" w:rsidRDefault="007C520D" w:rsidP="007C520D">
            <w:pPr>
              <w:keepNext/>
              <w:widowControl w:val="0"/>
              <w:spacing w:after="0" w:line="240" w:lineRule="auto"/>
              <w:rPr>
                <w:sz w:val="20"/>
                <w:szCs w:val="20"/>
              </w:rPr>
            </w:pPr>
            <w:r>
              <w:rPr>
                <w:sz w:val="20"/>
                <w:szCs w:val="20"/>
              </w:rPr>
              <w:t>876 Persons Assisted</w:t>
            </w:r>
          </w:p>
          <w:p w14:paraId="12A82788" w14:textId="77777777" w:rsidR="007C520D" w:rsidRDefault="007C520D" w:rsidP="007C520D">
            <w:pPr>
              <w:keepNext/>
              <w:widowControl w:val="0"/>
              <w:spacing w:after="0" w:line="240" w:lineRule="auto"/>
              <w:rPr>
                <w:sz w:val="20"/>
                <w:szCs w:val="20"/>
              </w:rPr>
            </w:pPr>
          </w:p>
          <w:p w14:paraId="58014068" w14:textId="77777777" w:rsidR="007C520D" w:rsidRDefault="007C520D" w:rsidP="007C520D">
            <w:pPr>
              <w:keepNext/>
              <w:widowControl w:val="0"/>
              <w:spacing w:after="0" w:line="240" w:lineRule="auto"/>
              <w:rPr>
                <w:sz w:val="20"/>
                <w:szCs w:val="20"/>
              </w:rPr>
            </w:pPr>
            <w:r>
              <w:rPr>
                <w:sz w:val="20"/>
                <w:szCs w:val="20"/>
              </w:rPr>
              <w:t>Housing for People with HIV/AIDS added:</w:t>
            </w:r>
          </w:p>
          <w:p w14:paraId="4310B1DE" w14:textId="77777777" w:rsidR="007C520D" w:rsidRDefault="007C520D" w:rsidP="007C520D">
            <w:pPr>
              <w:keepNext/>
              <w:widowControl w:val="0"/>
              <w:spacing w:after="0" w:line="240" w:lineRule="auto"/>
              <w:rPr>
                <w:sz w:val="20"/>
                <w:szCs w:val="20"/>
              </w:rPr>
            </w:pPr>
            <w:r>
              <w:rPr>
                <w:sz w:val="20"/>
                <w:szCs w:val="20"/>
              </w:rPr>
              <w:t>8,759 Household Housing Unit</w:t>
            </w:r>
          </w:p>
          <w:p w14:paraId="7284748D" w14:textId="77777777" w:rsidR="007C520D" w:rsidRDefault="007C520D" w:rsidP="007C520D">
            <w:pPr>
              <w:keepNext/>
              <w:widowControl w:val="0"/>
              <w:spacing w:after="0" w:line="240" w:lineRule="auto"/>
              <w:rPr>
                <w:sz w:val="20"/>
                <w:szCs w:val="20"/>
              </w:rPr>
            </w:pPr>
          </w:p>
          <w:p w14:paraId="5E783C6F" w14:textId="77777777" w:rsidR="007C520D" w:rsidRDefault="007C520D" w:rsidP="007C520D">
            <w:pPr>
              <w:keepNext/>
              <w:widowControl w:val="0"/>
              <w:spacing w:after="0" w:line="240" w:lineRule="auto"/>
              <w:rPr>
                <w:sz w:val="20"/>
                <w:szCs w:val="20"/>
              </w:rPr>
            </w:pPr>
            <w:r>
              <w:rPr>
                <w:sz w:val="20"/>
                <w:szCs w:val="20"/>
              </w:rPr>
              <w:t>HIV/AIDS Housing Operations:</w:t>
            </w:r>
          </w:p>
          <w:p w14:paraId="45B347DD" w14:textId="77777777" w:rsidR="007C520D" w:rsidRDefault="007C520D" w:rsidP="007C520D">
            <w:pPr>
              <w:keepNext/>
              <w:widowControl w:val="0"/>
              <w:spacing w:after="0" w:line="240" w:lineRule="auto"/>
              <w:rPr>
                <w:sz w:val="20"/>
                <w:szCs w:val="20"/>
              </w:rPr>
            </w:pPr>
            <w:r>
              <w:rPr>
                <w:sz w:val="20"/>
                <w:szCs w:val="20"/>
              </w:rPr>
              <w:t>3,258 Household Housing Unit</w:t>
            </w:r>
          </w:p>
          <w:p w14:paraId="09D8C573" w14:textId="77777777" w:rsidR="007C520D" w:rsidRDefault="007C520D" w:rsidP="007C520D">
            <w:pPr>
              <w:keepNext/>
              <w:widowControl w:val="0"/>
              <w:spacing w:after="0" w:line="240" w:lineRule="auto"/>
              <w:rPr>
                <w:sz w:val="20"/>
                <w:szCs w:val="20"/>
              </w:rPr>
            </w:pPr>
          </w:p>
          <w:p w14:paraId="5C1B9049" w14:textId="77777777" w:rsidR="007C520D" w:rsidRPr="00AF3563" w:rsidRDefault="007C520D" w:rsidP="007C520D">
            <w:pPr>
              <w:keepNext/>
              <w:widowControl w:val="0"/>
              <w:spacing w:after="0" w:line="240" w:lineRule="auto"/>
              <w:rPr>
                <w:sz w:val="20"/>
                <w:szCs w:val="20"/>
              </w:rPr>
            </w:pPr>
            <w:r>
              <w:rPr>
                <w:sz w:val="20"/>
                <w:szCs w:val="20"/>
              </w:rPr>
              <w:t>Other: 1,682</w:t>
            </w:r>
          </w:p>
        </w:tc>
      </w:tr>
      <w:tr w:rsidR="007C520D" w14:paraId="565E99A4" w14:textId="77777777" w:rsidTr="007C520D">
        <w:trPr>
          <w:cnfStyle w:val="000000100000" w:firstRow="0" w:lastRow="0" w:firstColumn="0" w:lastColumn="0" w:oddVBand="0" w:evenVBand="0" w:oddHBand="1" w:evenHBand="0" w:firstRowFirstColumn="0" w:firstRowLastColumn="0" w:lastRowFirstColumn="0" w:lastRowLastColumn="0"/>
          <w:trHeight w:val="226"/>
        </w:trPr>
        <w:tc>
          <w:tcPr>
            <w:tcW w:w="873" w:type="dxa"/>
          </w:tcPr>
          <w:p w14:paraId="1977C183" w14:textId="77777777" w:rsidR="007C520D" w:rsidRDefault="007C520D" w:rsidP="007C520D">
            <w:pPr>
              <w:keepNext/>
              <w:widowControl w:val="0"/>
              <w:spacing w:after="0" w:line="240" w:lineRule="auto"/>
              <w:jc w:val="center"/>
              <w:rPr>
                <w:b/>
                <w:sz w:val="20"/>
                <w:szCs w:val="20"/>
              </w:rPr>
            </w:pPr>
            <w:r>
              <w:rPr>
                <w:b/>
                <w:sz w:val="20"/>
                <w:szCs w:val="20"/>
              </w:rPr>
              <w:t>13</w:t>
            </w:r>
          </w:p>
        </w:tc>
        <w:tc>
          <w:tcPr>
            <w:tcW w:w="2534" w:type="dxa"/>
          </w:tcPr>
          <w:p w14:paraId="22479044" w14:textId="77777777" w:rsidR="007C520D" w:rsidRPr="00AF3563" w:rsidRDefault="007C520D" w:rsidP="007C520D">
            <w:pPr>
              <w:keepNext/>
              <w:widowControl w:val="0"/>
              <w:spacing w:after="0" w:line="240" w:lineRule="auto"/>
              <w:rPr>
                <w:sz w:val="20"/>
                <w:szCs w:val="20"/>
              </w:rPr>
            </w:pPr>
            <w:r>
              <w:rPr>
                <w:sz w:val="20"/>
                <w:szCs w:val="20"/>
              </w:rPr>
              <w:t>Housing Trust Fund (HTF)</w:t>
            </w:r>
          </w:p>
        </w:tc>
        <w:tc>
          <w:tcPr>
            <w:tcW w:w="622" w:type="dxa"/>
          </w:tcPr>
          <w:p w14:paraId="2E7633BB" w14:textId="77777777" w:rsidR="007C520D" w:rsidRPr="00AF3563" w:rsidRDefault="007C520D" w:rsidP="007C520D">
            <w:pPr>
              <w:keepNext/>
              <w:widowControl w:val="0"/>
              <w:spacing w:after="0" w:line="240" w:lineRule="auto"/>
              <w:jc w:val="center"/>
              <w:rPr>
                <w:sz w:val="20"/>
                <w:szCs w:val="20"/>
              </w:rPr>
            </w:pPr>
            <w:r>
              <w:rPr>
                <w:sz w:val="20"/>
                <w:szCs w:val="20"/>
              </w:rPr>
              <w:t>2019</w:t>
            </w:r>
          </w:p>
        </w:tc>
        <w:tc>
          <w:tcPr>
            <w:tcW w:w="622" w:type="dxa"/>
          </w:tcPr>
          <w:p w14:paraId="07AB5B2A" w14:textId="77777777" w:rsidR="007C520D" w:rsidRPr="00AF3563" w:rsidRDefault="007C520D" w:rsidP="007C520D">
            <w:pPr>
              <w:keepNext/>
              <w:widowControl w:val="0"/>
              <w:spacing w:after="0" w:line="240" w:lineRule="auto"/>
              <w:jc w:val="center"/>
              <w:rPr>
                <w:sz w:val="20"/>
                <w:szCs w:val="20"/>
              </w:rPr>
            </w:pPr>
            <w:r>
              <w:rPr>
                <w:sz w:val="20"/>
                <w:szCs w:val="20"/>
              </w:rPr>
              <w:t>2023</w:t>
            </w:r>
          </w:p>
        </w:tc>
        <w:tc>
          <w:tcPr>
            <w:tcW w:w="1611" w:type="dxa"/>
          </w:tcPr>
          <w:p w14:paraId="53D4FFA5" w14:textId="77777777" w:rsidR="007C520D" w:rsidRPr="00AF3563" w:rsidRDefault="007C520D" w:rsidP="007C520D">
            <w:pPr>
              <w:keepNext/>
              <w:widowControl w:val="0"/>
              <w:spacing w:after="0" w:line="240" w:lineRule="auto"/>
              <w:rPr>
                <w:sz w:val="20"/>
                <w:szCs w:val="20"/>
              </w:rPr>
            </w:pPr>
            <w:r>
              <w:rPr>
                <w:sz w:val="20"/>
                <w:szCs w:val="20"/>
              </w:rPr>
              <w:t>Affordable Housing</w:t>
            </w:r>
          </w:p>
        </w:tc>
        <w:tc>
          <w:tcPr>
            <w:tcW w:w="1369" w:type="dxa"/>
          </w:tcPr>
          <w:p w14:paraId="2D604F49" w14:textId="77777777" w:rsidR="007C520D" w:rsidRDefault="007C520D" w:rsidP="007C520D">
            <w:pPr>
              <w:keepNext/>
              <w:widowControl w:val="0"/>
              <w:spacing w:after="0" w:line="240" w:lineRule="auto"/>
              <w:rPr>
                <w:sz w:val="20"/>
                <w:szCs w:val="20"/>
              </w:rPr>
            </w:pPr>
            <w:r>
              <w:rPr>
                <w:sz w:val="20"/>
                <w:szCs w:val="20"/>
              </w:rPr>
              <w:t>Affordable Housing</w:t>
            </w:r>
          </w:p>
        </w:tc>
        <w:tc>
          <w:tcPr>
            <w:tcW w:w="2048" w:type="dxa"/>
          </w:tcPr>
          <w:p w14:paraId="62CE5E09" w14:textId="4C661CF7" w:rsidR="007C520D" w:rsidRDefault="007C520D" w:rsidP="007C520D">
            <w:pPr>
              <w:keepNext/>
              <w:widowControl w:val="0"/>
              <w:spacing w:after="0" w:line="240" w:lineRule="auto"/>
              <w:rPr>
                <w:sz w:val="20"/>
                <w:szCs w:val="20"/>
              </w:rPr>
            </w:pPr>
            <w:r>
              <w:rPr>
                <w:sz w:val="20"/>
                <w:szCs w:val="20"/>
              </w:rPr>
              <w:t>HTF: $</w:t>
            </w:r>
            <w:r w:rsidR="002A5E61">
              <w:rPr>
                <w:sz w:val="20"/>
                <w:szCs w:val="20"/>
              </w:rPr>
              <w:t>15</w:t>
            </w:r>
            <w:r>
              <w:rPr>
                <w:sz w:val="20"/>
                <w:szCs w:val="20"/>
              </w:rPr>
              <w:t>,</w:t>
            </w:r>
            <w:r w:rsidR="002A5E61">
              <w:rPr>
                <w:sz w:val="20"/>
                <w:szCs w:val="20"/>
              </w:rPr>
              <w:t>0</w:t>
            </w:r>
            <w:r>
              <w:rPr>
                <w:sz w:val="20"/>
                <w:szCs w:val="20"/>
              </w:rPr>
              <w:t>00,000</w:t>
            </w:r>
          </w:p>
        </w:tc>
        <w:tc>
          <w:tcPr>
            <w:tcW w:w="2794" w:type="dxa"/>
          </w:tcPr>
          <w:p w14:paraId="21FA7A27" w14:textId="77777777" w:rsidR="007C520D" w:rsidRDefault="007C520D" w:rsidP="007C520D">
            <w:pPr>
              <w:keepNext/>
              <w:widowControl w:val="0"/>
              <w:spacing w:after="0" w:line="240" w:lineRule="auto"/>
              <w:rPr>
                <w:sz w:val="20"/>
                <w:szCs w:val="20"/>
              </w:rPr>
            </w:pPr>
            <w:r>
              <w:rPr>
                <w:sz w:val="20"/>
                <w:szCs w:val="20"/>
              </w:rPr>
              <w:t>Rental Units Constructed: 50 household housing unit</w:t>
            </w:r>
          </w:p>
          <w:p w14:paraId="212CFFD0" w14:textId="77777777" w:rsidR="007C520D" w:rsidRDefault="007C520D" w:rsidP="007C520D">
            <w:pPr>
              <w:keepNext/>
              <w:widowControl w:val="0"/>
              <w:spacing w:after="0" w:line="240" w:lineRule="auto"/>
              <w:rPr>
                <w:sz w:val="20"/>
                <w:szCs w:val="20"/>
              </w:rPr>
            </w:pPr>
            <w:r>
              <w:rPr>
                <w:sz w:val="20"/>
                <w:szCs w:val="20"/>
              </w:rPr>
              <w:t xml:space="preserve">Rental Units Rehabilitated: 25 household housing unit </w:t>
            </w:r>
          </w:p>
        </w:tc>
      </w:tr>
      <w:bookmarkEnd w:id="52"/>
    </w:tbl>
    <w:p w14:paraId="06390292" w14:textId="77777777" w:rsidR="007C520D" w:rsidRDefault="007C520D" w:rsidP="007C520D">
      <w:pPr>
        <w:rPr>
          <w:b/>
          <w:sz w:val="24"/>
          <w:szCs w:val="24"/>
        </w:rPr>
      </w:pPr>
    </w:p>
    <w:p w14:paraId="54245449" w14:textId="77777777" w:rsidR="007C520D" w:rsidRDefault="007C520D" w:rsidP="007C520D">
      <w:pPr>
        <w:rPr>
          <w:b/>
          <w:sz w:val="24"/>
          <w:szCs w:val="24"/>
        </w:rPr>
      </w:pPr>
      <w:r>
        <w:rPr>
          <w:b/>
          <w:sz w:val="24"/>
          <w:szCs w:val="24"/>
        </w:rPr>
        <w:t>Goal Descriptions</w:t>
      </w:r>
    </w:p>
    <w:p w14:paraId="10C245AC" w14:textId="77777777" w:rsidR="007C520D" w:rsidRDefault="007C520D" w:rsidP="00A121EE">
      <w:pPr>
        <w:pStyle w:val="ListParagraph"/>
        <w:numPr>
          <w:ilvl w:val="0"/>
          <w:numId w:val="52"/>
        </w:numPr>
        <w:rPr>
          <w:sz w:val="24"/>
          <w:szCs w:val="24"/>
        </w:rPr>
      </w:pPr>
      <w:r>
        <w:rPr>
          <w:b/>
          <w:sz w:val="24"/>
          <w:szCs w:val="24"/>
        </w:rPr>
        <w:t>Water and Sewer Improvements:</w:t>
      </w:r>
      <w:r>
        <w:rPr>
          <w:sz w:val="24"/>
          <w:szCs w:val="24"/>
        </w:rPr>
        <w:t xml:space="preserve"> The Water and Sewer annual competition will be separate from the Community Facilities annual competition, although threshold requirements apply equally to both categories. More specific award criteria for this program will be discussed in the 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 The project grant amount is limited to $2,000 per beneficiary up to a maximum of $500,000. It is estimated that from 25% to 55% of CDBG funds will be expended on water and sewer facilities in any given year, depending on the level of need for public facilities during the five-year period. </w:t>
      </w:r>
    </w:p>
    <w:p w14:paraId="07F78019" w14:textId="77777777" w:rsidR="007C520D" w:rsidRDefault="007C520D" w:rsidP="007C520D">
      <w:pPr>
        <w:pStyle w:val="ListParagraph"/>
        <w:rPr>
          <w:sz w:val="24"/>
          <w:szCs w:val="24"/>
        </w:rPr>
      </w:pPr>
    </w:p>
    <w:p w14:paraId="3CFA03CB" w14:textId="77777777" w:rsidR="007C520D" w:rsidRDefault="007C520D" w:rsidP="00A121EE">
      <w:pPr>
        <w:pStyle w:val="ListParagraph"/>
        <w:numPr>
          <w:ilvl w:val="0"/>
          <w:numId w:val="52"/>
        </w:numPr>
        <w:rPr>
          <w:sz w:val="24"/>
          <w:szCs w:val="24"/>
        </w:rPr>
      </w:pPr>
      <w:r>
        <w:rPr>
          <w:b/>
          <w:sz w:val="24"/>
          <w:szCs w:val="24"/>
        </w:rPr>
        <w:t>Increase the Quality of Affordable Housing:</w:t>
      </w:r>
      <w:r>
        <w:rPr>
          <w:sz w:val="24"/>
          <w:szCs w:val="24"/>
        </w:rPr>
        <w:t xml:space="preserve"> A State Housing Strategy outlined a list of the customer priorities to address housing issues in Kansas: </w:t>
      </w:r>
    </w:p>
    <w:p w14:paraId="5E704BE0" w14:textId="77777777" w:rsidR="007C520D" w:rsidRDefault="007C520D" w:rsidP="00A121EE">
      <w:pPr>
        <w:pStyle w:val="ListParagraph"/>
        <w:numPr>
          <w:ilvl w:val="1"/>
          <w:numId w:val="52"/>
        </w:numPr>
        <w:rPr>
          <w:sz w:val="24"/>
          <w:szCs w:val="24"/>
        </w:rPr>
      </w:pPr>
      <w:r>
        <w:rPr>
          <w:sz w:val="24"/>
          <w:szCs w:val="24"/>
        </w:rPr>
        <w:t>Owners</w:t>
      </w:r>
    </w:p>
    <w:p w14:paraId="151BB502" w14:textId="77777777" w:rsidR="007C520D" w:rsidRDefault="007C520D" w:rsidP="00A121EE">
      <w:pPr>
        <w:pStyle w:val="ListParagraph"/>
        <w:numPr>
          <w:ilvl w:val="1"/>
          <w:numId w:val="52"/>
        </w:numPr>
        <w:rPr>
          <w:sz w:val="24"/>
          <w:szCs w:val="24"/>
        </w:rPr>
      </w:pPr>
      <w:r>
        <w:rPr>
          <w:sz w:val="24"/>
          <w:szCs w:val="24"/>
        </w:rPr>
        <w:t>Renters</w:t>
      </w:r>
    </w:p>
    <w:p w14:paraId="62FBBF07" w14:textId="77777777" w:rsidR="007C520D" w:rsidRDefault="007C520D" w:rsidP="00A121EE">
      <w:pPr>
        <w:pStyle w:val="ListParagraph"/>
        <w:numPr>
          <w:ilvl w:val="1"/>
          <w:numId w:val="52"/>
        </w:numPr>
        <w:rPr>
          <w:sz w:val="24"/>
          <w:szCs w:val="24"/>
        </w:rPr>
      </w:pPr>
      <w:r>
        <w:rPr>
          <w:sz w:val="24"/>
          <w:szCs w:val="24"/>
        </w:rPr>
        <w:t>Vulnerable populations</w:t>
      </w:r>
    </w:p>
    <w:p w14:paraId="6EDC5D4F" w14:textId="77777777" w:rsidR="007C520D" w:rsidRDefault="007C520D" w:rsidP="00A121EE">
      <w:pPr>
        <w:pStyle w:val="ListParagraph"/>
        <w:numPr>
          <w:ilvl w:val="1"/>
          <w:numId w:val="52"/>
        </w:numPr>
        <w:rPr>
          <w:sz w:val="24"/>
          <w:szCs w:val="24"/>
        </w:rPr>
      </w:pPr>
      <w:r>
        <w:rPr>
          <w:sz w:val="24"/>
          <w:szCs w:val="24"/>
        </w:rPr>
        <w:t>Homeless persons</w:t>
      </w:r>
    </w:p>
    <w:p w14:paraId="16F4A3E0" w14:textId="77777777" w:rsidR="007C520D" w:rsidRDefault="007C520D" w:rsidP="007C520D">
      <w:pPr>
        <w:pStyle w:val="ListParagraph"/>
        <w:rPr>
          <w:sz w:val="24"/>
          <w:szCs w:val="24"/>
        </w:rPr>
      </w:pPr>
      <w:r>
        <w:rPr>
          <w:sz w:val="24"/>
          <w:szCs w:val="24"/>
        </w:rPr>
        <w:t xml:space="preserve">The Strategy stated that Kansas view affordable single-family housing as a priority activity and goal. Top priorities include: First Time Homebuyers, Existing Homeowners, and Renters (unit shortage). CDBG programs include housing rehabilitation, both owner-occupied and renter-occupied. </w:t>
      </w:r>
    </w:p>
    <w:p w14:paraId="423F8BBC" w14:textId="77777777" w:rsidR="007C520D" w:rsidRPr="008A42A3" w:rsidRDefault="007C520D" w:rsidP="007C520D">
      <w:pPr>
        <w:pStyle w:val="ListParagraph"/>
        <w:rPr>
          <w:sz w:val="24"/>
          <w:szCs w:val="24"/>
        </w:rPr>
      </w:pPr>
    </w:p>
    <w:p w14:paraId="1AE09074" w14:textId="77777777" w:rsidR="007C520D" w:rsidRDefault="007C520D" w:rsidP="00A121EE">
      <w:pPr>
        <w:pStyle w:val="ListParagraph"/>
        <w:numPr>
          <w:ilvl w:val="0"/>
          <w:numId w:val="52"/>
        </w:numPr>
        <w:rPr>
          <w:sz w:val="24"/>
          <w:szCs w:val="24"/>
        </w:rPr>
      </w:pPr>
      <w:r>
        <w:rPr>
          <w:b/>
          <w:sz w:val="24"/>
          <w:szCs w:val="24"/>
        </w:rPr>
        <w:t xml:space="preserve">Community Facilities: </w:t>
      </w:r>
      <w:r>
        <w:rPr>
          <w:sz w:val="24"/>
          <w:szCs w:val="24"/>
        </w:rPr>
        <w:t xml:space="preserve">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This project grant amount is limited to $2,000 per beneficiary up to a maximum of $400,000. </w:t>
      </w:r>
    </w:p>
    <w:p w14:paraId="34126DDC" w14:textId="77777777" w:rsidR="007C520D" w:rsidRDefault="007C520D" w:rsidP="007C520D">
      <w:pPr>
        <w:pStyle w:val="ListParagraph"/>
        <w:rPr>
          <w:sz w:val="24"/>
          <w:szCs w:val="24"/>
        </w:rPr>
      </w:pPr>
    </w:p>
    <w:p w14:paraId="420D61D8" w14:textId="77777777" w:rsidR="007C520D" w:rsidRDefault="007C520D" w:rsidP="00A121EE">
      <w:pPr>
        <w:pStyle w:val="ListParagraph"/>
        <w:numPr>
          <w:ilvl w:val="0"/>
          <w:numId w:val="52"/>
        </w:numPr>
        <w:rPr>
          <w:sz w:val="24"/>
          <w:szCs w:val="24"/>
        </w:rPr>
      </w:pPr>
      <w:r>
        <w:rPr>
          <w:b/>
          <w:sz w:val="24"/>
          <w:szCs w:val="24"/>
        </w:rPr>
        <w:t xml:space="preserve">Economic Development: </w:t>
      </w:r>
      <w:r>
        <w:rPr>
          <w:sz w:val="24"/>
          <w:szCs w:val="24"/>
        </w:rPr>
        <w:t>Funds may be used by a local unit of government to provide infrastructure or business financing assistance for a new business locating in or an existing business expanding in, a community. The local government may choose to offer assistance to an existing local firm attempting to remain in business. Technical assistance is available from the State during preparation of the application to ensure that the application will meet threshold requirements. Funds are available for PY2019 through an “open window process” starting on January 1</w:t>
      </w:r>
      <w:r w:rsidRPr="008A42A3">
        <w:rPr>
          <w:sz w:val="24"/>
          <w:szCs w:val="24"/>
          <w:vertAlign w:val="superscript"/>
        </w:rPr>
        <w:t>st</w:t>
      </w:r>
      <w:r>
        <w:rPr>
          <w:sz w:val="24"/>
          <w:szCs w:val="24"/>
        </w:rPr>
        <w:t xml:space="preserve"> and closing on December 10</w:t>
      </w:r>
      <w:r w:rsidRPr="008A42A3">
        <w:rPr>
          <w:sz w:val="24"/>
          <w:szCs w:val="24"/>
          <w:vertAlign w:val="superscript"/>
        </w:rPr>
        <w:t>th</w:t>
      </w:r>
      <w:r>
        <w:rPr>
          <w:sz w:val="24"/>
          <w:szCs w:val="24"/>
        </w:rPr>
        <w:t xml:space="preserve">. The maximum amount that can be applied for is $750,000, and the minimum amount is $100,000. Projects must meet the public benefit of at least 1 full-time job per $35,000 of assistance. All projects must meet the “law-and-moderate income” national objective. </w:t>
      </w:r>
    </w:p>
    <w:p w14:paraId="166F7BE8" w14:textId="77777777" w:rsidR="007C520D" w:rsidRDefault="007C520D" w:rsidP="007C520D">
      <w:pPr>
        <w:pStyle w:val="ListParagraph"/>
        <w:rPr>
          <w:sz w:val="24"/>
          <w:szCs w:val="24"/>
        </w:rPr>
      </w:pPr>
    </w:p>
    <w:p w14:paraId="4DF11DFD" w14:textId="77777777" w:rsidR="007C520D" w:rsidRDefault="007C520D" w:rsidP="00A121EE">
      <w:pPr>
        <w:pStyle w:val="ListParagraph"/>
        <w:numPr>
          <w:ilvl w:val="0"/>
          <w:numId w:val="52"/>
        </w:numPr>
        <w:rPr>
          <w:sz w:val="24"/>
          <w:szCs w:val="24"/>
        </w:rPr>
      </w:pPr>
      <w:r>
        <w:rPr>
          <w:b/>
          <w:sz w:val="24"/>
          <w:szCs w:val="24"/>
        </w:rPr>
        <w:t>Downtown Commercial Rehabilitation:</w:t>
      </w:r>
      <w:r>
        <w:rPr>
          <w:sz w:val="24"/>
          <w:szCs w:val="24"/>
        </w:rPr>
        <w:t xml:space="preserve"> </w:t>
      </w:r>
      <w:r w:rsidRPr="008A42A3">
        <w:rPr>
          <w:sz w:val="24"/>
          <w:szCs w:val="24"/>
        </w:rPr>
        <w:t>The purpose of the program is to help communities improve the quality of their downtown commercial districts by assisting private property owners in the rehabilitation of blighted buildings. All projects must meet the “slum and blight” national objective. There will be two application rounds for PY2019</w:t>
      </w:r>
      <w:r>
        <w:rPr>
          <w:sz w:val="24"/>
          <w:szCs w:val="24"/>
        </w:rPr>
        <w:t>. The deadlines will be on February 1</w:t>
      </w:r>
      <w:r w:rsidRPr="008A42A3">
        <w:rPr>
          <w:sz w:val="24"/>
          <w:szCs w:val="24"/>
          <w:vertAlign w:val="superscript"/>
        </w:rPr>
        <w:t>st</w:t>
      </w:r>
      <w:r>
        <w:rPr>
          <w:sz w:val="24"/>
          <w:szCs w:val="24"/>
        </w:rPr>
        <w:t xml:space="preserve"> and August 1</w:t>
      </w:r>
      <w:r w:rsidRPr="008A42A3">
        <w:rPr>
          <w:sz w:val="24"/>
          <w:szCs w:val="24"/>
          <w:vertAlign w:val="superscript"/>
        </w:rPr>
        <w:t>st</w:t>
      </w:r>
      <w:r>
        <w:rPr>
          <w:sz w:val="24"/>
          <w:szCs w:val="24"/>
        </w:rPr>
        <w:t xml:space="preserve"> each year. The maximum grant award is $250,000. A private match of at least 25% will be required. </w:t>
      </w:r>
    </w:p>
    <w:p w14:paraId="36186148" w14:textId="77777777" w:rsidR="007C520D" w:rsidRDefault="007C520D" w:rsidP="007C520D">
      <w:pPr>
        <w:pStyle w:val="ListParagraph"/>
        <w:rPr>
          <w:sz w:val="24"/>
          <w:szCs w:val="24"/>
        </w:rPr>
      </w:pPr>
    </w:p>
    <w:p w14:paraId="6058CFFC" w14:textId="77777777" w:rsidR="007C520D" w:rsidRDefault="007C520D" w:rsidP="00A121EE">
      <w:pPr>
        <w:pStyle w:val="ListParagraph"/>
        <w:numPr>
          <w:ilvl w:val="0"/>
          <w:numId w:val="52"/>
        </w:numPr>
        <w:rPr>
          <w:sz w:val="24"/>
          <w:szCs w:val="24"/>
        </w:rPr>
      </w:pPr>
      <w:r>
        <w:rPr>
          <w:b/>
          <w:sz w:val="24"/>
          <w:szCs w:val="24"/>
        </w:rPr>
        <w:t>Urgent Need:</w:t>
      </w:r>
      <w:r>
        <w:rPr>
          <w:sz w:val="24"/>
          <w:szCs w:val="24"/>
        </w:rPr>
        <w:t xml:space="preserve"> </w:t>
      </w:r>
      <w:r w:rsidRPr="008A42A3">
        <w:rPr>
          <w:sz w:val="24"/>
          <w:szCs w:val="24"/>
        </w:rPr>
        <w:t xml:space="preserve">Project activities must address an urgent need resulting from a sudden and severe natural disaster that has created conditions that pose a serious and immediate threat to the health or welfare of the community. Awards will be made to address only the solution to the immediate problem and not necessarily the long-term solution. The conditions must have become urgent within six months following the event. Applications are accepted on an as-needed basis at a maximum amount of $400,000 per grant. </w:t>
      </w:r>
    </w:p>
    <w:p w14:paraId="4A2FE5AA" w14:textId="77777777" w:rsidR="007C520D" w:rsidRDefault="007C520D" w:rsidP="007C520D">
      <w:pPr>
        <w:pStyle w:val="ListParagraph"/>
        <w:rPr>
          <w:sz w:val="24"/>
          <w:szCs w:val="24"/>
        </w:rPr>
      </w:pPr>
    </w:p>
    <w:p w14:paraId="2A8A92E9" w14:textId="1585B0BA" w:rsidR="007C520D" w:rsidRDefault="007C520D" w:rsidP="00A121EE">
      <w:pPr>
        <w:pStyle w:val="ListParagraph"/>
        <w:numPr>
          <w:ilvl w:val="0"/>
          <w:numId w:val="52"/>
        </w:numPr>
        <w:rPr>
          <w:sz w:val="24"/>
          <w:szCs w:val="24"/>
        </w:rPr>
      </w:pPr>
      <w:r>
        <w:rPr>
          <w:b/>
          <w:sz w:val="24"/>
          <w:szCs w:val="24"/>
        </w:rPr>
        <w:t>State Administration and Technical Assistance:</w:t>
      </w:r>
      <w:r>
        <w:rPr>
          <w:sz w:val="24"/>
          <w:szCs w:val="24"/>
        </w:rPr>
        <w:t xml:space="preserve"> The State will use no more than $100,000 plus 3% of the total CDBG grant amount, program income, and revolving loan funds for State administration and technical assistance of the program. Not more than 20% of the total CDBG grant may be used for administrative, planning, and/or technical assistance combined costs from both </w:t>
      </w:r>
      <w:r w:rsidR="00556755">
        <w:rPr>
          <w:sz w:val="24"/>
          <w:szCs w:val="24"/>
        </w:rPr>
        <w:t>state</w:t>
      </w:r>
      <w:r>
        <w:rPr>
          <w:sz w:val="24"/>
          <w:szCs w:val="24"/>
        </w:rPr>
        <w:t xml:space="preserve"> and local levels. Technical assistance is available to businesses and communities from the State during preparation of the business financing/infrastructure loan application process to ensure that the application will meet threshold requirements. In addition, the State provides or will provide technical assistance to units of local government in connection with community development programs. </w:t>
      </w:r>
    </w:p>
    <w:p w14:paraId="2132BA8E" w14:textId="77777777" w:rsidR="007C520D" w:rsidRDefault="007C520D" w:rsidP="007C520D">
      <w:pPr>
        <w:pStyle w:val="ListParagraph"/>
        <w:rPr>
          <w:sz w:val="24"/>
          <w:szCs w:val="24"/>
        </w:rPr>
      </w:pPr>
    </w:p>
    <w:p w14:paraId="322B9F1F" w14:textId="44D99807" w:rsidR="007C520D" w:rsidRDefault="007C520D" w:rsidP="00A121EE">
      <w:pPr>
        <w:pStyle w:val="ListParagraph"/>
        <w:numPr>
          <w:ilvl w:val="0"/>
          <w:numId w:val="52"/>
        </w:numPr>
        <w:rPr>
          <w:sz w:val="24"/>
          <w:szCs w:val="24"/>
        </w:rPr>
      </w:pPr>
      <w:r>
        <w:rPr>
          <w:b/>
          <w:sz w:val="24"/>
          <w:szCs w:val="24"/>
        </w:rPr>
        <w:t>First-Time Homebuyers:</w:t>
      </w:r>
      <w:r>
        <w:rPr>
          <w:sz w:val="24"/>
          <w:szCs w:val="24"/>
        </w:rPr>
        <w:t xml:space="preserve"> The First-Time Homebuyers program will be administered in partnership with approved lending institutions. The State will enter into written agreements with lenders to provide leveraging of the funds allotted to the program. Assisted households must meet HUD’s definition of low-income, with household income at or below 80% of an area median gross income (AMGI) as published annually by HID. They must qualify as first-time homebuyers as defined in 24 CFR Part 92 and agree to occupy the home purchased as their principal residence for the required affordability period. </w:t>
      </w:r>
    </w:p>
    <w:p w14:paraId="4E843151" w14:textId="77777777" w:rsidR="007C520D" w:rsidRDefault="007C520D" w:rsidP="007C520D">
      <w:pPr>
        <w:pStyle w:val="ListParagraph"/>
        <w:rPr>
          <w:sz w:val="24"/>
          <w:szCs w:val="24"/>
        </w:rPr>
      </w:pPr>
    </w:p>
    <w:p w14:paraId="4064CE16" w14:textId="77777777" w:rsidR="007C520D" w:rsidRDefault="007C520D" w:rsidP="00A121EE">
      <w:pPr>
        <w:pStyle w:val="ListParagraph"/>
        <w:numPr>
          <w:ilvl w:val="0"/>
          <w:numId w:val="52"/>
        </w:numPr>
        <w:rPr>
          <w:sz w:val="24"/>
          <w:szCs w:val="24"/>
        </w:rPr>
      </w:pPr>
      <w:r>
        <w:rPr>
          <w:b/>
          <w:sz w:val="24"/>
          <w:szCs w:val="24"/>
        </w:rPr>
        <w:t>HOME Rental Development:</w:t>
      </w:r>
      <w:r>
        <w:rPr>
          <w:sz w:val="24"/>
          <w:szCs w:val="24"/>
        </w:rPr>
        <w:t xml:space="preserve"> Eligible activities under the HOME Rental Development Program (HOME Rental) will be acquisition and rehabilitation of existing rental housing, and new construction of rental housing. Through partnership with non-profit housing organizations, funding will support the objective of the HOME program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 To satisfy the Community Housing Development Organization (CHDO) set-aside requirements of the HOME program, the KHRC shall reserve at least 15 %, per program year, of the total HOME allocation for CHDOs acting as owner, developer, or sponsor of a housing development. </w:t>
      </w:r>
    </w:p>
    <w:p w14:paraId="7642FDC7" w14:textId="77777777" w:rsidR="007C520D" w:rsidRDefault="007C520D" w:rsidP="007C520D">
      <w:pPr>
        <w:pStyle w:val="ListParagraph"/>
        <w:rPr>
          <w:sz w:val="24"/>
          <w:szCs w:val="24"/>
        </w:rPr>
      </w:pPr>
    </w:p>
    <w:p w14:paraId="030EA8B1" w14:textId="77777777" w:rsidR="007C520D" w:rsidRDefault="007C520D" w:rsidP="00A121EE">
      <w:pPr>
        <w:pStyle w:val="ListParagraph"/>
        <w:numPr>
          <w:ilvl w:val="0"/>
          <w:numId w:val="52"/>
        </w:numPr>
        <w:rPr>
          <w:sz w:val="24"/>
          <w:szCs w:val="24"/>
        </w:rPr>
      </w:pPr>
      <w:r>
        <w:rPr>
          <w:b/>
          <w:sz w:val="24"/>
          <w:szCs w:val="24"/>
        </w:rPr>
        <w:t xml:space="preserve">Tenant Based Rental Assistance (TBRA): </w:t>
      </w:r>
      <w:r>
        <w:rPr>
          <w:sz w:val="24"/>
          <w:szCs w:val="24"/>
        </w:rPr>
        <w:t xml:space="preserve">Tenant Based Rental Assistance (TBRA) funding will be allocated under written agreement to local jurisdictions and non-profits that apply as third-party program administrators, referred to as subrecipients, on a competitive basis, after meeting organizational capacity and threshold requirements for administering a rental assistance program in their communities. Funding is distributed monthly through direct deposit to subrecipient agencies. Rental assistance is paid month by month by the recipient directly to the landlord and/or the local utility (electric, gas, water) provider. Program funds are made available for TBRA activities to local housing authorities and other non-profit organizations, throughout the state. Scoring criteria will reflect a preference for activities outside local HOME jurisdictions. </w:t>
      </w:r>
    </w:p>
    <w:p w14:paraId="646A4944" w14:textId="77777777" w:rsidR="007C520D" w:rsidRDefault="007C520D" w:rsidP="007C520D">
      <w:pPr>
        <w:pStyle w:val="ListParagraph"/>
        <w:rPr>
          <w:sz w:val="24"/>
          <w:szCs w:val="24"/>
        </w:rPr>
      </w:pPr>
    </w:p>
    <w:p w14:paraId="5C89B408" w14:textId="6AAA10D1" w:rsidR="007C520D" w:rsidRPr="008A42A3" w:rsidRDefault="007C520D" w:rsidP="00A121EE">
      <w:pPr>
        <w:pStyle w:val="ListParagraph"/>
        <w:numPr>
          <w:ilvl w:val="0"/>
          <w:numId w:val="52"/>
        </w:numPr>
        <w:rPr>
          <w:b/>
          <w:sz w:val="24"/>
          <w:szCs w:val="24"/>
        </w:rPr>
      </w:pPr>
      <w:r>
        <w:rPr>
          <w:b/>
          <w:sz w:val="24"/>
          <w:szCs w:val="24"/>
        </w:rPr>
        <w:t xml:space="preserve">Emergency Solutions Grant (ESG) Program: </w:t>
      </w:r>
      <w:r>
        <w:rPr>
          <w:sz w:val="24"/>
          <w:szCs w:val="24"/>
        </w:rPr>
        <w:t xml:space="preserve">The Kansas Housing Resources Corporation (KHRC) administers the Emergency Solutions Grant (ESG) for the State. ESG is allocated to the </w:t>
      </w:r>
      <w:r w:rsidR="00556755">
        <w:rPr>
          <w:sz w:val="24"/>
          <w:szCs w:val="24"/>
        </w:rPr>
        <w:t>state</w:t>
      </w:r>
      <w:r>
        <w:rPr>
          <w:sz w:val="24"/>
          <w:szCs w:val="24"/>
        </w:rPr>
        <w:t xml:space="preserve"> through a formula-funded program by the Department of Housing and Urban Development. KHRC is awarded these funds annually and makes them available for application to local units of government of non-ESG entitlement communities of Kansas. The State of Kansas supports a Continuum of Care (CoC) approach among State ESG recipients. KHRC collaborates on a recurring basis with the Balance of State CoC and the Johnson County CoC. All funds from the State’s ESG funding are made available to the non-ESG entitlement continuums. CoC components include affordable, accessible, and integrated permanent housing and homeless services that enable individuals and families to reach the maximum degree of self-sufficiency possible. ESG funds must be matched dollar-for-dollar by the local recipient. KHRC will require all sub-recipients to make matching contributions to supplement the ESG program in an amount that equals the amount of ESG funds provided by KHRC. The subrecipient must identify the source of match at the time of applying for ESG. Matching contributions may be obtained from any source, including any Federal source other than the ESG program, as well as state, local, and private sources. </w:t>
      </w:r>
    </w:p>
    <w:p w14:paraId="29CC9131" w14:textId="77777777" w:rsidR="007C520D" w:rsidRPr="008A42A3" w:rsidRDefault="007C520D" w:rsidP="007C520D">
      <w:pPr>
        <w:pStyle w:val="ListParagraph"/>
        <w:rPr>
          <w:b/>
          <w:sz w:val="24"/>
          <w:szCs w:val="24"/>
        </w:rPr>
      </w:pPr>
    </w:p>
    <w:p w14:paraId="27EAC910" w14:textId="77777777" w:rsidR="007C520D" w:rsidRPr="008A42A3" w:rsidRDefault="007C520D" w:rsidP="00A121EE">
      <w:pPr>
        <w:pStyle w:val="ListParagraph"/>
        <w:numPr>
          <w:ilvl w:val="0"/>
          <w:numId w:val="52"/>
        </w:numPr>
        <w:rPr>
          <w:b/>
          <w:sz w:val="24"/>
          <w:szCs w:val="24"/>
        </w:rPr>
      </w:pPr>
      <w:r>
        <w:rPr>
          <w:b/>
          <w:sz w:val="24"/>
          <w:szCs w:val="24"/>
        </w:rPr>
        <w:t xml:space="preserve">Housing Opportunities for Persons with AIDS (HOPWA): </w:t>
      </w:r>
      <w:r>
        <w:rPr>
          <w:sz w:val="24"/>
          <w:szCs w:val="24"/>
        </w:rPr>
        <w:t>The State’s primary housing activities under HOPWA will consists of:</w:t>
      </w:r>
    </w:p>
    <w:p w14:paraId="7530307E" w14:textId="77777777" w:rsidR="007C520D" w:rsidRPr="008A42A3" w:rsidRDefault="007C520D" w:rsidP="00A121EE">
      <w:pPr>
        <w:pStyle w:val="ListParagraph"/>
        <w:numPr>
          <w:ilvl w:val="1"/>
          <w:numId w:val="52"/>
        </w:numPr>
        <w:rPr>
          <w:b/>
          <w:sz w:val="24"/>
          <w:szCs w:val="24"/>
        </w:rPr>
      </w:pPr>
      <w:r>
        <w:rPr>
          <w:sz w:val="24"/>
          <w:szCs w:val="24"/>
        </w:rPr>
        <w:t>Tenant-based rental assistance</w:t>
      </w:r>
    </w:p>
    <w:p w14:paraId="54C14F21" w14:textId="77777777" w:rsidR="007C520D" w:rsidRPr="008A42A3" w:rsidRDefault="007C520D" w:rsidP="00A121EE">
      <w:pPr>
        <w:pStyle w:val="ListParagraph"/>
        <w:numPr>
          <w:ilvl w:val="1"/>
          <w:numId w:val="52"/>
        </w:numPr>
        <w:rPr>
          <w:b/>
          <w:sz w:val="24"/>
          <w:szCs w:val="24"/>
        </w:rPr>
      </w:pPr>
      <w:r>
        <w:rPr>
          <w:sz w:val="24"/>
          <w:szCs w:val="24"/>
        </w:rPr>
        <w:t>Short-term rent, mortgage, and utilities assistance</w:t>
      </w:r>
    </w:p>
    <w:p w14:paraId="17057A7C" w14:textId="77777777" w:rsidR="007C520D" w:rsidRPr="008A42A3" w:rsidRDefault="007C520D" w:rsidP="00A121EE">
      <w:pPr>
        <w:pStyle w:val="ListParagraph"/>
        <w:numPr>
          <w:ilvl w:val="1"/>
          <w:numId w:val="52"/>
        </w:numPr>
        <w:rPr>
          <w:b/>
          <w:sz w:val="24"/>
          <w:szCs w:val="24"/>
        </w:rPr>
      </w:pPr>
      <w:r>
        <w:rPr>
          <w:sz w:val="24"/>
          <w:szCs w:val="24"/>
        </w:rPr>
        <w:t>Transitional/emergency housing</w:t>
      </w:r>
    </w:p>
    <w:p w14:paraId="4838A430" w14:textId="77777777" w:rsidR="007C520D" w:rsidRPr="008A42A3" w:rsidRDefault="007C520D" w:rsidP="00A121EE">
      <w:pPr>
        <w:pStyle w:val="ListParagraph"/>
        <w:numPr>
          <w:ilvl w:val="1"/>
          <w:numId w:val="52"/>
        </w:numPr>
        <w:rPr>
          <w:b/>
          <w:sz w:val="24"/>
          <w:szCs w:val="24"/>
        </w:rPr>
      </w:pPr>
      <w:r>
        <w:rPr>
          <w:sz w:val="24"/>
          <w:szCs w:val="24"/>
        </w:rPr>
        <w:t>Housing coordination</w:t>
      </w:r>
    </w:p>
    <w:p w14:paraId="3FFFA7AB" w14:textId="77777777" w:rsidR="007C520D" w:rsidRPr="008A42A3" w:rsidRDefault="007C520D" w:rsidP="00A121EE">
      <w:pPr>
        <w:pStyle w:val="ListParagraph"/>
        <w:numPr>
          <w:ilvl w:val="1"/>
          <w:numId w:val="52"/>
        </w:numPr>
        <w:rPr>
          <w:b/>
          <w:sz w:val="24"/>
          <w:szCs w:val="24"/>
        </w:rPr>
      </w:pPr>
      <w:r>
        <w:rPr>
          <w:sz w:val="24"/>
          <w:szCs w:val="24"/>
        </w:rPr>
        <w:t>Technical assistance</w:t>
      </w:r>
    </w:p>
    <w:p w14:paraId="4DD029FB" w14:textId="77777777" w:rsidR="007C520D" w:rsidRDefault="007C520D" w:rsidP="007C520D">
      <w:pPr>
        <w:ind w:left="720"/>
        <w:rPr>
          <w:sz w:val="24"/>
          <w:szCs w:val="24"/>
        </w:rPr>
      </w:pPr>
      <w:r>
        <w:rPr>
          <w:sz w:val="24"/>
          <w:szCs w:val="24"/>
        </w:rPr>
        <w:t xml:space="preserve">The supportive service that will be available include: </w:t>
      </w:r>
    </w:p>
    <w:p w14:paraId="45E75A60" w14:textId="77777777" w:rsidR="007C520D" w:rsidRDefault="007C520D" w:rsidP="00A121EE">
      <w:pPr>
        <w:pStyle w:val="ListParagraph"/>
        <w:numPr>
          <w:ilvl w:val="0"/>
          <w:numId w:val="53"/>
        </w:numPr>
        <w:rPr>
          <w:sz w:val="24"/>
          <w:szCs w:val="24"/>
        </w:rPr>
      </w:pPr>
      <w:r>
        <w:rPr>
          <w:sz w:val="24"/>
          <w:szCs w:val="24"/>
        </w:rPr>
        <w:t>Nutritional supplements</w:t>
      </w:r>
    </w:p>
    <w:p w14:paraId="5782E6B2" w14:textId="77777777" w:rsidR="007C520D" w:rsidRDefault="007C520D" w:rsidP="00A121EE">
      <w:pPr>
        <w:pStyle w:val="ListParagraph"/>
        <w:numPr>
          <w:ilvl w:val="0"/>
          <w:numId w:val="53"/>
        </w:numPr>
        <w:rPr>
          <w:sz w:val="24"/>
          <w:szCs w:val="24"/>
        </w:rPr>
      </w:pPr>
      <w:r>
        <w:rPr>
          <w:sz w:val="24"/>
          <w:szCs w:val="24"/>
        </w:rPr>
        <w:t>Mental health, drug and alcohol counseling and treatment</w:t>
      </w:r>
    </w:p>
    <w:p w14:paraId="53D921FD" w14:textId="77777777" w:rsidR="007C520D" w:rsidRDefault="007C520D" w:rsidP="00A121EE">
      <w:pPr>
        <w:pStyle w:val="ListParagraph"/>
        <w:numPr>
          <w:ilvl w:val="0"/>
          <w:numId w:val="53"/>
        </w:numPr>
        <w:rPr>
          <w:sz w:val="24"/>
          <w:szCs w:val="24"/>
        </w:rPr>
      </w:pPr>
      <w:r>
        <w:rPr>
          <w:sz w:val="24"/>
          <w:szCs w:val="24"/>
        </w:rPr>
        <w:t>Transportation</w:t>
      </w:r>
    </w:p>
    <w:p w14:paraId="4BF9D342" w14:textId="77777777" w:rsidR="007C520D" w:rsidRDefault="007C520D" w:rsidP="007C520D">
      <w:pPr>
        <w:pStyle w:val="ListParagraph"/>
        <w:ind w:left="1440"/>
        <w:rPr>
          <w:sz w:val="24"/>
          <w:szCs w:val="24"/>
        </w:rPr>
      </w:pPr>
    </w:p>
    <w:p w14:paraId="4A2A577A" w14:textId="77777777" w:rsidR="007C520D" w:rsidRPr="008A42A3" w:rsidRDefault="007C520D" w:rsidP="00A121EE">
      <w:pPr>
        <w:pStyle w:val="ListParagraph"/>
        <w:numPr>
          <w:ilvl w:val="0"/>
          <w:numId w:val="52"/>
        </w:numPr>
        <w:rPr>
          <w:sz w:val="24"/>
          <w:szCs w:val="24"/>
        </w:rPr>
      </w:pPr>
      <w:r>
        <w:rPr>
          <w:b/>
          <w:sz w:val="24"/>
          <w:szCs w:val="24"/>
        </w:rPr>
        <w:t xml:space="preserve">Housing Trust Fund (HTF): </w:t>
      </w:r>
      <w:r>
        <w:rPr>
          <w:sz w:val="24"/>
          <w:szCs w:val="24"/>
        </w:rPr>
        <w:t xml:space="preserve">The Housing Trust Fund program will provide grants to increase and preserve the supply of rental housing for extremely low- and very low-income families, including homeless families. </w:t>
      </w:r>
    </w:p>
    <w:p w14:paraId="556ACE9E" w14:textId="77777777" w:rsidR="007C520D" w:rsidRDefault="007C520D" w:rsidP="007C520D">
      <w:pPr>
        <w:rPr>
          <w:b/>
          <w:sz w:val="24"/>
          <w:szCs w:val="24"/>
        </w:rPr>
      </w:pPr>
      <w:r>
        <w:rPr>
          <w:b/>
          <w:sz w:val="24"/>
          <w:szCs w:val="24"/>
        </w:rPr>
        <w:t>Estimate the number of extremely low-income, low-income, and moderate-income families to whom the jurisdiction will provide affordable housing as defined by HOME 91.315(b)(2)</w:t>
      </w:r>
    </w:p>
    <w:p w14:paraId="7D85616E" w14:textId="77777777" w:rsidR="007C520D" w:rsidRDefault="007C520D" w:rsidP="007C520D">
      <w:pPr>
        <w:rPr>
          <w:i/>
          <w:sz w:val="24"/>
          <w:szCs w:val="24"/>
          <w:u w:val="single"/>
        </w:rPr>
      </w:pPr>
      <w:r>
        <w:t>Activities in both the HOME and CDBG program will provide extremely low-income, low-income, and moderate-income families affordable housing as defined by HOME 91.315 (b) (2), paying no more than 30 percent of their income on housing.</w:t>
      </w:r>
      <w:r w:rsidRPr="005D3B2C">
        <w:rPr>
          <w:i/>
          <w:sz w:val="24"/>
          <w:szCs w:val="24"/>
          <w:u w:val="single"/>
        </w:rPr>
        <w:t xml:space="preserve"> </w:t>
      </w:r>
    </w:p>
    <w:p w14:paraId="00F7B798" w14:textId="77777777" w:rsidR="007C520D" w:rsidRPr="005D3B2C" w:rsidRDefault="007C520D" w:rsidP="007C520D">
      <w:pPr>
        <w:rPr>
          <w:sz w:val="24"/>
          <w:szCs w:val="24"/>
        </w:rPr>
      </w:pPr>
      <w:r w:rsidRPr="005D3B2C">
        <w:rPr>
          <w:sz w:val="24"/>
          <w:szCs w:val="24"/>
        </w:rPr>
        <w:t>The following is an estimate of the number of affordable units that will b</w:t>
      </w:r>
      <w:r>
        <w:rPr>
          <w:sz w:val="24"/>
          <w:szCs w:val="24"/>
        </w:rPr>
        <w:t>e</w:t>
      </w:r>
      <w:r w:rsidRPr="005D3B2C">
        <w:rPr>
          <w:sz w:val="24"/>
          <w:szCs w:val="24"/>
        </w:rPr>
        <w:t xml:space="preserve"> </w:t>
      </w:r>
      <w:r>
        <w:rPr>
          <w:sz w:val="24"/>
          <w:szCs w:val="24"/>
        </w:rPr>
        <w:t xml:space="preserve">provided by </w:t>
      </w:r>
      <w:r w:rsidRPr="005D3B2C">
        <w:rPr>
          <w:sz w:val="24"/>
          <w:szCs w:val="24"/>
        </w:rPr>
        <w:t>program:</w:t>
      </w:r>
    </w:p>
    <w:p w14:paraId="3A4AF4CC" w14:textId="77777777" w:rsidR="007C520D" w:rsidRPr="0010086B" w:rsidRDefault="007C520D" w:rsidP="007C520D">
      <w:pPr>
        <w:rPr>
          <w:i/>
          <w:sz w:val="24"/>
          <w:szCs w:val="24"/>
          <w:u w:val="single"/>
        </w:rPr>
      </w:pPr>
      <w:r w:rsidRPr="0010086B">
        <w:rPr>
          <w:i/>
          <w:sz w:val="24"/>
          <w:szCs w:val="24"/>
          <w:u w:val="single"/>
        </w:rPr>
        <w:t>CDBG:</w:t>
      </w:r>
    </w:p>
    <w:p w14:paraId="689E00E3" w14:textId="77777777" w:rsidR="007C520D" w:rsidRPr="0010086B" w:rsidRDefault="007C520D" w:rsidP="00A121EE">
      <w:pPr>
        <w:pStyle w:val="ListParagraph"/>
        <w:numPr>
          <w:ilvl w:val="0"/>
          <w:numId w:val="11"/>
        </w:numPr>
        <w:spacing w:after="0" w:line="240" w:lineRule="auto"/>
        <w:rPr>
          <w:sz w:val="24"/>
          <w:szCs w:val="24"/>
        </w:rPr>
      </w:pPr>
      <w:r w:rsidRPr="0010086B">
        <w:rPr>
          <w:i/>
          <w:sz w:val="24"/>
          <w:szCs w:val="24"/>
        </w:rPr>
        <w:t>Urgent Needs</w:t>
      </w:r>
      <w:r w:rsidRPr="0010086B">
        <w:rPr>
          <w:sz w:val="24"/>
          <w:szCs w:val="24"/>
        </w:rPr>
        <w:t>- Provides funding for housing damage caused by disasters</w:t>
      </w:r>
    </w:p>
    <w:p w14:paraId="1094F469" w14:textId="77777777" w:rsidR="007C520D" w:rsidRPr="0010086B" w:rsidRDefault="007C520D" w:rsidP="00A121EE">
      <w:pPr>
        <w:pStyle w:val="ListParagraph"/>
        <w:numPr>
          <w:ilvl w:val="0"/>
          <w:numId w:val="11"/>
        </w:numPr>
        <w:spacing w:after="0" w:line="240" w:lineRule="auto"/>
        <w:rPr>
          <w:sz w:val="24"/>
          <w:szCs w:val="24"/>
        </w:rPr>
      </w:pPr>
      <w:r w:rsidRPr="0010086B">
        <w:rPr>
          <w:i/>
          <w:sz w:val="24"/>
          <w:szCs w:val="24"/>
        </w:rPr>
        <w:t>Housing Rehabilitation Program</w:t>
      </w:r>
      <w:r w:rsidRPr="0010086B">
        <w:rPr>
          <w:sz w:val="24"/>
          <w:szCs w:val="24"/>
        </w:rPr>
        <w:t>- Provides housing grants for rehabilitation of both owner-occupied and renter-occupied units</w:t>
      </w:r>
    </w:p>
    <w:p w14:paraId="3D7121DB" w14:textId="77777777" w:rsidR="007C520D" w:rsidRPr="0010086B" w:rsidRDefault="007C520D" w:rsidP="007C520D">
      <w:pPr>
        <w:pStyle w:val="ListParagraph"/>
        <w:spacing w:after="0" w:line="240" w:lineRule="auto"/>
        <w:rPr>
          <w:sz w:val="24"/>
          <w:szCs w:val="24"/>
        </w:rPr>
      </w:pPr>
    </w:p>
    <w:p w14:paraId="382CB3DD" w14:textId="77777777" w:rsidR="007C520D" w:rsidRPr="003D5DC3" w:rsidRDefault="007C520D" w:rsidP="007C520D">
      <w:pPr>
        <w:spacing w:after="0"/>
        <w:rPr>
          <w:sz w:val="24"/>
          <w:szCs w:val="24"/>
        </w:rPr>
      </w:pPr>
      <w:r w:rsidRPr="00605A42">
        <w:rPr>
          <w:sz w:val="24"/>
          <w:szCs w:val="24"/>
        </w:rPr>
        <w:t xml:space="preserve">The one-year goals for CDBG housing programs includes: </w:t>
      </w:r>
      <w:r w:rsidRPr="00211313">
        <w:rPr>
          <w:sz w:val="24"/>
          <w:szCs w:val="24"/>
        </w:rPr>
        <w:t>24 new rental units</w:t>
      </w:r>
      <w:r w:rsidRPr="00605A42">
        <w:rPr>
          <w:sz w:val="24"/>
          <w:szCs w:val="24"/>
        </w:rPr>
        <w:t xml:space="preserve"> and 17 homeowner rehabs</w:t>
      </w:r>
    </w:p>
    <w:p w14:paraId="25FCEEF1" w14:textId="77777777" w:rsidR="007C520D" w:rsidRPr="0010086B" w:rsidRDefault="007C520D" w:rsidP="007C520D">
      <w:pPr>
        <w:spacing w:after="0" w:line="240" w:lineRule="auto"/>
        <w:rPr>
          <w:i/>
          <w:sz w:val="24"/>
          <w:szCs w:val="24"/>
          <w:u w:val="single"/>
        </w:rPr>
      </w:pPr>
    </w:p>
    <w:p w14:paraId="73675C3A" w14:textId="77777777" w:rsidR="007C520D" w:rsidRPr="0010086B" w:rsidRDefault="007C520D" w:rsidP="007C520D">
      <w:pPr>
        <w:spacing w:after="0" w:line="240" w:lineRule="auto"/>
        <w:rPr>
          <w:i/>
          <w:sz w:val="24"/>
          <w:szCs w:val="24"/>
          <w:u w:val="single"/>
        </w:rPr>
      </w:pPr>
      <w:r w:rsidRPr="0010086B">
        <w:rPr>
          <w:i/>
          <w:sz w:val="24"/>
          <w:szCs w:val="24"/>
          <w:u w:val="single"/>
        </w:rPr>
        <w:t>HOME</w:t>
      </w:r>
    </w:p>
    <w:p w14:paraId="5F4A249D" w14:textId="77777777" w:rsidR="007C520D" w:rsidRPr="0010086B" w:rsidRDefault="007C520D" w:rsidP="00A121EE">
      <w:pPr>
        <w:pStyle w:val="ListParagraph"/>
        <w:numPr>
          <w:ilvl w:val="0"/>
          <w:numId w:val="12"/>
        </w:numPr>
        <w:spacing w:after="0" w:line="240" w:lineRule="auto"/>
        <w:rPr>
          <w:sz w:val="24"/>
          <w:szCs w:val="24"/>
        </w:rPr>
      </w:pPr>
      <w:r w:rsidRPr="0010086B">
        <w:rPr>
          <w:i/>
          <w:sz w:val="24"/>
          <w:szCs w:val="24"/>
        </w:rPr>
        <w:t xml:space="preserve">HOME Rental Development- </w:t>
      </w:r>
      <w:r w:rsidRPr="0010086B">
        <w:rPr>
          <w:sz w:val="24"/>
          <w:szCs w:val="24"/>
        </w:rPr>
        <w:t>Includes the acquisition of existing rental units and the construction of new rental units</w:t>
      </w:r>
    </w:p>
    <w:p w14:paraId="3A6B8B81" w14:textId="77777777" w:rsidR="007C520D" w:rsidRPr="0010086B" w:rsidRDefault="007C520D" w:rsidP="00A121EE">
      <w:pPr>
        <w:pStyle w:val="ListParagraph"/>
        <w:numPr>
          <w:ilvl w:val="0"/>
          <w:numId w:val="12"/>
        </w:numPr>
        <w:spacing w:after="0" w:line="240" w:lineRule="auto"/>
        <w:rPr>
          <w:i/>
          <w:sz w:val="24"/>
          <w:szCs w:val="24"/>
        </w:rPr>
      </w:pPr>
      <w:r w:rsidRPr="0010086B">
        <w:rPr>
          <w:i/>
          <w:sz w:val="24"/>
          <w:szCs w:val="24"/>
        </w:rPr>
        <w:t xml:space="preserve">Tenant Based Rental Assistance (TBRA)- </w:t>
      </w:r>
      <w:r w:rsidRPr="0010086B">
        <w:rPr>
          <w:sz w:val="24"/>
          <w:szCs w:val="24"/>
        </w:rPr>
        <w:t>Rental assistance provided to low-income and special needs populations</w:t>
      </w:r>
    </w:p>
    <w:p w14:paraId="4AD39FFD" w14:textId="77777777" w:rsidR="007C520D" w:rsidRPr="0010086B" w:rsidRDefault="007C520D" w:rsidP="00A121EE">
      <w:pPr>
        <w:pStyle w:val="ListParagraph"/>
        <w:numPr>
          <w:ilvl w:val="0"/>
          <w:numId w:val="12"/>
        </w:numPr>
        <w:rPr>
          <w:sz w:val="24"/>
          <w:szCs w:val="24"/>
        </w:rPr>
      </w:pPr>
      <w:r w:rsidRPr="0010086B">
        <w:rPr>
          <w:i/>
          <w:sz w:val="24"/>
          <w:szCs w:val="24"/>
        </w:rPr>
        <w:t>First Time homebuyer Program</w:t>
      </w:r>
      <w:r w:rsidRPr="0010086B">
        <w:rPr>
          <w:sz w:val="24"/>
          <w:szCs w:val="24"/>
        </w:rPr>
        <w:t>- provides down payment assistance and reduced first mortgage loans</w:t>
      </w:r>
    </w:p>
    <w:p w14:paraId="33AD9BBB" w14:textId="023E3F35" w:rsidR="007C520D" w:rsidRPr="0010086B" w:rsidRDefault="007C520D" w:rsidP="007C520D">
      <w:pPr>
        <w:spacing w:after="0"/>
        <w:rPr>
          <w:sz w:val="24"/>
          <w:szCs w:val="24"/>
        </w:rPr>
      </w:pPr>
      <w:r w:rsidRPr="00E35A64">
        <w:rPr>
          <w:sz w:val="24"/>
          <w:szCs w:val="24"/>
        </w:rPr>
        <w:t xml:space="preserve">The one-year goal for HOME housing programs includes: </w:t>
      </w:r>
      <w:r w:rsidR="00455186">
        <w:rPr>
          <w:sz w:val="24"/>
          <w:szCs w:val="24"/>
        </w:rPr>
        <w:t>750</w:t>
      </w:r>
      <w:r w:rsidRPr="00E35A64">
        <w:rPr>
          <w:sz w:val="24"/>
          <w:szCs w:val="24"/>
        </w:rPr>
        <w:t xml:space="preserve"> TBRA units, 31 new rental units constructed, 4 rental units rehabilitated, and 75 households to receive direct financial assistance.</w:t>
      </w:r>
    </w:p>
    <w:p w14:paraId="263C2136" w14:textId="77777777" w:rsidR="007C520D" w:rsidRPr="0010086B" w:rsidRDefault="007C520D" w:rsidP="007C520D">
      <w:pPr>
        <w:spacing w:after="0" w:line="240" w:lineRule="auto"/>
        <w:rPr>
          <w:sz w:val="24"/>
          <w:szCs w:val="24"/>
        </w:rPr>
      </w:pPr>
    </w:p>
    <w:p w14:paraId="6BD2EB02" w14:textId="77777777" w:rsidR="007C520D" w:rsidRPr="0010086B" w:rsidRDefault="007C520D" w:rsidP="007C520D">
      <w:pPr>
        <w:spacing w:after="0" w:line="240" w:lineRule="auto"/>
        <w:rPr>
          <w:i/>
          <w:sz w:val="24"/>
          <w:szCs w:val="24"/>
          <w:u w:val="single"/>
        </w:rPr>
      </w:pPr>
      <w:r w:rsidRPr="0010086B">
        <w:rPr>
          <w:i/>
          <w:sz w:val="24"/>
          <w:szCs w:val="24"/>
          <w:u w:val="single"/>
        </w:rPr>
        <w:t>ESG</w:t>
      </w:r>
    </w:p>
    <w:p w14:paraId="158E9621" w14:textId="77777777" w:rsidR="007C520D" w:rsidRPr="0010086B" w:rsidRDefault="007C520D" w:rsidP="00A121EE">
      <w:pPr>
        <w:pStyle w:val="ListParagraph"/>
        <w:numPr>
          <w:ilvl w:val="0"/>
          <w:numId w:val="13"/>
        </w:numPr>
        <w:spacing w:after="0" w:line="240" w:lineRule="auto"/>
        <w:rPr>
          <w:sz w:val="24"/>
          <w:szCs w:val="24"/>
        </w:rPr>
      </w:pPr>
      <w:r w:rsidRPr="0010086B">
        <w:rPr>
          <w:i/>
          <w:sz w:val="24"/>
          <w:szCs w:val="24"/>
        </w:rPr>
        <w:t>Emergency Shelters</w:t>
      </w:r>
    </w:p>
    <w:p w14:paraId="1A2220C5" w14:textId="77777777" w:rsidR="007C520D" w:rsidRPr="0010086B" w:rsidRDefault="007C520D" w:rsidP="00A121EE">
      <w:pPr>
        <w:pStyle w:val="ListParagraph"/>
        <w:numPr>
          <w:ilvl w:val="0"/>
          <w:numId w:val="13"/>
        </w:numPr>
        <w:spacing w:after="0" w:line="240" w:lineRule="auto"/>
        <w:rPr>
          <w:sz w:val="24"/>
          <w:szCs w:val="24"/>
        </w:rPr>
      </w:pPr>
      <w:r w:rsidRPr="0010086B">
        <w:rPr>
          <w:i/>
          <w:sz w:val="24"/>
          <w:szCs w:val="24"/>
        </w:rPr>
        <w:t>Street Outreach</w:t>
      </w:r>
    </w:p>
    <w:p w14:paraId="2A4FE28F" w14:textId="77777777" w:rsidR="007C520D" w:rsidRPr="0010086B" w:rsidRDefault="007C520D" w:rsidP="00A121EE">
      <w:pPr>
        <w:pStyle w:val="ListParagraph"/>
        <w:numPr>
          <w:ilvl w:val="0"/>
          <w:numId w:val="13"/>
        </w:numPr>
        <w:spacing w:after="0" w:line="240" w:lineRule="auto"/>
        <w:rPr>
          <w:sz w:val="24"/>
          <w:szCs w:val="24"/>
        </w:rPr>
      </w:pPr>
      <w:r w:rsidRPr="0010086B">
        <w:rPr>
          <w:i/>
          <w:sz w:val="24"/>
          <w:szCs w:val="24"/>
        </w:rPr>
        <w:t>Homeless Prevention</w:t>
      </w:r>
    </w:p>
    <w:p w14:paraId="55B35C3E" w14:textId="77777777" w:rsidR="007C520D" w:rsidRPr="0010086B" w:rsidRDefault="007C520D" w:rsidP="00A121EE">
      <w:pPr>
        <w:pStyle w:val="ListParagraph"/>
        <w:numPr>
          <w:ilvl w:val="0"/>
          <w:numId w:val="13"/>
        </w:numPr>
        <w:spacing w:after="0" w:line="240" w:lineRule="auto"/>
        <w:rPr>
          <w:sz w:val="24"/>
          <w:szCs w:val="24"/>
        </w:rPr>
      </w:pPr>
      <w:r w:rsidRPr="0010086B">
        <w:rPr>
          <w:i/>
          <w:sz w:val="24"/>
          <w:szCs w:val="24"/>
        </w:rPr>
        <w:t>Rapid Rehousing</w:t>
      </w:r>
    </w:p>
    <w:p w14:paraId="5CE69DA0" w14:textId="77777777" w:rsidR="007C520D" w:rsidRPr="0010086B" w:rsidRDefault="007C520D" w:rsidP="007C520D">
      <w:pPr>
        <w:spacing w:after="0" w:line="240" w:lineRule="auto"/>
        <w:rPr>
          <w:sz w:val="24"/>
          <w:szCs w:val="24"/>
        </w:rPr>
      </w:pPr>
    </w:p>
    <w:p w14:paraId="1639DA92" w14:textId="77777777" w:rsidR="007C520D" w:rsidRPr="0010086B" w:rsidRDefault="007C520D" w:rsidP="007C520D">
      <w:pPr>
        <w:spacing w:after="0"/>
        <w:rPr>
          <w:sz w:val="24"/>
          <w:szCs w:val="24"/>
        </w:rPr>
      </w:pPr>
      <w:r w:rsidRPr="00A02AC6">
        <w:rPr>
          <w:sz w:val="24"/>
          <w:szCs w:val="24"/>
        </w:rPr>
        <w:t xml:space="preserve">The one-year goal for ESG housing programs includes: In total 1,500 Households assisted with emergency shelter, 50 households with homeless prevention, and 300 households assisted with rapid rehousing. </w:t>
      </w:r>
    </w:p>
    <w:p w14:paraId="4482C58A" w14:textId="77777777" w:rsidR="007C520D" w:rsidRDefault="007C520D" w:rsidP="007C520D">
      <w:pPr>
        <w:spacing w:after="0" w:line="240" w:lineRule="auto"/>
        <w:rPr>
          <w:sz w:val="24"/>
          <w:szCs w:val="24"/>
        </w:rPr>
      </w:pPr>
    </w:p>
    <w:p w14:paraId="67E1294E" w14:textId="77777777" w:rsidR="007C520D" w:rsidRPr="0010086B" w:rsidRDefault="007C520D" w:rsidP="007C520D">
      <w:pPr>
        <w:spacing w:after="0" w:line="240" w:lineRule="auto"/>
        <w:rPr>
          <w:sz w:val="24"/>
          <w:szCs w:val="24"/>
        </w:rPr>
      </w:pPr>
    </w:p>
    <w:p w14:paraId="43FA7DF0" w14:textId="77777777" w:rsidR="007C520D" w:rsidRPr="0010086B" w:rsidRDefault="007C520D" w:rsidP="007C520D">
      <w:pPr>
        <w:spacing w:after="0" w:line="240" w:lineRule="auto"/>
        <w:rPr>
          <w:i/>
          <w:sz w:val="24"/>
          <w:szCs w:val="24"/>
          <w:u w:val="single"/>
        </w:rPr>
      </w:pPr>
      <w:r w:rsidRPr="0010086B">
        <w:rPr>
          <w:i/>
          <w:sz w:val="24"/>
          <w:szCs w:val="24"/>
          <w:u w:val="single"/>
        </w:rPr>
        <w:t>HOPWA</w:t>
      </w:r>
    </w:p>
    <w:p w14:paraId="7BBE298A" w14:textId="77777777" w:rsidR="007C520D" w:rsidRPr="0010086B" w:rsidRDefault="007C520D" w:rsidP="00A121EE">
      <w:pPr>
        <w:pStyle w:val="ListParagraph"/>
        <w:numPr>
          <w:ilvl w:val="0"/>
          <w:numId w:val="14"/>
        </w:numPr>
        <w:spacing w:after="0" w:line="240" w:lineRule="auto"/>
        <w:rPr>
          <w:i/>
          <w:sz w:val="24"/>
          <w:szCs w:val="24"/>
        </w:rPr>
      </w:pPr>
      <w:r w:rsidRPr="0010086B">
        <w:rPr>
          <w:i/>
          <w:sz w:val="24"/>
          <w:szCs w:val="24"/>
        </w:rPr>
        <w:t>Short Term Rent, Mortgage and Utilities (STRMU)</w:t>
      </w:r>
    </w:p>
    <w:p w14:paraId="494C8CAB" w14:textId="77777777" w:rsidR="007C520D" w:rsidRPr="0010086B" w:rsidRDefault="007C520D" w:rsidP="00A121EE">
      <w:pPr>
        <w:pStyle w:val="ListParagraph"/>
        <w:numPr>
          <w:ilvl w:val="0"/>
          <w:numId w:val="14"/>
        </w:numPr>
        <w:spacing w:after="0" w:line="240" w:lineRule="auto"/>
        <w:rPr>
          <w:i/>
          <w:sz w:val="24"/>
          <w:szCs w:val="24"/>
        </w:rPr>
      </w:pPr>
      <w:r w:rsidRPr="0010086B">
        <w:rPr>
          <w:i/>
          <w:sz w:val="24"/>
          <w:szCs w:val="24"/>
        </w:rPr>
        <w:t>Monitor TBRA</w:t>
      </w:r>
    </w:p>
    <w:p w14:paraId="18BD4794" w14:textId="77777777" w:rsidR="007C520D" w:rsidRPr="0010086B" w:rsidRDefault="007C520D" w:rsidP="00A121EE">
      <w:pPr>
        <w:pStyle w:val="ListParagraph"/>
        <w:numPr>
          <w:ilvl w:val="0"/>
          <w:numId w:val="14"/>
        </w:numPr>
        <w:spacing w:after="0" w:line="240" w:lineRule="auto"/>
        <w:rPr>
          <w:i/>
          <w:sz w:val="24"/>
          <w:szCs w:val="24"/>
        </w:rPr>
      </w:pPr>
      <w:r w:rsidRPr="0010086B">
        <w:rPr>
          <w:i/>
          <w:sz w:val="24"/>
          <w:szCs w:val="24"/>
        </w:rPr>
        <w:t>Transitional Emergency Housing</w:t>
      </w:r>
    </w:p>
    <w:p w14:paraId="306FA8DF" w14:textId="77777777" w:rsidR="007C520D" w:rsidRPr="0010086B" w:rsidRDefault="007C520D" w:rsidP="00A121EE">
      <w:pPr>
        <w:pStyle w:val="ListParagraph"/>
        <w:numPr>
          <w:ilvl w:val="0"/>
          <w:numId w:val="14"/>
        </w:numPr>
        <w:spacing w:after="0" w:line="240" w:lineRule="auto"/>
        <w:rPr>
          <w:i/>
          <w:sz w:val="24"/>
          <w:szCs w:val="24"/>
        </w:rPr>
      </w:pPr>
      <w:r w:rsidRPr="0010086B">
        <w:rPr>
          <w:i/>
          <w:sz w:val="24"/>
          <w:szCs w:val="24"/>
        </w:rPr>
        <w:t>Housing Coordination</w:t>
      </w:r>
    </w:p>
    <w:p w14:paraId="46AE3E04" w14:textId="77777777" w:rsidR="007C520D" w:rsidRPr="0010086B" w:rsidRDefault="007C520D" w:rsidP="00A121EE">
      <w:pPr>
        <w:pStyle w:val="ListParagraph"/>
        <w:numPr>
          <w:ilvl w:val="0"/>
          <w:numId w:val="14"/>
        </w:numPr>
        <w:spacing w:after="0" w:line="240" w:lineRule="auto"/>
        <w:rPr>
          <w:sz w:val="24"/>
          <w:szCs w:val="24"/>
        </w:rPr>
      </w:pPr>
      <w:r w:rsidRPr="0010086B">
        <w:rPr>
          <w:i/>
          <w:sz w:val="24"/>
          <w:szCs w:val="24"/>
        </w:rPr>
        <w:t xml:space="preserve">Supportive Services include: </w:t>
      </w:r>
      <w:r w:rsidRPr="0010086B">
        <w:rPr>
          <w:sz w:val="24"/>
          <w:szCs w:val="24"/>
        </w:rPr>
        <w:t>Nutritional Supplements, Me</w:t>
      </w:r>
      <w:r>
        <w:rPr>
          <w:sz w:val="24"/>
          <w:szCs w:val="24"/>
        </w:rPr>
        <w:t>ntal Health, Drug/ Alcohol Couns</w:t>
      </w:r>
      <w:r w:rsidRPr="0010086B">
        <w:rPr>
          <w:sz w:val="24"/>
          <w:szCs w:val="24"/>
        </w:rPr>
        <w:t>eling, and Transportation</w:t>
      </w:r>
    </w:p>
    <w:p w14:paraId="258DF27A" w14:textId="77777777" w:rsidR="007C520D" w:rsidRPr="0010086B" w:rsidRDefault="007C520D" w:rsidP="007C520D">
      <w:pPr>
        <w:spacing w:after="0" w:line="240" w:lineRule="auto"/>
        <w:ind w:left="360"/>
        <w:rPr>
          <w:sz w:val="24"/>
          <w:szCs w:val="24"/>
        </w:rPr>
      </w:pPr>
    </w:p>
    <w:p w14:paraId="519BEFB0" w14:textId="77777777" w:rsidR="007C520D" w:rsidRPr="006B530C" w:rsidRDefault="007C520D" w:rsidP="007C520D">
      <w:pPr>
        <w:spacing w:after="0"/>
      </w:pPr>
      <w:r w:rsidRPr="001D0A9C">
        <w:rPr>
          <w:sz w:val="24"/>
          <w:szCs w:val="24"/>
        </w:rPr>
        <w:t xml:space="preserve">The one-year goal for HOPWA Housing programs includes: 150 persons prevented from homelessness, 1,350 persons with HIV/AIDS provided housing, and HIV/AIDS housing operations for 500 households units. </w:t>
      </w:r>
    </w:p>
    <w:p w14:paraId="664703B5" w14:textId="77777777" w:rsidR="007C520D" w:rsidRDefault="007C520D" w:rsidP="007C520D">
      <w:pPr>
        <w:rPr>
          <w:rFonts w:cs="Arial"/>
        </w:rPr>
      </w:pPr>
    </w:p>
    <w:p w14:paraId="4D662F9D" w14:textId="77777777" w:rsidR="007C520D" w:rsidRDefault="007C520D" w:rsidP="007C520D">
      <w:pPr>
        <w:pStyle w:val="Heading2"/>
        <w:pageBreakBefore/>
        <w:rPr>
          <w:rFonts w:ascii="Calibri" w:hAnsi="Calibri"/>
          <w:i w:val="0"/>
        </w:rPr>
        <w:sectPr w:rsidR="007C520D">
          <w:pgSz w:w="15840" w:h="12240" w:orient="landscape" w:code="1"/>
          <w:pgMar w:top="1440" w:right="1440" w:bottom="1440" w:left="1440" w:header="720" w:footer="720" w:gutter="0"/>
          <w:cols w:space="720"/>
          <w:docGrid w:linePitch="360"/>
        </w:sectPr>
      </w:pPr>
    </w:p>
    <w:p w14:paraId="643D7359" w14:textId="77777777" w:rsidR="007C520D" w:rsidRPr="00DF4059" w:rsidRDefault="007C520D" w:rsidP="007C520D">
      <w:pPr>
        <w:pStyle w:val="Heading2"/>
        <w:shd w:val="clear" w:color="auto" w:fill="95B3D7" w:themeFill="accent1" w:themeFillTint="99"/>
        <w:rPr>
          <w:rFonts w:ascii="Calibri" w:hAnsi="Calibri"/>
          <w:i w:val="0"/>
        </w:rPr>
      </w:pPr>
      <w:bookmarkStart w:id="53" w:name="_Toc524603036"/>
      <w:r w:rsidRPr="00DF4059">
        <w:rPr>
          <w:rFonts w:ascii="Calibri" w:hAnsi="Calibri"/>
          <w:i w:val="0"/>
        </w:rPr>
        <w:t>SP-</w:t>
      </w:r>
      <w:r>
        <w:rPr>
          <w:rFonts w:ascii="Calibri" w:hAnsi="Calibri"/>
          <w:i w:val="0"/>
        </w:rPr>
        <w:t>50</w:t>
      </w:r>
      <w:r w:rsidRPr="00DF4059">
        <w:rPr>
          <w:rFonts w:ascii="Calibri" w:hAnsi="Calibri"/>
          <w:i w:val="0"/>
        </w:rPr>
        <w:t xml:space="preserve"> </w:t>
      </w:r>
      <w:r>
        <w:rPr>
          <w:rFonts w:ascii="Calibri" w:hAnsi="Calibri"/>
          <w:i w:val="0"/>
        </w:rPr>
        <w:t>Public Housing Accessibility and Involvement – 91.315(c)</w:t>
      </w:r>
      <w:bookmarkEnd w:id="53"/>
    </w:p>
    <w:p w14:paraId="247F0AF4" w14:textId="77777777" w:rsidR="007C520D" w:rsidRDefault="007C520D" w:rsidP="007C520D">
      <w:pPr>
        <w:rPr>
          <w:b/>
          <w:sz w:val="24"/>
          <w:szCs w:val="24"/>
        </w:rPr>
      </w:pPr>
    </w:p>
    <w:p w14:paraId="38D40284" w14:textId="77777777" w:rsidR="007C520D" w:rsidRDefault="007C520D" w:rsidP="007C520D">
      <w:pPr>
        <w:rPr>
          <w:b/>
          <w:sz w:val="24"/>
          <w:szCs w:val="24"/>
        </w:rPr>
      </w:pPr>
      <w:r>
        <w:rPr>
          <w:b/>
          <w:sz w:val="24"/>
          <w:szCs w:val="24"/>
        </w:rPr>
        <w:t xml:space="preserve">Need to Increase the Number of Accessible Units (if Required by a Section 504 Voluntary Compliance Agreement) </w:t>
      </w:r>
    </w:p>
    <w:p w14:paraId="38714D8E" w14:textId="77777777" w:rsidR="007C520D" w:rsidRPr="006C4B52" w:rsidRDefault="007C520D" w:rsidP="007C520D">
      <w:pPr>
        <w:rPr>
          <w:sz w:val="24"/>
          <w:szCs w:val="24"/>
        </w:rPr>
      </w:pPr>
      <w:r>
        <w:rPr>
          <w:sz w:val="24"/>
          <w:szCs w:val="24"/>
        </w:rPr>
        <w:t>N/A</w:t>
      </w:r>
    </w:p>
    <w:p w14:paraId="6DB924FD" w14:textId="77777777" w:rsidR="007C520D" w:rsidRDefault="007C520D" w:rsidP="007C520D">
      <w:pPr>
        <w:rPr>
          <w:b/>
          <w:sz w:val="24"/>
          <w:szCs w:val="24"/>
        </w:rPr>
      </w:pPr>
      <w:r>
        <w:rPr>
          <w:b/>
          <w:sz w:val="24"/>
          <w:szCs w:val="24"/>
        </w:rPr>
        <w:t>Activities to Increase Resident Involvements</w:t>
      </w:r>
    </w:p>
    <w:p w14:paraId="72CCE708" w14:textId="77777777" w:rsidR="007C520D" w:rsidRPr="006C4B52" w:rsidRDefault="007C520D" w:rsidP="007C520D">
      <w:pPr>
        <w:rPr>
          <w:sz w:val="24"/>
          <w:szCs w:val="24"/>
        </w:rPr>
      </w:pPr>
      <w:r>
        <w:rPr>
          <w:sz w:val="24"/>
          <w:szCs w:val="24"/>
        </w:rPr>
        <w:t>N/A</w:t>
      </w:r>
    </w:p>
    <w:p w14:paraId="39C8181D" w14:textId="77777777" w:rsidR="007C520D" w:rsidRDefault="007C520D" w:rsidP="007C520D">
      <w:pPr>
        <w:rPr>
          <w:rFonts w:cs="Arial"/>
          <w:b/>
          <w:sz w:val="24"/>
          <w:szCs w:val="24"/>
        </w:rPr>
      </w:pPr>
      <w:r>
        <w:rPr>
          <w:rFonts w:cs="Arial"/>
          <w:b/>
          <w:sz w:val="24"/>
          <w:szCs w:val="24"/>
        </w:rPr>
        <w:t>Is the public housing agency designated as troubled under 24 CFR part 902?</w:t>
      </w:r>
    </w:p>
    <w:p w14:paraId="4C51F444" w14:textId="77777777" w:rsidR="007C520D" w:rsidRPr="006C4B52" w:rsidRDefault="007C520D" w:rsidP="007C520D">
      <w:pPr>
        <w:rPr>
          <w:rFonts w:cs="Arial"/>
          <w:sz w:val="24"/>
          <w:szCs w:val="24"/>
        </w:rPr>
      </w:pPr>
      <w:r>
        <w:rPr>
          <w:rFonts w:cs="Arial"/>
          <w:sz w:val="24"/>
          <w:szCs w:val="24"/>
        </w:rPr>
        <w:t>N/A</w:t>
      </w:r>
    </w:p>
    <w:p w14:paraId="7F14A579" w14:textId="77777777" w:rsidR="007C520D" w:rsidRDefault="007C520D" w:rsidP="007C520D">
      <w:pPr>
        <w:rPr>
          <w:b/>
          <w:sz w:val="24"/>
          <w:szCs w:val="24"/>
        </w:rPr>
      </w:pPr>
      <w:r>
        <w:rPr>
          <w:b/>
          <w:sz w:val="24"/>
          <w:szCs w:val="24"/>
        </w:rPr>
        <w:t xml:space="preserve">Plan to remove the ‘troubled’ designation </w:t>
      </w:r>
    </w:p>
    <w:p w14:paraId="561D0BD1" w14:textId="77777777" w:rsidR="007C520D" w:rsidRDefault="007C520D" w:rsidP="007C520D">
      <w:pPr>
        <w:autoSpaceDE w:val="0"/>
        <w:autoSpaceDN w:val="0"/>
        <w:adjustRightInd w:val="0"/>
        <w:spacing w:after="0"/>
        <w:jc w:val="both"/>
        <w:rPr>
          <w:sz w:val="24"/>
          <w:szCs w:val="24"/>
        </w:rPr>
      </w:pPr>
      <w:r w:rsidRPr="00F27E2E">
        <w:rPr>
          <w:sz w:val="24"/>
          <w:szCs w:val="24"/>
        </w:rPr>
        <w:t xml:space="preserve">The State will from time to time provide support and technical assistance to PHAs upon local request. </w:t>
      </w:r>
    </w:p>
    <w:p w14:paraId="335B2A51" w14:textId="77777777" w:rsidR="007C520D" w:rsidRDefault="007C520D" w:rsidP="007C520D">
      <w:pPr>
        <w:autoSpaceDE w:val="0"/>
        <w:autoSpaceDN w:val="0"/>
        <w:adjustRightInd w:val="0"/>
        <w:spacing w:after="0"/>
        <w:jc w:val="both"/>
        <w:rPr>
          <w:sz w:val="24"/>
          <w:szCs w:val="24"/>
        </w:rPr>
      </w:pPr>
    </w:p>
    <w:p w14:paraId="4B7333A7" w14:textId="77777777" w:rsidR="007C520D" w:rsidRPr="00F27E2E" w:rsidRDefault="007C520D" w:rsidP="007C520D">
      <w:pPr>
        <w:pStyle w:val="Body"/>
        <w:jc w:val="both"/>
        <w:rPr>
          <w:sz w:val="24"/>
          <w:szCs w:val="24"/>
        </w:rPr>
      </w:pPr>
      <w:r w:rsidRPr="00F27E2E">
        <w:rPr>
          <w:sz w:val="24"/>
          <w:szCs w:val="24"/>
        </w:rPr>
        <w:t>Specific financial assistance to PHAs under any of the Consolidated Plan formula grant programs will be considered as any other application competing for those funds, unless the administering State agency determines that both cause and authority exist to prioritize such funding under the current Consolidated Plan and the program's guidelines.</w:t>
      </w:r>
    </w:p>
    <w:p w14:paraId="1D91596C" w14:textId="77777777" w:rsidR="007C520D" w:rsidRDefault="007C520D" w:rsidP="007C520D">
      <w:pPr>
        <w:rPr>
          <w:b/>
          <w:sz w:val="24"/>
          <w:szCs w:val="24"/>
        </w:rPr>
      </w:pPr>
    </w:p>
    <w:p w14:paraId="6C205036" w14:textId="77777777" w:rsidR="007C520D" w:rsidRDefault="007C520D" w:rsidP="007C520D">
      <w:pPr>
        <w:rPr>
          <w:b/>
          <w:sz w:val="24"/>
          <w:szCs w:val="24"/>
        </w:rPr>
      </w:pPr>
    </w:p>
    <w:p w14:paraId="2EB20880" w14:textId="77777777" w:rsidR="007C520D" w:rsidRDefault="007C520D" w:rsidP="007C520D">
      <w:pPr>
        <w:rPr>
          <w:b/>
          <w:sz w:val="24"/>
          <w:szCs w:val="24"/>
        </w:rPr>
      </w:pPr>
    </w:p>
    <w:p w14:paraId="7EFCEB17" w14:textId="77777777" w:rsidR="007C520D" w:rsidRDefault="007C520D" w:rsidP="007C520D">
      <w:pPr>
        <w:rPr>
          <w:b/>
          <w:sz w:val="24"/>
          <w:szCs w:val="24"/>
        </w:rPr>
      </w:pPr>
    </w:p>
    <w:p w14:paraId="47D3D454" w14:textId="77777777" w:rsidR="007C520D" w:rsidRDefault="007C520D" w:rsidP="007C520D">
      <w:pPr>
        <w:rPr>
          <w:b/>
          <w:sz w:val="24"/>
          <w:szCs w:val="24"/>
        </w:rPr>
      </w:pPr>
    </w:p>
    <w:p w14:paraId="248587D7" w14:textId="77777777" w:rsidR="007C520D" w:rsidRDefault="007C520D" w:rsidP="007C520D">
      <w:pPr>
        <w:rPr>
          <w:b/>
          <w:sz w:val="24"/>
          <w:szCs w:val="24"/>
        </w:rPr>
      </w:pPr>
    </w:p>
    <w:p w14:paraId="31B8F71B" w14:textId="77777777" w:rsidR="007C520D" w:rsidRDefault="007C520D" w:rsidP="007C520D">
      <w:pPr>
        <w:rPr>
          <w:b/>
          <w:sz w:val="24"/>
          <w:szCs w:val="24"/>
        </w:rPr>
      </w:pPr>
    </w:p>
    <w:p w14:paraId="1FECA2E6" w14:textId="77777777" w:rsidR="007C520D" w:rsidRDefault="007C520D" w:rsidP="007C520D">
      <w:pPr>
        <w:rPr>
          <w:b/>
          <w:sz w:val="24"/>
          <w:szCs w:val="24"/>
        </w:rPr>
      </w:pPr>
    </w:p>
    <w:p w14:paraId="54320E19" w14:textId="77777777" w:rsidR="007C520D" w:rsidRDefault="007C520D" w:rsidP="007C520D">
      <w:pPr>
        <w:rPr>
          <w:b/>
          <w:sz w:val="24"/>
          <w:szCs w:val="24"/>
        </w:rPr>
      </w:pPr>
    </w:p>
    <w:p w14:paraId="1F53A5EF" w14:textId="77777777" w:rsidR="007C520D" w:rsidRDefault="007C520D" w:rsidP="007C520D">
      <w:pPr>
        <w:rPr>
          <w:b/>
          <w:sz w:val="24"/>
          <w:szCs w:val="24"/>
        </w:rPr>
      </w:pPr>
    </w:p>
    <w:p w14:paraId="671174EC" w14:textId="77777777" w:rsidR="007C520D" w:rsidRPr="00DF4059" w:rsidRDefault="007C520D" w:rsidP="007C520D">
      <w:pPr>
        <w:pStyle w:val="Heading2"/>
        <w:shd w:val="clear" w:color="auto" w:fill="95B3D7" w:themeFill="accent1" w:themeFillTint="99"/>
        <w:rPr>
          <w:rFonts w:ascii="Calibri" w:hAnsi="Calibri"/>
          <w:i w:val="0"/>
        </w:rPr>
      </w:pPr>
      <w:bookmarkStart w:id="54" w:name="_Toc524603037"/>
      <w:r w:rsidRPr="00DF4059">
        <w:rPr>
          <w:rFonts w:ascii="Calibri" w:hAnsi="Calibri"/>
          <w:i w:val="0"/>
        </w:rPr>
        <w:t>SP-</w:t>
      </w:r>
      <w:r>
        <w:rPr>
          <w:rFonts w:ascii="Calibri" w:hAnsi="Calibri"/>
          <w:i w:val="0"/>
        </w:rPr>
        <w:t>55</w:t>
      </w:r>
      <w:r w:rsidRPr="00DF4059">
        <w:rPr>
          <w:rFonts w:ascii="Calibri" w:hAnsi="Calibri"/>
          <w:i w:val="0"/>
        </w:rPr>
        <w:t xml:space="preserve"> </w:t>
      </w:r>
      <w:r>
        <w:rPr>
          <w:rFonts w:ascii="Calibri" w:hAnsi="Calibri"/>
          <w:i w:val="0"/>
        </w:rPr>
        <w:t>Barriers to affordable housing – 91.315(h)</w:t>
      </w:r>
      <w:bookmarkEnd w:id="54"/>
    </w:p>
    <w:p w14:paraId="23BF7D4B" w14:textId="77777777" w:rsidR="007C520D" w:rsidRDefault="007C520D" w:rsidP="007C520D">
      <w:pPr>
        <w:rPr>
          <w:b/>
          <w:sz w:val="24"/>
          <w:szCs w:val="24"/>
        </w:rPr>
      </w:pPr>
    </w:p>
    <w:p w14:paraId="04366DE2" w14:textId="77777777" w:rsidR="007C520D" w:rsidRDefault="007C520D" w:rsidP="007C520D">
      <w:pPr>
        <w:rPr>
          <w:b/>
          <w:sz w:val="24"/>
          <w:szCs w:val="24"/>
        </w:rPr>
      </w:pPr>
      <w:r>
        <w:rPr>
          <w:b/>
          <w:sz w:val="24"/>
          <w:szCs w:val="24"/>
        </w:rPr>
        <w:t>Barriers to Affordable Housing</w:t>
      </w:r>
    </w:p>
    <w:p w14:paraId="37221D17" w14:textId="77777777" w:rsidR="007C520D" w:rsidRDefault="007C520D" w:rsidP="007C520D">
      <w:pPr>
        <w:rPr>
          <w:sz w:val="24"/>
          <w:szCs w:val="24"/>
        </w:rPr>
      </w:pPr>
      <w:r w:rsidRPr="004C5F00">
        <w:rPr>
          <w:sz w:val="24"/>
          <w:szCs w:val="24"/>
        </w:rPr>
        <w:t>The following are strategies for removing or ameliorating any negative effects of public policies that serve as barriers to affordable housing:</w:t>
      </w:r>
    </w:p>
    <w:p w14:paraId="32C2D8B8" w14:textId="77777777" w:rsidR="007C520D" w:rsidRPr="00FD4419" w:rsidRDefault="007C520D" w:rsidP="007C520D">
      <w:pPr>
        <w:autoSpaceDE w:val="0"/>
        <w:autoSpaceDN w:val="0"/>
        <w:adjustRightInd w:val="0"/>
        <w:spacing w:after="0" w:line="240" w:lineRule="auto"/>
        <w:rPr>
          <w:rFonts w:asciiTheme="minorHAnsi" w:hAnsiTheme="minorHAnsi" w:cs="Calibri-Bold"/>
          <w:b/>
          <w:bCs/>
          <w:sz w:val="24"/>
          <w:szCs w:val="24"/>
          <w:lang w:eastAsia="ko-KR"/>
        </w:rPr>
      </w:pPr>
      <w:r w:rsidRPr="00FD4419">
        <w:rPr>
          <w:rFonts w:asciiTheme="minorHAnsi" w:hAnsiTheme="minorHAnsi" w:cs="Calibri-Bold"/>
          <w:b/>
          <w:bCs/>
          <w:sz w:val="24"/>
          <w:szCs w:val="24"/>
          <w:lang w:eastAsia="ko-KR"/>
        </w:rPr>
        <w:t>Fair Housing Action Plan</w:t>
      </w:r>
    </w:p>
    <w:p w14:paraId="7800CAC1" w14:textId="77777777" w:rsidR="007C520D" w:rsidRDefault="007C520D" w:rsidP="007C520D">
      <w:pPr>
        <w:autoSpaceDE w:val="0"/>
        <w:autoSpaceDN w:val="0"/>
        <w:adjustRightInd w:val="0"/>
        <w:spacing w:after="0" w:line="240" w:lineRule="auto"/>
        <w:rPr>
          <w:rFonts w:ascii="Calibri-Bold" w:hAnsi="Calibri-Bold" w:cs="Calibri-Bold"/>
          <w:b/>
          <w:bCs/>
          <w:sz w:val="24"/>
          <w:szCs w:val="24"/>
          <w:lang w:eastAsia="ko-KR"/>
        </w:rPr>
      </w:pPr>
    </w:p>
    <w:p w14:paraId="516F4BFE" w14:textId="77777777" w:rsidR="007C520D" w:rsidRPr="00FD4419" w:rsidRDefault="007C520D" w:rsidP="007C520D">
      <w:pPr>
        <w:autoSpaceDE w:val="0"/>
        <w:autoSpaceDN w:val="0"/>
        <w:adjustRightInd w:val="0"/>
        <w:spacing w:after="0"/>
        <w:rPr>
          <w:sz w:val="24"/>
          <w:szCs w:val="24"/>
        </w:rPr>
      </w:pPr>
      <w:r w:rsidRPr="00FD4419">
        <w:rPr>
          <w:sz w:val="24"/>
          <w:szCs w:val="24"/>
        </w:rPr>
        <w:t xml:space="preserve">The State’s current </w:t>
      </w:r>
      <w:r>
        <w:rPr>
          <w:sz w:val="24"/>
          <w:szCs w:val="24"/>
        </w:rPr>
        <w:t>F</w:t>
      </w:r>
      <w:r w:rsidRPr="00FD4419">
        <w:rPr>
          <w:sz w:val="24"/>
          <w:szCs w:val="24"/>
        </w:rPr>
        <w:t xml:space="preserve">air </w:t>
      </w:r>
      <w:r>
        <w:rPr>
          <w:sz w:val="24"/>
          <w:szCs w:val="24"/>
        </w:rPr>
        <w:t>H</w:t>
      </w:r>
      <w:r w:rsidRPr="00FD4419">
        <w:rPr>
          <w:sz w:val="24"/>
          <w:szCs w:val="24"/>
        </w:rPr>
        <w:t>ousing Action Plan emphasizes activities that will increase knowledge</w:t>
      </w:r>
    </w:p>
    <w:p w14:paraId="35C32F1C" w14:textId="77777777" w:rsidR="007C520D" w:rsidRPr="00FD4419" w:rsidRDefault="007C520D" w:rsidP="007C520D">
      <w:pPr>
        <w:autoSpaceDE w:val="0"/>
        <w:autoSpaceDN w:val="0"/>
        <w:adjustRightInd w:val="0"/>
        <w:spacing w:after="0"/>
        <w:rPr>
          <w:sz w:val="24"/>
          <w:szCs w:val="24"/>
        </w:rPr>
      </w:pPr>
      <w:r w:rsidRPr="00FD4419">
        <w:rPr>
          <w:sz w:val="24"/>
          <w:szCs w:val="24"/>
        </w:rPr>
        <w:t>of fair housing rights and reporting mechanisms among the general public, key service</w:t>
      </w:r>
    </w:p>
    <w:p w14:paraId="1BF304DD" w14:textId="77777777" w:rsidR="007C520D" w:rsidRPr="00FD4419" w:rsidRDefault="007C520D" w:rsidP="007C520D">
      <w:pPr>
        <w:autoSpaceDE w:val="0"/>
        <w:autoSpaceDN w:val="0"/>
        <w:adjustRightInd w:val="0"/>
        <w:spacing w:after="0"/>
        <w:rPr>
          <w:sz w:val="24"/>
          <w:szCs w:val="24"/>
        </w:rPr>
      </w:pPr>
      <w:r w:rsidRPr="00FD4419">
        <w:rPr>
          <w:sz w:val="24"/>
          <w:szCs w:val="24"/>
        </w:rPr>
        <w:t>providers and policy makers. These include informing housing providers and consumers about</w:t>
      </w:r>
    </w:p>
    <w:p w14:paraId="550E54E5" w14:textId="77777777" w:rsidR="007C520D" w:rsidRPr="00FD4419" w:rsidRDefault="007C520D" w:rsidP="007C520D">
      <w:pPr>
        <w:autoSpaceDE w:val="0"/>
        <w:autoSpaceDN w:val="0"/>
        <w:adjustRightInd w:val="0"/>
        <w:spacing w:after="0"/>
        <w:rPr>
          <w:sz w:val="24"/>
          <w:szCs w:val="24"/>
        </w:rPr>
      </w:pPr>
      <w:r w:rsidRPr="00FD4419">
        <w:rPr>
          <w:sz w:val="24"/>
          <w:szCs w:val="24"/>
        </w:rPr>
        <w:t>fair housing rights and responsibilities, mandating State funded housing providers to promote</w:t>
      </w:r>
    </w:p>
    <w:p w14:paraId="21DBC164" w14:textId="77777777" w:rsidR="007C520D" w:rsidRPr="00FD4419" w:rsidRDefault="007C520D" w:rsidP="007C520D">
      <w:pPr>
        <w:autoSpaceDE w:val="0"/>
        <w:autoSpaceDN w:val="0"/>
        <w:adjustRightInd w:val="0"/>
        <w:spacing w:after="0"/>
        <w:rPr>
          <w:sz w:val="24"/>
          <w:szCs w:val="24"/>
        </w:rPr>
      </w:pPr>
      <w:r w:rsidRPr="00FD4419">
        <w:rPr>
          <w:sz w:val="24"/>
          <w:szCs w:val="24"/>
        </w:rPr>
        <w:t>fair housing choice and enlisting decision makers to advance the cause of fair housing.</w:t>
      </w:r>
    </w:p>
    <w:p w14:paraId="0696D7E6" w14:textId="77777777" w:rsidR="007C520D" w:rsidRPr="00FD4419" w:rsidRDefault="007C520D" w:rsidP="007C520D">
      <w:pPr>
        <w:autoSpaceDE w:val="0"/>
        <w:autoSpaceDN w:val="0"/>
        <w:adjustRightInd w:val="0"/>
        <w:spacing w:after="0"/>
        <w:rPr>
          <w:sz w:val="24"/>
          <w:szCs w:val="24"/>
        </w:rPr>
      </w:pPr>
    </w:p>
    <w:p w14:paraId="63E5395E" w14:textId="77777777" w:rsidR="007C520D" w:rsidRPr="00FD4419" w:rsidRDefault="007C520D" w:rsidP="007C520D">
      <w:pPr>
        <w:autoSpaceDE w:val="0"/>
        <w:autoSpaceDN w:val="0"/>
        <w:adjustRightInd w:val="0"/>
        <w:spacing w:after="0"/>
        <w:rPr>
          <w:sz w:val="24"/>
          <w:szCs w:val="24"/>
        </w:rPr>
      </w:pPr>
      <w:r w:rsidRPr="00FD4419">
        <w:rPr>
          <w:sz w:val="24"/>
          <w:szCs w:val="24"/>
        </w:rPr>
        <w:t xml:space="preserve">For the most part, these actions address the impediments identified in </w:t>
      </w:r>
      <w:r>
        <w:rPr>
          <w:sz w:val="24"/>
          <w:szCs w:val="24"/>
        </w:rPr>
        <w:t>the state’s A</w:t>
      </w:r>
      <w:r w:rsidRPr="00FD4419">
        <w:rPr>
          <w:sz w:val="24"/>
          <w:szCs w:val="24"/>
        </w:rPr>
        <w:t>nalysis</w:t>
      </w:r>
      <w:r>
        <w:rPr>
          <w:sz w:val="24"/>
          <w:szCs w:val="24"/>
        </w:rPr>
        <w:t xml:space="preserve"> of Impediments to Fair Housing Choice (AI)</w:t>
      </w:r>
      <w:r w:rsidRPr="00FD4419">
        <w:rPr>
          <w:sz w:val="24"/>
          <w:szCs w:val="24"/>
        </w:rPr>
        <w:t>, including a</w:t>
      </w:r>
      <w:r>
        <w:rPr>
          <w:sz w:val="24"/>
          <w:szCs w:val="24"/>
        </w:rPr>
        <w:t xml:space="preserve"> </w:t>
      </w:r>
      <w:r w:rsidRPr="00FD4419">
        <w:rPr>
          <w:sz w:val="24"/>
          <w:szCs w:val="24"/>
        </w:rPr>
        <w:t>lack of knowledge about fair housing among residents, service providers and policy makers.</w:t>
      </w:r>
      <w:r>
        <w:rPr>
          <w:sz w:val="24"/>
          <w:szCs w:val="24"/>
        </w:rPr>
        <w:t xml:space="preserve">  </w:t>
      </w:r>
      <w:r w:rsidRPr="00FD4419">
        <w:rPr>
          <w:sz w:val="24"/>
          <w:szCs w:val="24"/>
        </w:rPr>
        <w:t>However, there is some disagreement about the best method for bridging the information gap</w:t>
      </w:r>
      <w:r>
        <w:rPr>
          <w:sz w:val="24"/>
          <w:szCs w:val="24"/>
        </w:rPr>
        <w:t xml:space="preserve"> </w:t>
      </w:r>
      <w:r w:rsidRPr="00FD4419">
        <w:rPr>
          <w:sz w:val="24"/>
          <w:szCs w:val="24"/>
        </w:rPr>
        <w:t>in fair housing. Some focus group and public forum participants felt that high profile</w:t>
      </w:r>
      <w:r>
        <w:rPr>
          <w:sz w:val="24"/>
          <w:szCs w:val="24"/>
        </w:rPr>
        <w:t xml:space="preserve"> </w:t>
      </w:r>
      <w:r w:rsidRPr="00FD4419">
        <w:rPr>
          <w:sz w:val="24"/>
          <w:szCs w:val="24"/>
        </w:rPr>
        <w:t>enforcement of fair housing rights would</w:t>
      </w:r>
      <w:r>
        <w:rPr>
          <w:sz w:val="24"/>
          <w:szCs w:val="24"/>
        </w:rPr>
        <w:t xml:space="preserve"> be the most effective public</w:t>
      </w:r>
      <w:r w:rsidRPr="00FD4419">
        <w:rPr>
          <w:sz w:val="24"/>
          <w:szCs w:val="24"/>
        </w:rPr>
        <w:t xml:space="preserve"> strategy.</w:t>
      </w:r>
    </w:p>
    <w:p w14:paraId="6BD6A86F" w14:textId="77777777" w:rsidR="007C520D" w:rsidRPr="00FD4419" w:rsidRDefault="007C520D" w:rsidP="007C520D">
      <w:pPr>
        <w:autoSpaceDE w:val="0"/>
        <w:autoSpaceDN w:val="0"/>
        <w:adjustRightInd w:val="0"/>
        <w:spacing w:after="0"/>
        <w:rPr>
          <w:sz w:val="24"/>
          <w:szCs w:val="24"/>
        </w:rPr>
      </w:pPr>
    </w:p>
    <w:p w14:paraId="250889A3" w14:textId="77777777" w:rsidR="007C520D" w:rsidRPr="00FD4419" w:rsidRDefault="007C520D" w:rsidP="007C520D">
      <w:pPr>
        <w:autoSpaceDE w:val="0"/>
        <w:autoSpaceDN w:val="0"/>
        <w:adjustRightInd w:val="0"/>
        <w:spacing w:after="0"/>
        <w:rPr>
          <w:sz w:val="24"/>
          <w:szCs w:val="24"/>
        </w:rPr>
      </w:pPr>
      <w:r w:rsidRPr="00FD4419">
        <w:rPr>
          <w:sz w:val="24"/>
          <w:szCs w:val="24"/>
        </w:rPr>
        <w:t>Regardless of the method chosen to publicize fair housing rights, enforcement is required to</w:t>
      </w:r>
    </w:p>
    <w:p w14:paraId="5394E77D" w14:textId="77777777" w:rsidR="007C520D" w:rsidRPr="00FD4419" w:rsidRDefault="007C520D" w:rsidP="007C520D">
      <w:pPr>
        <w:autoSpaceDE w:val="0"/>
        <w:autoSpaceDN w:val="0"/>
        <w:adjustRightInd w:val="0"/>
        <w:spacing w:after="0"/>
        <w:rPr>
          <w:sz w:val="24"/>
          <w:szCs w:val="24"/>
        </w:rPr>
      </w:pPr>
      <w:r w:rsidRPr="00FD4419">
        <w:rPr>
          <w:sz w:val="24"/>
          <w:szCs w:val="24"/>
        </w:rPr>
        <w:t>protect a number of groups. Persons with disabilities and minorities, particularly African</w:t>
      </w:r>
    </w:p>
    <w:p w14:paraId="128185DF" w14:textId="77777777" w:rsidR="007C520D" w:rsidRPr="00FD4419" w:rsidRDefault="007C520D" w:rsidP="007C520D">
      <w:pPr>
        <w:autoSpaceDE w:val="0"/>
        <w:autoSpaceDN w:val="0"/>
        <w:adjustRightInd w:val="0"/>
        <w:spacing w:after="0"/>
        <w:rPr>
          <w:sz w:val="24"/>
          <w:szCs w:val="24"/>
        </w:rPr>
      </w:pPr>
      <w:r w:rsidRPr="00FD4419">
        <w:rPr>
          <w:sz w:val="24"/>
          <w:szCs w:val="24"/>
        </w:rPr>
        <w:t>Americans in urban areas and large Hispanic families in Southwest Kansas, were identified as</w:t>
      </w:r>
    </w:p>
    <w:p w14:paraId="0DF97F3A" w14:textId="77777777" w:rsidR="007C520D" w:rsidRPr="00FD4419" w:rsidRDefault="007C520D" w:rsidP="007C520D">
      <w:pPr>
        <w:autoSpaceDE w:val="0"/>
        <w:autoSpaceDN w:val="0"/>
        <w:adjustRightInd w:val="0"/>
        <w:spacing w:after="0"/>
        <w:rPr>
          <w:sz w:val="24"/>
          <w:szCs w:val="24"/>
        </w:rPr>
      </w:pPr>
      <w:r w:rsidRPr="00FD4419">
        <w:rPr>
          <w:sz w:val="24"/>
          <w:szCs w:val="24"/>
        </w:rPr>
        <w:t>facing more severe fair housing challenges than other households. In addition, predatory</w:t>
      </w:r>
    </w:p>
    <w:p w14:paraId="379284ED" w14:textId="77777777" w:rsidR="007C520D" w:rsidRDefault="007C520D" w:rsidP="007C520D">
      <w:pPr>
        <w:autoSpaceDE w:val="0"/>
        <w:autoSpaceDN w:val="0"/>
        <w:adjustRightInd w:val="0"/>
        <w:spacing w:after="0"/>
        <w:rPr>
          <w:sz w:val="24"/>
          <w:szCs w:val="24"/>
        </w:rPr>
      </w:pPr>
      <w:r w:rsidRPr="00FD4419">
        <w:rPr>
          <w:sz w:val="24"/>
          <w:szCs w:val="24"/>
        </w:rPr>
        <w:t xml:space="preserve">lending was a concern. </w:t>
      </w:r>
    </w:p>
    <w:p w14:paraId="0B023C10" w14:textId="77777777" w:rsidR="007C520D" w:rsidRDefault="007C520D" w:rsidP="007C520D">
      <w:pPr>
        <w:autoSpaceDE w:val="0"/>
        <w:autoSpaceDN w:val="0"/>
        <w:adjustRightInd w:val="0"/>
        <w:spacing w:after="0"/>
        <w:rPr>
          <w:sz w:val="24"/>
          <w:szCs w:val="24"/>
        </w:rPr>
      </w:pPr>
    </w:p>
    <w:p w14:paraId="6FC6DB9F" w14:textId="77777777" w:rsidR="007C520D" w:rsidRPr="00FD4419" w:rsidRDefault="007C520D" w:rsidP="007C520D">
      <w:pPr>
        <w:autoSpaceDE w:val="0"/>
        <w:autoSpaceDN w:val="0"/>
        <w:adjustRightInd w:val="0"/>
        <w:spacing w:after="0" w:line="240" w:lineRule="auto"/>
        <w:rPr>
          <w:rFonts w:asciiTheme="minorHAnsi" w:hAnsiTheme="minorHAnsi" w:cs="Calibri-Bold"/>
          <w:b/>
          <w:bCs/>
          <w:sz w:val="24"/>
          <w:szCs w:val="24"/>
          <w:lang w:eastAsia="ko-KR"/>
        </w:rPr>
      </w:pPr>
      <w:r w:rsidRPr="00FD4419">
        <w:rPr>
          <w:rFonts w:asciiTheme="minorHAnsi" w:hAnsiTheme="minorHAnsi" w:cs="Calibri-Bold"/>
          <w:b/>
          <w:bCs/>
          <w:sz w:val="24"/>
          <w:szCs w:val="24"/>
          <w:lang w:eastAsia="ko-KR"/>
        </w:rPr>
        <w:t xml:space="preserve">Fair Housing </w:t>
      </w:r>
    </w:p>
    <w:p w14:paraId="3AE44A3D" w14:textId="77777777" w:rsidR="007C520D" w:rsidRPr="00FD4419" w:rsidRDefault="007C520D" w:rsidP="007C520D">
      <w:pPr>
        <w:autoSpaceDE w:val="0"/>
        <w:autoSpaceDN w:val="0"/>
        <w:adjustRightInd w:val="0"/>
        <w:spacing w:after="0" w:line="240" w:lineRule="auto"/>
        <w:rPr>
          <w:rFonts w:ascii="Times New Roman" w:hAnsi="Times New Roman"/>
          <w:color w:val="000000"/>
          <w:sz w:val="23"/>
          <w:szCs w:val="23"/>
          <w:lang w:eastAsia="ko-KR"/>
        </w:rPr>
      </w:pPr>
    </w:p>
    <w:p w14:paraId="6300DA27" w14:textId="77777777" w:rsidR="007C520D" w:rsidRPr="00FD4419" w:rsidRDefault="007C520D" w:rsidP="007C520D">
      <w:pPr>
        <w:autoSpaceDE w:val="0"/>
        <w:autoSpaceDN w:val="0"/>
        <w:adjustRightInd w:val="0"/>
        <w:spacing w:after="0"/>
        <w:rPr>
          <w:sz w:val="24"/>
          <w:szCs w:val="24"/>
        </w:rPr>
      </w:pPr>
      <w:r w:rsidRPr="00FD4419">
        <w:rPr>
          <w:sz w:val="24"/>
          <w:szCs w:val="24"/>
        </w:rPr>
        <w:t>Kansas Housing Resources Corporation</w:t>
      </w:r>
      <w:r>
        <w:rPr>
          <w:sz w:val="24"/>
          <w:szCs w:val="24"/>
        </w:rPr>
        <w:t xml:space="preserve"> (KHRC)</w:t>
      </w:r>
      <w:r w:rsidRPr="00FD4419">
        <w:rPr>
          <w:sz w:val="24"/>
          <w:szCs w:val="24"/>
        </w:rPr>
        <w:t xml:space="preserve"> coordinates and chairs the Kansas Fair Housing Taskforce. The Taskforce seeks to inform housing providers and consumers about fair housing rights and responsibilities, encourage State-funded housing providers to promote fair housing choice, and enlist decision-makers to advance the cause of fair housing. </w:t>
      </w:r>
    </w:p>
    <w:p w14:paraId="32BDFBC3" w14:textId="77777777" w:rsidR="007C520D" w:rsidRPr="00FD4419" w:rsidRDefault="007C520D" w:rsidP="007C520D">
      <w:pPr>
        <w:autoSpaceDE w:val="0"/>
        <w:autoSpaceDN w:val="0"/>
        <w:adjustRightInd w:val="0"/>
        <w:spacing w:after="0"/>
        <w:rPr>
          <w:sz w:val="24"/>
          <w:szCs w:val="24"/>
        </w:rPr>
      </w:pPr>
    </w:p>
    <w:p w14:paraId="3D702967" w14:textId="77777777" w:rsidR="007C520D" w:rsidRDefault="007C520D" w:rsidP="007C520D">
      <w:pPr>
        <w:autoSpaceDE w:val="0"/>
        <w:autoSpaceDN w:val="0"/>
        <w:adjustRightInd w:val="0"/>
        <w:spacing w:after="0"/>
        <w:rPr>
          <w:sz w:val="24"/>
          <w:szCs w:val="24"/>
        </w:rPr>
      </w:pPr>
      <w:r w:rsidRPr="00FD4419">
        <w:rPr>
          <w:sz w:val="24"/>
          <w:szCs w:val="24"/>
        </w:rPr>
        <w:t>This helps all Kansans to exercise</w:t>
      </w:r>
      <w:r>
        <w:rPr>
          <w:sz w:val="24"/>
          <w:szCs w:val="24"/>
        </w:rPr>
        <w:t xml:space="preserve"> the right to housing of choice</w:t>
      </w:r>
      <w:r w:rsidRPr="00FD4419">
        <w:rPr>
          <w:sz w:val="24"/>
          <w:szCs w:val="24"/>
        </w:rPr>
        <w:t xml:space="preserve"> and to raise a family or own a home in dignity and without fear of discrimination. Apartment dwellers and homeowners, property managers, real estate agents, interest groups, and individuals all benefit from the educational information and training workshops offered.</w:t>
      </w:r>
      <w:r>
        <w:rPr>
          <w:sz w:val="24"/>
          <w:szCs w:val="24"/>
        </w:rPr>
        <w:br w:type="page"/>
      </w:r>
    </w:p>
    <w:p w14:paraId="12F12BCA" w14:textId="4B29E39C" w:rsidR="007C520D" w:rsidRPr="00B9410C" w:rsidRDefault="007C520D" w:rsidP="007C520D">
      <w:pPr>
        <w:autoSpaceDE w:val="0"/>
        <w:autoSpaceDN w:val="0"/>
        <w:adjustRightInd w:val="0"/>
        <w:spacing w:after="0"/>
        <w:rPr>
          <w:sz w:val="24"/>
          <w:szCs w:val="24"/>
        </w:rPr>
      </w:pPr>
      <w:r w:rsidRPr="00B9410C">
        <w:rPr>
          <w:sz w:val="24"/>
          <w:szCs w:val="24"/>
        </w:rPr>
        <w:t>The Taskforce consists of representatives from Commerce, KHRC, KDHE and representatives from fair housing organiza</w:t>
      </w:r>
      <w:r>
        <w:rPr>
          <w:sz w:val="24"/>
          <w:szCs w:val="24"/>
        </w:rPr>
        <w:t xml:space="preserve">tions across the </w:t>
      </w:r>
      <w:r w:rsidR="00556755">
        <w:rPr>
          <w:sz w:val="24"/>
          <w:szCs w:val="24"/>
        </w:rPr>
        <w:t>state</w:t>
      </w:r>
      <w:r w:rsidRPr="00B9410C">
        <w:rPr>
          <w:sz w:val="24"/>
          <w:szCs w:val="24"/>
        </w:rPr>
        <w:t xml:space="preserve">. The team generally meets on a quarterly basis to coordinate activities that will further fair housing choice in Kansas. </w:t>
      </w:r>
    </w:p>
    <w:p w14:paraId="49298FEA" w14:textId="77777777" w:rsidR="007C520D" w:rsidRDefault="007C520D" w:rsidP="007C520D">
      <w:pPr>
        <w:autoSpaceDE w:val="0"/>
        <w:autoSpaceDN w:val="0"/>
        <w:adjustRightInd w:val="0"/>
        <w:spacing w:after="0"/>
        <w:rPr>
          <w:sz w:val="24"/>
          <w:szCs w:val="24"/>
        </w:rPr>
      </w:pPr>
    </w:p>
    <w:p w14:paraId="5A82F24D" w14:textId="77777777" w:rsidR="007C520D" w:rsidRPr="00B9410C" w:rsidRDefault="007C520D" w:rsidP="007C520D">
      <w:pPr>
        <w:autoSpaceDE w:val="0"/>
        <w:autoSpaceDN w:val="0"/>
        <w:adjustRightInd w:val="0"/>
        <w:spacing w:after="0"/>
        <w:rPr>
          <w:sz w:val="24"/>
          <w:szCs w:val="24"/>
        </w:rPr>
      </w:pPr>
      <w:r w:rsidRPr="00B9410C">
        <w:rPr>
          <w:sz w:val="24"/>
          <w:szCs w:val="24"/>
        </w:rPr>
        <w:t xml:space="preserve">The activities of the Fair Housing Taskforce and its partners are split between those in which the Taskforce has a direct role, an indirect role, and a collaborative role. </w:t>
      </w:r>
    </w:p>
    <w:p w14:paraId="6C965C32" w14:textId="77777777" w:rsidR="007C520D" w:rsidRDefault="007C520D" w:rsidP="007C520D">
      <w:pPr>
        <w:autoSpaceDE w:val="0"/>
        <w:autoSpaceDN w:val="0"/>
        <w:adjustRightInd w:val="0"/>
        <w:spacing w:after="0" w:line="240" w:lineRule="auto"/>
        <w:rPr>
          <w:rFonts w:ascii="Times New Roman" w:hAnsi="Times New Roman"/>
          <w:color w:val="000000"/>
          <w:sz w:val="23"/>
          <w:szCs w:val="23"/>
          <w:lang w:eastAsia="ko-KR"/>
        </w:rPr>
      </w:pPr>
    </w:p>
    <w:p w14:paraId="5F5BDD67" w14:textId="77777777" w:rsidR="007C520D" w:rsidRPr="00B9410C" w:rsidRDefault="007C520D" w:rsidP="007C520D">
      <w:pPr>
        <w:autoSpaceDE w:val="0"/>
        <w:autoSpaceDN w:val="0"/>
        <w:adjustRightInd w:val="0"/>
        <w:spacing w:after="0" w:line="240" w:lineRule="auto"/>
        <w:rPr>
          <w:sz w:val="24"/>
          <w:szCs w:val="24"/>
        </w:rPr>
      </w:pPr>
      <w:r w:rsidRPr="00B9410C">
        <w:rPr>
          <w:sz w:val="24"/>
          <w:szCs w:val="24"/>
        </w:rPr>
        <w:t xml:space="preserve">Direct Role: </w:t>
      </w:r>
    </w:p>
    <w:p w14:paraId="6249A057" w14:textId="77777777" w:rsidR="007C520D" w:rsidRPr="00B9410C" w:rsidRDefault="007C520D" w:rsidP="00A121EE">
      <w:pPr>
        <w:pStyle w:val="Body"/>
        <w:numPr>
          <w:ilvl w:val="0"/>
          <w:numId w:val="7"/>
        </w:numPr>
        <w:rPr>
          <w:sz w:val="24"/>
          <w:szCs w:val="24"/>
        </w:rPr>
      </w:pPr>
      <w:r w:rsidRPr="00B9410C">
        <w:rPr>
          <w:sz w:val="24"/>
          <w:szCs w:val="24"/>
        </w:rPr>
        <w:t xml:space="preserve">Post the fair housing logo and message on agency websites. Include the Governor’s Proclamation, Impediments to Fair Housing, Action Plan, and Fair Housing Team. </w:t>
      </w:r>
    </w:p>
    <w:p w14:paraId="3D992756" w14:textId="77777777" w:rsidR="007C520D" w:rsidRPr="00B9410C" w:rsidRDefault="007C520D" w:rsidP="00A121EE">
      <w:pPr>
        <w:pStyle w:val="Body"/>
        <w:numPr>
          <w:ilvl w:val="0"/>
          <w:numId w:val="7"/>
        </w:numPr>
        <w:rPr>
          <w:sz w:val="24"/>
          <w:szCs w:val="24"/>
        </w:rPr>
      </w:pPr>
      <w:r w:rsidRPr="00B9410C">
        <w:rPr>
          <w:sz w:val="24"/>
          <w:szCs w:val="24"/>
        </w:rPr>
        <w:t xml:space="preserve">Adopt architectural standards that promote accessible, adaptable, and universal design of housing. </w:t>
      </w:r>
      <w:r>
        <w:rPr>
          <w:sz w:val="24"/>
          <w:szCs w:val="24"/>
        </w:rPr>
        <w:t>Encourage</w:t>
      </w:r>
      <w:r w:rsidRPr="00B9410C">
        <w:rPr>
          <w:sz w:val="24"/>
          <w:szCs w:val="24"/>
        </w:rPr>
        <w:t xml:space="preserve"> architects, builders, and developers to apply these standards to new construction Housing Tax Credit, Private Activity Bond, and HOME Rental Development projects, and encourage use where practical in housing rehabilitation and home ownership projects. Conduct rental housing seminars, including fair housing components, through partnership with a statewide rental initiative. Recruit landlords, tenants, property managers, and</w:t>
      </w:r>
      <w:r>
        <w:rPr>
          <w:sz w:val="24"/>
          <w:szCs w:val="24"/>
        </w:rPr>
        <w:t xml:space="preserve"> realtors of private and public-sector</w:t>
      </w:r>
      <w:r w:rsidRPr="00B9410C">
        <w:rPr>
          <w:sz w:val="24"/>
          <w:szCs w:val="24"/>
        </w:rPr>
        <w:t xml:space="preserve"> rental housing. Cover rental applications, screening, leases, security deposits, maintenance, crime prevention, and eviction. </w:t>
      </w:r>
    </w:p>
    <w:p w14:paraId="3786E024" w14:textId="77777777" w:rsidR="007C520D" w:rsidRPr="00B9410C" w:rsidRDefault="007C520D" w:rsidP="00A121EE">
      <w:pPr>
        <w:pStyle w:val="Body"/>
        <w:numPr>
          <w:ilvl w:val="0"/>
          <w:numId w:val="7"/>
        </w:numPr>
        <w:rPr>
          <w:sz w:val="24"/>
          <w:szCs w:val="24"/>
        </w:rPr>
      </w:pPr>
      <w:r w:rsidRPr="00B9410C">
        <w:rPr>
          <w:sz w:val="24"/>
          <w:szCs w:val="24"/>
        </w:rPr>
        <w:t xml:space="preserve">Include a fair housing component in all grantee, developer and property manager training. </w:t>
      </w:r>
    </w:p>
    <w:p w14:paraId="4C518D02" w14:textId="77777777" w:rsidR="007C520D" w:rsidRPr="00B9410C" w:rsidRDefault="007C520D" w:rsidP="00A121EE">
      <w:pPr>
        <w:pStyle w:val="Body"/>
        <w:numPr>
          <w:ilvl w:val="0"/>
          <w:numId w:val="7"/>
        </w:numPr>
        <w:rPr>
          <w:sz w:val="24"/>
          <w:szCs w:val="24"/>
        </w:rPr>
      </w:pPr>
      <w:r w:rsidRPr="00B9410C">
        <w:rPr>
          <w:sz w:val="24"/>
          <w:szCs w:val="24"/>
        </w:rPr>
        <w:t xml:space="preserve">Use data from the U.S. Census and other sources to identify areas of minority concentration. Promote developments and activities that a) provide housing and services to those communities, b) provide opportunities for ‘housing choice’ to those communities, and c) affirmatively market programs and services to those communities. </w:t>
      </w:r>
    </w:p>
    <w:p w14:paraId="6F9B6DF3" w14:textId="77777777" w:rsidR="007C520D" w:rsidRPr="00B9410C" w:rsidRDefault="007C520D" w:rsidP="007C520D">
      <w:pPr>
        <w:autoSpaceDE w:val="0"/>
        <w:autoSpaceDN w:val="0"/>
        <w:adjustRightInd w:val="0"/>
        <w:spacing w:after="0" w:line="240" w:lineRule="auto"/>
        <w:rPr>
          <w:sz w:val="24"/>
          <w:szCs w:val="24"/>
        </w:rPr>
      </w:pPr>
      <w:r w:rsidRPr="00B9410C">
        <w:rPr>
          <w:sz w:val="24"/>
          <w:szCs w:val="24"/>
        </w:rPr>
        <w:t xml:space="preserve">Indirect Role </w:t>
      </w:r>
    </w:p>
    <w:p w14:paraId="38D5F685" w14:textId="77777777" w:rsidR="007C520D" w:rsidRPr="00B9410C" w:rsidRDefault="007C520D" w:rsidP="00A121EE">
      <w:pPr>
        <w:pStyle w:val="Body"/>
        <w:numPr>
          <w:ilvl w:val="0"/>
          <w:numId w:val="7"/>
        </w:numPr>
        <w:rPr>
          <w:sz w:val="24"/>
          <w:szCs w:val="24"/>
        </w:rPr>
      </w:pPr>
      <w:r w:rsidRPr="00B9410C">
        <w:rPr>
          <w:sz w:val="24"/>
          <w:szCs w:val="24"/>
        </w:rPr>
        <w:t xml:space="preserve">Funding agencies are encouraged to require that grantees (local governments, private developers or owners, and nonprofit organizations receiving housing funds) create and maintain an Affirmative Fair Housing Marketing Plan identifying potentially underserved local populations and efforts to market to those constituencies; require that entities document a process to inform potential program participants of their </w:t>
      </w:r>
      <w:r>
        <w:rPr>
          <w:sz w:val="24"/>
          <w:szCs w:val="24"/>
        </w:rPr>
        <w:t>f</w:t>
      </w:r>
      <w:r w:rsidRPr="00B9410C">
        <w:rPr>
          <w:sz w:val="24"/>
          <w:szCs w:val="24"/>
        </w:rPr>
        <w:t xml:space="preserve">air </w:t>
      </w:r>
      <w:r>
        <w:rPr>
          <w:sz w:val="24"/>
          <w:szCs w:val="24"/>
        </w:rPr>
        <w:t>h</w:t>
      </w:r>
      <w:r w:rsidRPr="00B9410C">
        <w:rPr>
          <w:sz w:val="24"/>
          <w:szCs w:val="24"/>
        </w:rPr>
        <w:t xml:space="preserve">ousing rights, and of their avenues for appeal; and request that the entities complete and verify a minimum of one fair housing activity per year per loan or grant. Categories of fair housing activities include: Planning, Research, and Development; Business and Finance; Information and Education; Complaints and Remedies. </w:t>
      </w:r>
    </w:p>
    <w:p w14:paraId="035F0DE2" w14:textId="77777777" w:rsidR="007C520D" w:rsidRDefault="007C520D" w:rsidP="00A121EE">
      <w:pPr>
        <w:pStyle w:val="Body"/>
        <w:numPr>
          <w:ilvl w:val="0"/>
          <w:numId w:val="7"/>
        </w:numPr>
        <w:rPr>
          <w:sz w:val="24"/>
          <w:szCs w:val="24"/>
        </w:rPr>
      </w:pPr>
      <w:r w:rsidRPr="00B9410C">
        <w:rPr>
          <w:sz w:val="24"/>
          <w:szCs w:val="24"/>
        </w:rPr>
        <w:t xml:space="preserve">Provide regular training, technical assistance, and monitoring for housing grantees, developers and managers to ensure compliance with fair housing requirements. Incorporate </w:t>
      </w:r>
      <w:r>
        <w:rPr>
          <w:sz w:val="24"/>
          <w:szCs w:val="24"/>
        </w:rPr>
        <w:t>f</w:t>
      </w:r>
      <w:r w:rsidRPr="00B9410C">
        <w:rPr>
          <w:sz w:val="24"/>
          <w:szCs w:val="24"/>
        </w:rPr>
        <w:t xml:space="preserve">air </w:t>
      </w:r>
      <w:r>
        <w:rPr>
          <w:sz w:val="24"/>
          <w:szCs w:val="24"/>
        </w:rPr>
        <w:t>h</w:t>
      </w:r>
      <w:r w:rsidRPr="00B9410C">
        <w:rPr>
          <w:sz w:val="24"/>
          <w:szCs w:val="24"/>
        </w:rPr>
        <w:t xml:space="preserve">ousing information into grant management and program compliance training. Staff will complete, and submit, Fair Housing Tracking reports on all housing projects monitored. </w:t>
      </w:r>
    </w:p>
    <w:p w14:paraId="70A4481A" w14:textId="77777777" w:rsidR="007C520D" w:rsidRPr="00C96214" w:rsidRDefault="007C520D" w:rsidP="00A121EE">
      <w:pPr>
        <w:pStyle w:val="Body"/>
        <w:numPr>
          <w:ilvl w:val="0"/>
          <w:numId w:val="7"/>
        </w:numPr>
        <w:rPr>
          <w:sz w:val="24"/>
          <w:szCs w:val="24"/>
        </w:rPr>
      </w:pPr>
      <w:r w:rsidRPr="00B9410C">
        <w:rPr>
          <w:sz w:val="24"/>
          <w:szCs w:val="24"/>
        </w:rPr>
        <w:t xml:space="preserve">Provide homebuyer training and counseling through partnership with a statewide homeownership initiative, contingent on available funding. Emphasize underserved rural areas and minority/ immigrant populations. Include fair housing components in all classes and counseling sessions. </w:t>
      </w:r>
    </w:p>
    <w:p w14:paraId="696F05B4" w14:textId="77777777" w:rsidR="007C520D" w:rsidRPr="006F640C" w:rsidRDefault="007C520D" w:rsidP="007C520D">
      <w:pPr>
        <w:autoSpaceDE w:val="0"/>
        <w:autoSpaceDN w:val="0"/>
        <w:adjustRightInd w:val="0"/>
        <w:spacing w:after="0" w:line="240" w:lineRule="auto"/>
        <w:rPr>
          <w:sz w:val="24"/>
          <w:szCs w:val="24"/>
        </w:rPr>
      </w:pPr>
      <w:r w:rsidRPr="006F640C">
        <w:rPr>
          <w:sz w:val="24"/>
          <w:szCs w:val="24"/>
        </w:rPr>
        <w:t xml:space="preserve">Collaborative Role: </w:t>
      </w:r>
    </w:p>
    <w:p w14:paraId="633AB8C2" w14:textId="77777777" w:rsidR="007C520D" w:rsidRPr="006F640C" w:rsidRDefault="007C520D" w:rsidP="00A121EE">
      <w:pPr>
        <w:pStyle w:val="Body"/>
        <w:numPr>
          <w:ilvl w:val="0"/>
          <w:numId w:val="7"/>
        </w:numPr>
        <w:rPr>
          <w:sz w:val="24"/>
          <w:szCs w:val="24"/>
        </w:rPr>
      </w:pPr>
      <w:r w:rsidRPr="006F640C">
        <w:rPr>
          <w:sz w:val="24"/>
          <w:szCs w:val="24"/>
        </w:rPr>
        <w:t xml:space="preserve">Request the Governor, city mayors, and county commissioners to issue fair housing month proclamations for </w:t>
      </w:r>
      <w:r>
        <w:rPr>
          <w:sz w:val="24"/>
          <w:szCs w:val="24"/>
        </w:rPr>
        <w:t xml:space="preserve">each </w:t>
      </w:r>
      <w:r w:rsidRPr="006F640C">
        <w:rPr>
          <w:sz w:val="24"/>
          <w:szCs w:val="24"/>
        </w:rPr>
        <w:t>April</w:t>
      </w:r>
      <w:r>
        <w:rPr>
          <w:sz w:val="24"/>
          <w:szCs w:val="24"/>
        </w:rPr>
        <w:t xml:space="preserve"> (Fair Housing Month)</w:t>
      </w:r>
      <w:r w:rsidRPr="006F640C">
        <w:rPr>
          <w:sz w:val="24"/>
          <w:szCs w:val="24"/>
        </w:rPr>
        <w:t xml:space="preserve">. </w:t>
      </w:r>
    </w:p>
    <w:p w14:paraId="5ECED9AB" w14:textId="77777777" w:rsidR="007C520D" w:rsidRPr="006F640C" w:rsidRDefault="007C520D" w:rsidP="00A121EE">
      <w:pPr>
        <w:pStyle w:val="Body"/>
        <w:numPr>
          <w:ilvl w:val="0"/>
          <w:numId w:val="7"/>
        </w:numPr>
        <w:rPr>
          <w:sz w:val="24"/>
          <w:szCs w:val="24"/>
        </w:rPr>
      </w:pPr>
      <w:r w:rsidRPr="006F640C">
        <w:rPr>
          <w:sz w:val="24"/>
          <w:szCs w:val="24"/>
        </w:rPr>
        <w:t xml:space="preserve">Distribute fair housing information at professional and trade conferences. Attend events of local government officials, banking executives, real estate agents, landlord associations, community action agencies, independent living centers, or others. </w:t>
      </w:r>
    </w:p>
    <w:p w14:paraId="4081643D" w14:textId="77777777" w:rsidR="007C520D" w:rsidRPr="00432F73" w:rsidRDefault="007C520D" w:rsidP="007C520D">
      <w:pPr>
        <w:rPr>
          <w:sz w:val="24"/>
          <w:szCs w:val="24"/>
        </w:rPr>
      </w:pPr>
      <w:r w:rsidRPr="006F640C">
        <w:rPr>
          <w:sz w:val="24"/>
          <w:szCs w:val="24"/>
        </w:rPr>
        <w:t>Present fair housing training and workshops, including educational courses or modules, to encourage proactive use of housing resources. Reach out to consumer and grass roots organizations, such as domestic violence shelters, job training centers, student associations, support groups, etc. Address topics of accessibility, predatory lending, local/state equ</w:t>
      </w:r>
      <w:r>
        <w:rPr>
          <w:sz w:val="24"/>
          <w:szCs w:val="24"/>
        </w:rPr>
        <w:t>ivalency to federal enforcement,</w:t>
      </w:r>
      <w:r w:rsidRPr="006F640C">
        <w:rPr>
          <w:sz w:val="24"/>
          <w:szCs w:val="24"/>
        </w:rPr>
        <w:t xml:space="preserve"> hate crimes and other issues.</w:t>
      </w:r>
    </w:p>
    <w:p w14:paraId="3EEF6050" w14:textId="77777777" w:rsidR="007C520D" w:rsidRDefault="007C520D" w:rsidP="007C520D">
      <w:pPr>
        <w:rPr>
          <w:b/>
          <w:sz w:val="24"/>
          <w:szCs w:val="24"/>
        </w:rPr>
      </w:pPr>
    </w:p>
    <w:p w14:paraId="004EA2FA" w14:textId="77777777" w:rsidR="007C520D" w:rsidRDefault="007C520D" w:rsidP="007C520D">
      <w:pPr>
        <w:rPr>
          <w:b/>
          <w:sz w:val="24"/>
          <w:szCs w:val="24"/>
        </w:rPr>
      </w:pPr>
    </w:p>
    <w:p w14:paraId="63CEEFFD" w14:textId="77777777" w:rsidR="007C520D" w:rsidRDefault="007C520D" w:rsidP="007C520D">
      <w:pPr>
        <w:rPr>
          <w:b/>
          <w:sz w:val="24"/>
          <w:szCs w:val="24"/>
        </w:rPr>
      </w:pPr>
    </w:p>
    <w:p w14:paraId="14D9AC55" w14:textId="77777777" w:rsidR="007C520D" w:rsidRDefault="007C520D" w:rsidP="007C520D">
      <w:pPr>
        <w:rPr>
          <w:b/>
          <w:sz w:val="24"/>
          <w:szCs w:val="24"/>
        </w:rPr>
      </w:pPr>
    </w:p>
    <w:p w14:paraId="7DB4FE8F" w14:textId="77777777" w:rsidR="007C520D" w:rsidRDefault="007C520D" w:rsidP="007C520D">
      <w:pPr>
        <w:rPr>
          <w:b/>
          <w:sz w:val="24"/>
          <w:szCs w:val="24"/>
        </w:rPr>
      </w:pPr>
    </w:p>
    <w:p w14:paraId="2396B14E" w14:textId="77777777" w:rsidR="007C520D" w:rsidRDefault="007C520D" w:rsidP="007C520D">
      <w:pPr>
        <w:rPr>
          <w:b/>
          <w:sz w:val="24"/>
          <w:szCs w:val="24"/>
        </w:rPr>
      </w:pPr>
    </w:p>
    <w:p w14:paraId="671CD2D4" w14:textId="77777777" w:rsidR="007C520D" w:rsidRDefault="007C520D" w:rsidP="007C520D">
      <w:pPr>
        <w:rPr>
          <w:b/>
          <w:sz w:val="24"/>
          <w:szCs w:val="24"/>
        </w:rPr>
      </w:pPr>
    </w:p>
    <w:p w14:paraId="57D0F285" w14:textId="77777777" w:rsidR="007C520D" w:rsidRDefault="007C520D" w:rsidP="007C520D">
      <w:pPr>
        <w:rPr>
          <w:b/>
          <w:sz w:val="24"/>
          <w:szCs w:val="24"/>
        </w:rPr>
      </w:pPr>
    </w:p>
    <w:p w14:paraId="05F4BA8D" w14:textId="77777777" w:rsidR="007C520D" w:rsidRDefault="007C520D" w:rsidP="007C520D">
      <w:pPr>
        <w:rPr>
          <w:b/>
          <w:sz w:val="24"/>
          <w:szCs w:val="24"/>
        </w:rPr>
      </w:pPr>
    </w:p>
    <w:p w14:paraId="18A56BB9" w14:textId="77777777" w:rsidR="007C520D" w:rsidRDefault="007C520D" w:rsidP="007C520D">
      <w:pPr>
        <w:rPr>
          <w:b/>
          <w:sz w:val="24"/>
          <w:szCs w:val="24"/>
        </w:rPr>
      </w:pPr>
    </w:p>
    <w:p w14:paraId="1D224A09" w14:textId="77777777" w:rsidR="007C520D" w:rsidRPr="00DF4059" w:rsidRDefault="007C520D" w:rsidP="007C520D">
      <w:pPr>
        <w:pStyle w:val="Heading2"/>
        <w:shd w:val="clear" w:color="auto" w:fill="95B3D7" w:themeFill="accent1" w:themeFillTint="99"/>
        <w:rPr>
          <w:rFonts w:ascii="Calibri" w:hAnsi="Calibri"/>
          <w:i w:val="0"/>
        </w:rPr>
      </w:pPr>
      <w:bookmarkStart w:id="55" w:name="_Toc524603038"/>
      <w:r w:rsidRPr="00DF4059">
        <w:rPr>
          <w:rFonts w:ascii="Calibri" w:hAnsi="Calibri"/>
          <w:i w:val="0"/>
        </w:rPr>
        <w:t>SP-</w:t>
      </w:r>
      <w:r>
        <w:rPr>
          <w:rFonts w:ascii="Calibri" w:hAnsi="Calibri"/>
          <w:i w:val="0"/>
        </w:rPr>
        <w:t>60</w:t>
      </w:r>
      <w:r w:rsidRPr="00DF4059">
        <w:rPr>
          <w:rFonts w:ascii="Calibri" w:hAnsi="Calibri"/>
          <w:i w:val="0"/>
        </w:rPr>
        <w:t xml:space="preserve"> </w:t>
      </w:r>
      <w:r>
        <w:rPr>
          <w:rFonts w:ascii="Calibri" w:hAnsi="Calibri"/>
          <w:i w:val="0"/>
        </w:rPr>
        <w:t>Homelessness Strategy – 91.315(d)</w:t>
      </w:r>
      <w:bookmarkEnd w:id="55"/>
    </w:p>
    <w:p w14:paraId="477F0D17" w14:textId="77777777" w:rsidR="007C520D" w:rsidRDefault="007C520D" w:rsidP="007C520D">
      <w:pPr>
        <w:rPr>
          <w:b/>
          <w:sz w:val="24"/>
          <w:szCs w:val="24"/>
        </w:rPr>
      </w:pPr>
    </w:p>
    <w:p w14:paraId="702612AE" w14:textId="77777777" w:rsidR="007C520D" w:rsidRDefault="007C520D" w:rsidP="007C520D">
      <w:pPr>
        <w:rPr>
          <w:b/>
          <w:sz w:val="24"/>
          <w:szCs w:val="24"/>
        </w:rPr>
      </w:pPr>
      <w:r>
        <w:rPr>
          <w:b/>
          <w:sz w:val="24"/>
          <w:szCs w:val="24"/>
        </w:rPr>
        <w:t>Reaching out to homeless persons (especially unsheltered persons) and assessing their individual needs</w:t>
      </w:r>
    </w:p>
    <w:p w14:paraId="7FA7898E" w14:textId="77777777" w:rsidR="007C520D" w:rsidRDefault="007C520D" w:rsidP="007C520D">
      <w:pPr>
        <w:autoSpaceDE w:val="0"/>
        <w:autoSpaceDN w:val="0"/>
        <w:adjustRightInd w:val="0"/>
        <w:spacing w:after="0"/>
        <w:rPr>
          <w:rFonts w:asciiTheme="minorHAnsi" w:hAnsiTheme="minorHAnsi" w:cs="Arial"/>
          <w:sz w:val="24"/>
          <w:szCs w:val="24"/>
        </w:rPr>
      </w:pPr>
      <w:r w:rsidRPr="000760DF">
        <w:rPr>
          <w:rFonts w:asciiTheme="minorHAnsi" w:hAnsiTheme="minorHAnsi" w:cs="Arial"/>
          <w:sz w:val="24"/>
          <w:szCs w:val="24"/>
        </w:rPr>
        <w:t>Within the Continuum of Care, there are providers who specialize in providing</w:t>
      </w:r>
      <w:r>
        <w:rPr>
          <w:rFonts w:asciiTheme="minorHAnsi" w:hAnsiTheme="minorHAnsi" w:cs="Arial"/>
          <w:sz w:val="24"/>
          <w:szCs w:val="24"/>
        </w:rPr>
        <w:t xml:space="preserve"> </w:t>
      </w:r>
      <w:r w:rsidRPr="000760DF">
        <w:rPr>
          <w:rFonts w:asciiTheme="minorHAnsi" w:hAnsiTheme="minorHAnsi" w:cs="Arial"/>
          <w:sz w:val="24"/>
          <w:szCs w:val="24"/>
        </w:rPr>
        <w:t>outreach to homeless individuals and families including</w:t>
      </w:r>
      <w:r>
        <w:rPr>
          <w:rFonts w:asciiTheme="minorHAnsi" w:hAnsiTheme="minorHAnsi" w:cs="Arial"/>
          <w:sz w:val="24"/>
          <w:szCs w:val="24"/>
        </w:rPr>
        <w:t>:</w:t>
      </w:r>
      <w:r w:rsidRPr="000760DF">
        <w:rPr>
          <w:rFonts w:asciiTheme="minorHAnsi" w:hAnsiTheme="minorHAnsi" w:cs="Arial"/>
          <w:sz w:val="24"/>
          <w:szCs w:val="24"/>
        </w:rPr>
        <w:t xml:space="preserve"> PATH (Projects to</w:t>
      </w:r>
      <w:r>
        <w:rPr>
          <w:rFonts w:asciiTheme="minorHAnsi" w:hAnsiTheme="minorHAnsi" w:cs="Arial"/>
          <w:sz w:val="24"/>
          <w:szCs w:val="24"/>
        </w:rPr>
        <w:t xml:space="preserve"> </w:t>
      </w:r>
      <w:r w:rsidRPr="000760DF">
        <w:rPr>
          <w:rFonts w:asciiTheme="minorHAnsi" w:hAnsiTheme="minorHAnsi" w:cs="Arial"/>
          <w:sz w:val="24"/>
          <w:szCs w:val="24"/>
        </w:rPr>
        <w:t xml:space="preserve">Assist in the Transition from Homelessness), </w:t>
      </w:r>
      <w:r>
        <w:rPr>
          <w:rFonts w:asciiTheme="minorHAnsi" w:hAnsiTheme="minorHAnsi" w:cs="Arial"/>
          <w:sz w:val="24"/>
          <w:szCs w:val="24"/>
        </w:rPr>
        <w:t>HUD-Veterans Affairs Supportive Housing (HUD-VASH)</w:t>
      </w:r>
      <w:r w:rsidRPr="000760DF">
        <w:rPr>
          <w:rFonts w:asciiTheme="minorHAnsi" w:hAnsiTheme="minorHAnsi" w:cs="Arial"/>
          <w:sz w:val="24"/>
          <w:szCs w:val="24"/>
        </w:rPr>
        <w:t>, and Supportive Services</w:t>
      </w:r>
      <w:r>
        <w:rPr>
          <w:rFonts w:asciiTheme="minorHAnsi" w:hAnsiTheme="minorHAnsi" w:cs="Arial"/>
          <w:sz w:val="24"/>
          <w:szCs w:val="24"/>
        </w:rPr>
        <w:t xml:space="preserve"> </w:t>
      </w:r>
      <w:r w:rsidRPr="000760DF">
        <w:rPr>
          <w:rFonts w:asciiTheme="minorHAnsi" w:hAnsiTheme="minorHAnsi" w:cs="Arial"/>
          <w:sz w:val="24"/>
          <w:szCs w:val="24"/>
        </w:rPr>
        <w:t>for Veteran Families (SSVF). These providers work with agencies within their</w:t>
      </w:r>
      <w:r>
        <w:rPr>
          <w:rFonts w:asciiTheme="minorHAnsi" w:hAnsiTheme="minorHAnsi" w:cs="Arial"/>
          <w:sz w:val="24"/>
          <w:szCs w:val="24"/>
        </w:rPr>
        <w:t xml:space="preserve"> </w:t>
      </w:r>
      <w:r w:rsidRPr="000760DF">
        <w:rPr>
          <w:rFonts w:asciiTheme="minorHAnsi" w:hAnsiTheme="minorHAnsi" w:cs="Arial"/>
          <w:sz w:val="24"/>
          <w:szCs w:val="24"/>
        </w:rPr>
        <w:t>communities to provide outreach and service to homeless individuals and</w:t>
      </w:r>
      <w:r>
        <w:rPr>
          <w:rFonts w:asciiTheme="minorHAnsi" w:hAnsiTheme="minorHAnsi" w:cs="Arial"/>
          <w:sz w:val="24"/>
          <w:szCs w:val="24"/>
        </w:rPr>
        <w:t xml:space="preserve"> </w:t>
      </w:r>
      <w:r w:rsidRPr="000760DF">
        <w:rPr>
          <w:rFonts w:asciiTheme="minorHAnsi" w:hAnsiTheme="minorHAnsi" w:cs="Arial"/>
          <w:sz w:val="24"/>
          <w:szCs w:val="24"/>
        </w:rPr>
        <w:t>families. Education about effective ways to reach out to homeless individuals</w:t>
      </w:r>
      <w:r>
        <w:rPr>
          <w:rFonts w:asciiTheme="minorHAnsi" w:hAnsiTheme="minorHAnsi" w:cs="Arial"/>
          <w:sz w:val="24"/>
          <w:szCs w:val="24"/>
        </w:rPr>
        <w:t xml:space="preserve"> </w:t>
      </w:r>
      <w:r w:rsidRPr="000760DF">
        <w:rPr>
          <w:rFonts w:asciiTheme="minorHAnsi" w:hAnsiTheme="minorHAnsi" w:cs="Arial"/>
          <w:sz w:val="24"/>
          <w:szCs w:val="24"/>
        </w:rPr>
        <w:t>and families are available during the KSHC’s Annual Summit on Homelessness</w:t>
      </w:r>
      <w:r>
        <w:rPr>
          <w:rFonts w:asciiTheme="minorHAnsi" w:hAnsiTheme="minorHAnsi" w:cs="Arial"/>
          <w:sz w:val="24"/>
          <w:szCs w:val="24"/>
        </w:rPr>
        <w:t xml:space="preserve"> </w:t>
      </w:r>
      <w:r w:rsidRPr="000760DF">
        <w:rPr>
          <w:rFonts w:asciiTheme="minorHAnsi" w:hAnsiTheme="minorHAnsi" w:cs="Arial"/>
          <w:sz w:val="24"/>
          <w:szCs w:val="24"/>
        </w:rPr>
        <w:t xml:space="preserve">and during the regional mini summits. </w:t>
      </w:r>
      <w:r>
        <w:rPr>
          <w:rFonts w:asciiTheme="minorHAnsi" w:hAnsiTheme="minorHAnsi" w:cs="Arial"/>
          <w:sz w:val="24"/>
          <w:szCs w:val="24"/>
        </w:rPr>
        <w:t xml:space="preserve">The Summit on Homelessness is a two-day conference hosting workshops that cover a wide range of issues intersecting on homelessness with the goal of leaving attendees with new skills and knowledge to best serve the homeless population. </w:t>
      </w:r>
    </w:p>
    <w:p w14:paraId="5954FF9A" w14:textId="77777777" w:rsidR="007C520D" w:rsidRDefault="007C520D" w:rsidP="007C520D">
      <w:pPr>
        <w:autoSpaceDE w:val="0"/>
        <w:autoSpaceDN w:val="0"/>
        <w:adjustRightInd w:val="0"/>
        <w:spacing w:after="0"/>
        <w:rPr>
          <w:rFonts w:asciiTheme="minorHAnsi" w:hAnsiTheme="minorHAnsi" w:cs="Arial"/>
          <w:sz w:val="24"/>
          <w:szCs w:val="24"/>
        </w:rPr>
      </w:pPr>
    </w:p>
    <w:p w14:paraId="2CDE89E4" w14:textId="77777777" w:rsidR="007C520D" w:rsidRPr="000760DF" w:rsidRDefault="007C520D" w:rsidP="007C520D">
      <w:pPr>
        <w:autoSpaceDE w:val="0"/>
        <w:autoSpaceDN w:val="0"/>
        <w:adjustRightInd w:val="0"/>
        <w:spacing w:after="0"/>
        <w:rPr>
          <w:rFonts w:asciiTheme="minorHAnsi" w:hAnsiTheme="minorHAnsi" w:cs="Arial"/>
          <w:sz w:val="24"/>
          <w:szCs w:val="24"/>
        </w:rPr>
      </w:pPr>
      <w:r w:rsidRPr="000760DF">
        <w:rPr>
          <w:rFonts w:asciiTheme="minorHAnsi" w:hAnsiTheme="minorHAnsi" w:cs="Arial"/>
          <w:sz w:val="24"/>
          <w:szCs w:val="24"/>
        </w:rPr>
        <w:t xml:space="preserve">Providers </w:t>
      </w:r>
      <w:r>
        <w:rPr>
          <w:rFonts w:asciiTheme="minorHAnsi" w:hAnsiTheme="minorHAnsi" w:cs="Arial"/>
          <w:sz w:val="24"/>
          <w:szCs w:val="24"/>
        </w:rPr>
        <w:t xml:space="preserve">also </w:t>
      </w:r>
      <w:r w:rsidRPr="000760DF">
        <w:rPr>
          <w:rFonts w:asciiTheme="minorHAnsi" w:hAnsiTheme="minorHAnsi" w:cs="Arial"/>
          <w:sz w:val="24"/>
          <w:szCs w:val="24"/>
        </w:rPr>
        <w:t>share</w:t>
      </w:r>
      <w:r>
        <w:rPr>
          <w:rFonts w:asciiTheme="minorHAnsi" w:hAnsiTheme="minorHAnsi" w:cs="Arial"/>
          <w:sz w:val="24"/>
          <w:szCs w:val="24"/>
        </w:rPr>
        <w:t xml:space="preserve"> best practices for homelessness </w:t>
      </w:r>
      <w:r w:rsidRPr="000760DF">
        <w:rPr>
          <w:rFonts w:asciiTheme="minorHAnsi" w:hAnsiTheme="minorHAnsi" w:cs="Arial"/>
          <w:sz w:val="24"/>
          <w:szCs w:val="24"/>
        </w:rPr>
        <w:t>outreach during the regional committee meetings and during the monthly CoC Committee meetings. With the implementation of the</w:t>
      </w:r>
      <w:r>
        <w:rPr>
          <w:rFonts w:asciiTheme="minorHAnsi" w:hAnsiTheme="minorHAnsi" w:cs="Arial"/>
          <w:sz w:val="24"/>
          <w:szCs w:val="24"/>
        </w:rPr>
        <w:t xml:space="preserve"> </w:t>
      </w:r>
      <w:r w:rsidRPr="000760DF">
        <w:rPr>
          <w:rFonts w:asciiTheme="minorHAnsi" w:hAnsiTheme="minorHAnsi" w:cs="Arial"/>
          <w:sz w:val="24"/>
          <w:szCs w:val="24"/>
        </w:rPr>
        <w:t>211 Coordinated Assessment System, the CoC will improve its ability to link</w:t>
      </w:r>
      <w:r>
        <w:rPr>
          <w:rFonts w:asciiTheme="minorHAnsi" w:hAnsiTheme="minorHAnsi" w:cs="Arial"/>
          <w:sz w:val="24"/>
          <w:szCs w:val="24"/>
        </w:rPr>
        <w:t xml:space="preserve"> </w:t>
      </w:r>
      <w:r w:rsidRPr="000760DF">
        <w:rPr>
          <w:rFonts w:asciiTheme="minorHAnsi" w:hAnsiTheme="minorHAnsi" w:cs="Arial"/>
          <w:sz w:val="24"/>
          <w:szCs w:val="24"/>
        </w:rPr>
        <w:t>homeless individuals and families with the services they need.</w:t>
      </w:r>
    </w:p>
    <w:p w14:paraId="705CCC96" w14:textId="77777777" w:rsidR="007C520D" w:rsidRDefault="007C520D" w:rsidP="007C520D">
      <w:pPr>
        <w:autoSpaceDE w:val="0"/>
        <w:autoSpaceDN w:val="0"/>
        <w:adjustRightInd w:val="0"/>
        <w:spacing w:after="0" w:line="240" w:lineRule="auto"/>
        <w:jc w:val="both"/>
        <w:rPr>
          <w:rFonts w:asciiTheme="minorHAnsi" w:hAnsiTheme="minorHAnsi" w:cs="Arial"/>
          <w:sz w:val="24"/>
          <w:szCs w:val="24"/>
        </w:rPr>
      </w:pPr>
    </w:p>
    <w:p w14:paraId="4213CFF0" w14:textId="77777777" w:rsidR="00181F49" w:rsidRPr="00181F49" w:rsidRDefault="00181F49" w:rsidP="00181F49">
      <w:pPr>
        <w:autoSpaceDE w:val="0"/>
        <w:autoSpaceDN w:val="0"/>
        <w:adjustRightInd w:val="0"/>
        <w:spacing w:after="0"/>
        <w:jc w:val="both"/>
        <w:rPr>
          <w:rFonts w:asciiTheme="minorHAnsi" w:hAnsiTheme="minorHAnsi" w:cs="Arial"/>
          <w:sz w:val="24"/>
          <w:szCs w:val="24"/>
        </w:rPr>
      </w:pPr>
      <w:r w:rsidRPr="000760DF">
        <w:rPr>
          <w:rFonts w:asciiTheme="minorHAnsi" w:hAnsiTheme="minorHAnsi" w:cs="Arial"/>
          <w:sz w:val="24"/>
          <w:szCs w:val="24"/>
        </w:rPr>
        <w:t>As stated earli</w:t>
      </w:r>
      <w:r>
        <w:rPr>
          <w:rFonts w:asciiTheme="minorHAnsi" w:hAnsiTheme="minorHAnsi" w:cs="Arial"/>
          <w:sz w:val="24"/>
          <w:szCs w:val="24"/>
        </w:rPr>
        <w:t xml:space="preserve">er, there </w:t>
      </w:r>
      <w:r w:rsidRPr="00181F49">
        <w:rPr>
          <w:rFonts w:asciiTheme="minorHAnsi" w:hAnsiTheme="minorHAnsi" w:cs="Arial"/>
          <w:sz w:val="24"/>
          <w:szCs w:val="24"/>
        </w:rPr>
        <w:t>are Projects for Assistance in Transition from Homelessness (PATH)</w:t>
      </w:r>
    </w:p>
    <w:p w14:paraId="29E144F3" w14:textId="2E1647DF" w:rsidR="007C520D" w:rsidRDefault="00181F49" w:rsidP="00181F49">
      <w:pPr>
        <w:rPr>
          <w:rFonts w:asciiTheme="minorHAnsi" w:hAnsiTheme="minorHAnsi" w:cs="Arial"/>
          <w:sz w:val="24"/>
          <w:szCs w:val="24"/>
        </w:rPr>
      </w:pPr>
      <w:r w:rsidRPr="00181F49">
        <w:rPr>
          <w:rFonts w:asciiTheme="minorHAnsi" w:hAnsiTheme="minorHAnsi" w:cs="Arial"/>
          <w:sz w:val="24"/>
          <w:szCs w:val="24"/>
        </w:rPr>
        <w:t>programs engaging families through street outreach to connect them to housing, 2 in the BoS CoC and 1 each in Topeka, Wyandotte, Wichita.</w:t>
      </w:r>
      <w:r w:rsidRPr="000760DF">
        <w:rPr>
          <w:rFonts w:asciiTheme="minorHAnsi" w:hAnsiTheme="minorHAnsi" w:cs="Arial"/>
          <w:sz w:val="24"/>
          <w:szCs w:val="24"/>
        </w:rPr>
        <w:t xml:space="preserve"> </w:t>
      </w:r>
      <w:r w:rsidR="007C520D" w:rsidRPr="000760DF">
        <w:rPr>
          <w:rFonts w:asciiTheme="minorHAnsi" w:hAnsiTheme="minorHAnsi" w:cs="Arial"/>
          <w:sz w:val="24"/>
          <w:szCs w:val="24"/>
        </w:rPr>
        <w:t>The CoC's outreach plan targets those most likely to encounter</w:t>
      </w:r>
      <w:r w:rsidR="007C520D">
        <w:rPr>
          <w:rFonts w:asciiTheme="minorHAnsi" w:hAnsiTheme="minorHAnsi" w:cs="Arial"/>
          <w:sz w:val="24"/>
          <w:szCs w:val="24"/>
        </w:rPr>
        <w:t xml:space="preserve"> </w:t>
      </w:r>
      <w:r w:rsidR="007C520D" w:rsidRPr="000760DF">
        <w:rPr>
          <w:rFonts w:asciiTheme="minorHAnsi" w:hAnsiTheme="minorHAnsi" w:cs="Arial"/>
          <w:sz w:val="24"/>
          <w:szCs w:val="24"/>
        </w:rPr>
        <w:t>unsheltered families, i.e. school homeless liaisons, domestic violence programs,</w:t>
      </w:r>
      <w:r w:rsidR="007C520D">
        <w:rPr>
          <w:rFonts w:asciiTheme="minorHAnsi" w:hAnsiTheme="minorHAnsi" w:cs="Arial"/>
          <w:sz w:val="24"/>
          <w:szCs w:val="24"/>
        </w:rPr>
        <w:t xml:space="preserve"> </w:t>
      </w:r>
      <w:r w:rsidR="007C520D" w:rsidRPr="000760DF">
        <w:rPr>
          <w:rFonts w:asciiTheme="minorHAnsi" w:hAnsiTheme="minorHAnsi" w:cs="Arial"/>
          <w:sz w:val="24"/>
          <w:szCs w:val="24"/>
        </w:rPr>
        <w:t>emergency assistance providers, mainstream benefits offices, and community</w:t>
      </w:r>
      <w:r w:rsidR="007C520D">
        <w:rPr>
          <w:rFonts w:asciiTheme="minorHAnsi" w:hAnsiTheme="minorHAnsi" w:cs="Arial"/>
          <w:sz w:val="24"/>
          <w:szCs w:val="24"/>
        </w:rPr>
        <w:t xml:space="preserve"> </w:t>
      </w:r>
      <w:r w:rsidR="007C520D" w:rsidRPr="000760DF">
        <w:rPr>
          <w:rFonts w:asciiTheme="minorHAnsi" w:hAnsiTheme="minorHAnsi" w:cs="Arial"/>
          <w:sz w:val="24"/>
          <w:szCs w:val="24"/>
        </w:rPr>
        <w:t>action programs. The CoC wil</w:t>
      </w:r>
      <w:r w:rsidR="007C520D">
        <w:rPr>
          <w:rFonts w:asciiTheme="minorHAnsi" w:hAnsiTheme="minorHAnsi" w:cs="Arial"/>
          <w:sz w:val="24"/>
          <w:szCs w:val="24"/>
        </w:rPr>
        <w:t xml:space="preserve">l continue efforts to work with </w:t>
      </w:r>
      <w:r w:rsidR="007C520D" w:rsidRPr="000760DF">
        <w:rPr>
          <w:rFonts w:asciiTheme="minorHAnsi" w:hAnsiTheme="minorHAnsi" w:cs="Arial"/>
          <w:sz w:val="24"/>
          <w:szCs w:val="24"/>
        </w:rPr>
        <w:t>mainstream</w:t>
      </w:r>
      <w:r w:rsidR="007C520D">
        <w:rPr>
          <w:rFonts w:asciiTheme="minorHAnsi" w:hAnsiTheme="minorHAnsi" w:cs="Arial"/>
          <w:sz w:val="24"/>
          <w:szCs w:val="24"/>
        </w:rPr>
        <w:t xml:space="preserve"> </w:t>
      </w:r>
      <w:r w:rsidR="007C520D" w:rsidRPr="000760DF">
        <w:rPr>
          <w:rFonts w:asciiTheme="minorHAnsi" w:hAnsiTheme="minorHAnsi" w:cs="Arial"/>
          <w:sz w:val="24"/>
          <w:szCs w:val="24"/>
        </w:rPr>
        <w:t>programs that offer rental/support services to develop holistic plans to move</w:t>
      </w:r>
      <w:r w:rsidR="007C520D">
        <w:rPr>
          <w:rFonts w:asciiTheme="minorHAnsi" w:hAnsiTheme="minorHAnsi" w:cs="Arial"/>
          <w:sz w:val="24"/>
          <w:szCs w:val="24"/>
        </w:rPr>
        <w:t xml:space="preserve"> </w:t>
      </w:r>
      <w:r w:rsidR="007C520D" w:rsidRPr="000760DF">
        <w:rPr>
          <w:rFonts w:asciiTheme="minorHAnsi" w:hAnsiTheme="minorHAnsi" w:cs="Arial"/>
          <w:sz w:val="24"/>
          <w:szCs w:val="24"/>
        </w:rPr>
        <w:t xml:space="preserve">families out of homelessness. Action steps include: working </w:t>
      </w:r>
      <w:r w:rsidR="007C520D">
        <w:rPr>
          <w:rFonts w:asciiTheme="minorHAnsi" w:hAnsiTheme="minorHAnsi" w:cs="Arial"/>
          <w:sz w:val="24"/>
          <w:szCs w:val="24"/>
        </w:rPr>
        <w:t>with public housing authorities</w:t>
      </w:r>
      <w:r w:rsidR="007C520D" w:rsidRPr="000760DF">
        <w:rPr>
          <w:rFonts w:asciiTheme="minorHAnsi" w:hAnsiTheme="minorHAnsi" w:cs="Arial"/>
          <w:sz w:val="24"/>
          <w:szCs w:val="24"/>
        </w:rPr>
        <w:t xml:space="preserve"> and other</w:t>
      </w:r>
      <w:r w:rsidR="007C520D">
        <w:rPr>
          <w:rFonts w:asciiTheme="minorHAnsi" w:hAnsiTheme="minorHAnsi" w:cs="Arial"/>
          <w:sz w:val="24"/>
          <w:szCs w:val="24"/>
        </w:rPr>
        <w:t xml:space="preserve"> </w:t>
      </w:r>
      <w:r w:rsidR="007C520D" w:rsidRPr="000760DF">
        <w:rPr>
          <w:rFonts w:asciiTheme="minorHAnsi" w:hAnsiTheme="minorHAnsi" w:cs="Arial"/>
          <w:sz w:val="24"/>
          <w:szCs w:val="24"/>
        </w:rPr>
        <w:t>subsidized housing programs to gain priority for homeless families on waiting</w:t>
      </w:r>
      <w:r w:rsidR="007C520D">
        <w:rPr>
          <w:rFonts w:asciiTheme="minorHAnsi" w:hAnsiTheme="minorHAnsi" w:cs="Arial"/>
          <w:sz w:val="24"/>
          <w:szCs w:val="24"/>
        </w:rPr>
        <w:t xml:space="preserve"> lists; developing </w:t>
      </w:r>
      <w:r w:rsidR="007C520D" w:rsidRPr="000760DF">
        <w:rPr>
          <w:rFonts w:asciiTheme="minorHAnsi" w:hAnsiTheme="minorHAnsi" w:cs="Arial"/>
          <w:sz w:val="24"/>
          <w:szCs w:val="24"/>
        </w:rPr>
        <w:t>relationships with landlords and other housing providers to</w:t>
      </w:r>
      <w:r w:rsidR="007C520D">
        <w:rPr>
          <w:rFonts w:asciiTheme="minorHAnsi" w:hAnsiTheme="minorHAnsi" w:cs="Arial"/>
          <w:sz w:val="24"/>
          <w:szCs w:val="24"/>
        </w:rPr>
        <w:t xml:space="preserve"> </w:t>
      </w:r>
      <w:r w:rsidR="007C520D" w:rsidRPr="000760DF">
        <w:rPr>
          <w:rFonts w:asciiTheme="minorHAnsi" w:hAnsiTheme="minorHAnsi" w:cs="Arial"/>
          <w:sz w:val="24"/>
          <w:szCs w:val="24"/>
        </w:rPr>
        <w:t>work with families with multiple barriers; and working with housing deve</w:t>
      </w:r>
      <w:r w:rsidR="007C520D">
        <w:rPr>
          <w:rFonts w:asciiTheme="minorHAnsi" w:hAnsiTheme="minorHAnsi" w:cs="Arial"/>
          <w:sz w:val="24"/>
          <w:szCs w:val="24"/>
        </w:rPr>
        <w:t>lopers and local governments to develop additional affordable housing units.</w:t>
      </w:r>
    </w:p>
    <w:p w14:paraId="27CFF8A0" w14:textId="673C1EDE" w:rsidR="00181F49" w:rsidRPr="00181F49" w:rsidRDefault="00181F49" w:rsidP="00181F49">
      <w:pPr>
        <w:rPr>
          <w:rFonts w:asciiTheme="minorHAnsi" w:hAnsiTheme="minorHAnsi" w:cs="Arial"/>
          <w:sz w:val="24"/>
          <w:szCs w:val="24"/>
        </w:rPr>
      </w:pPr>
      <w:r w:rsidRPr="00181F49">
        <w:rPr>
          <w:rFonts w:asciiTheme="minorHAnsi" w:hAnsiTheme="minorHAnsi" w:cs="Arial"/>
          <w:sz w:val="24"/>
          <w:szCs w:val="24"/>
        </w:rPr>
        <w:t>Each CoC’s Coordinated Entry System has a Street Outreach component that supplements the PATH programs in the area. While localized to each specific area, this part of the system was developed to reach and serve the families and individuals least likely to seek out and connect to services.</w:t>
      </w:r>
      <w:r>
        <w:rPr>
          <w:rFonts w:asciiTheme="minorHAnsi" w:hAnsiTheme="minorHAnsi" w:cs="Arial"/>
          <w:sz w:val="24"/>
          <w:szCs w:val="24"/>
        </w:rPr>
        <w:t xml:space="preserve"> </w:t>
      </w:r>
    </w:p>
    <w:p w14:paraId="421EDBB8" w14:textId="77777777" w:rsidR="007C520D" w:rsidRPr="00857864" w:rsidRDefault="007C520D" w:rsidP="007C520D">
      <w:pPr>
        <w:rPr>
          <w:b/>
          <w:sz w:val="24"/>
          <w:szCs w:val="24"/>
        </w:rPr>
      </w:pPr>
      <w:r>
        <w:rPr>
          <w:b/>
          <w:sz w:val="24"/>
          <w:szCs w:val="24"/>
        </w:rPr>
        <w:t>Addressing the emergency and transitional housing needs of homeless persons</w:t>
      </w:r>
    </w:p>
    <w:p w14:paraId="34DFF996" w14:textId="77777777" w:rsidR="007C520D" w:rsidRPr="00D466FC" w:rsidRDefault="007C520D" w:rsidP="007C520D">
      <w:pPr>
        <w:keepNext/>
        <w:widowControl w:val="0"/>
        <w:spacing w:before="100" w:beforeAutospacing="1" w:after="100" w:afterAutospacing="1"/>
        <w:rPr>
          <w:rFonts w:asciiTheme="minorHAnsi" w:hAnsiTheme="minorHAnsi" w:cstheme="minorHAnsi"/>
          <w:sz w:val="24"/>
        </w:rPr>
      </w:pPr>
      <w:r w:rsidRPr="00D466FC">
        <w:rPr>
          <w:rFonts w:asciiTheme="minorHAnsi" w:hAnsiTheme="minorHAnsi" w:cstheme="minorHAnsi"/>
          <w:sz w:val="24"/>
        </w:rPr>
        <w:t>The Kansas Balance of State Continuum of Care (BoS CoC) will continue to utilize Homeless Prevention Rapid Rehousing through the ESG Program and existing BoS CoC HUD funded projects to move individuals and families from homelessness to permanent housing. In 2016, seventeen BoS CoC grantees applied for renewal and there were three new applications (only one was awarded). The final award for the BoS CoC competition was $2,594,677. The BoS CoC has a total of 911 emergency shelter beds. In the 2017 Point-In-Time Homeless (PIT) count a total of 1,037 people reported being literally homeless:  Sheltered in Emergency Shelter Total Persons - 504, Sheltered in Transitional Housing Total Persons - 391, Unsheltered Total Persons - 142.  </w:t>
      </w:r>
    </w:p>
    <w:p w14:paraId="0F76BDDF" w14:textId="77777777" w:rsidR="007C520D" w:rsidRDefault="007C520D" w:rsidP="007C520D">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595EC756" w14:textId="77777777" w:rsidR="007C520D" w:rsidRPr="004872BB" w:rsidRDefault="007C520D" w:rsidP="007C520D">
      <w:pPr>
        <w:autoSpaceDE w:val="0"/>
        <w:autoSpaceDN w:val="0"/>
        <w:adjustRightInd w:val="0"/>
        <w:spacing w:after="0"/>
        <w:rPr>
          <w:rFonts w:asciiTheme="minorHAnsi" w:eastAsiaTheme="minorHAnsi" w:hAnsiTheme="minorHAnsi" w:cstheme="minorHAnsi"/>
          <w:sz w:val="24"/>
        </w:rPr>
      </w:pPr>
      <w:r w:rsidRPr="004872BB">
        <w:rPr>
          <w:rFonts w:asciiTheme="minorHAnsi" w:eastAsiaTheme="minorHAnsi" w:hAnsiTheme="minorHAnsi" w:cstheme="minorHAnsi"/>
          <w:sz w:val="24"/>
        </w:rPr>
        <w:t xml:space="preserve">The </w:t>
      </w:r>
      <w:r w:rsidRPr="004872BB">
        <w:rPr>
          <w:rFonts w:asciiTheme="minorHAnsi" w:hAnsiTheme="minorHAnsi" w:cstheme="minorHAnsi"/>
          <w:sz w:val="24"/>
        </w:rPr>
        <w:t xml:space="preserve">Kansas Balance of State </w:t>
      </w:r>
      <w:r>
        <w:rPr>
          <w:rFonts w:asciiTheme="minorHAnsi" w:hAnsiTheme="minorHAnsi" w:cstheme="minorHAnsi"/>
          <w:sz w:val="24"/>
        </w:rPr>
        <w:t>CoC</w:t>
      </w:r>
      <w:r w:rsidRPr="004872BB">
        <w:rPr>
          <w:rFonts w:asciiTheme="minorHAnsi" w:hAnsiTheme="minorHAnsi" w:cstheme="minorHAnsi"/>
          <w:sz w:val="24"/>
        </w:rPr>
        <w:t xml:space="preserve"> </w:t>
      </w:r>
      <w:r w:rsidRPr="004872BB">
        <w:rPr>
          <w:rFonts w:asciiTheme="minorHAnsi" w:eastAsiaTheme="minorHAnsi" w:hAnsiTheme="minorHAnsi" w:cstheme="minorHAnsi"/>
          <w:sz w:val="24"/>
        </w:rPr>
        <w:t xml:space="preserve">Coordinated Entry Committee (CEC) oversees the Coordinated Entry process to ensure that those who request or need assistance in all </w:t>
      </w:r>
      <w:r>
        <w:rPr>
          <w:rFonts w:asciiTheme="minorHAnsi" w:eastAsiaTheme="minorHAnsi" w:hAnsiTheme="minorHAnsi" w:cstheme="minorHAnsi"/>
          <w:sz w:val="24"/>
        </w:rPr>
        <w:t>eight</w:t>
      </w:r>
      <w:r w:rsidRPr="004872BB">
        <w:rPr>
          <w:rFonts w:asciiTheme="minorHAnsi" w:eastAsiaTheme="minorHAnsi" w:hAnsiTheme="minorHAnsi" w:cstheme="minorHAnsi"/>
          <w:sz w:val="24"/>
        </w:rPr>
        <w:t xml:space="preserve"> regions are matched with appropriate housing and services. To standardize the process, the CEC developed and implemented policies and procedu</w:t>
      </w:r>
      <w:r>
        <w:rPr>
          <w:rFonts w:asciiTheme="minorHAnsi" w:eastAsiaTheme="minorHAnsi" w:hAnsiTheme="minorHAnsi" w:cstheme="minorHAnsi"/>
          <w:sz w:val="24"/>
        </w:rPr>
        <w:t>res including a policy for the eight</w:t>
      </w:r>
      <w:r w:rsidRPr="004872BB">
        <w:rPr>
          <w:rFonts w:asciiTheme="minorHAnsi" w:eastAsiaTheme="minorHAnsi" w:hAnsiTheme="minorHAnsi" w:cstheme="minorHAnsi"/>
          <w:sz w:val="24"/>
        </w:rPr>
        <w:t xml:space="preserve"> Regional Coordinated Entry Teams (RCET) to use the Vulnerability Index – Service Prioritization Assistance Tool (VI-SPDAT) along with policies that focus on client choice and safety. To date, all RCETs have been trained on the policies and procedures as well as on the VI-SPDAT. The RCETs include </w:t>
      </w:r>
      <w:r w:rsidRPr="004872BB">
        <w:rPr>
          <w:rFonts w:asciiTheme="minorHAnsi" w:hAnsiTheme="minorHAnsi" w:cstheme="minorHAnsi"/>
          <w:sz w:val="24"/>
        </w:rPr>
        <w:t>Continuum of Care (CoC)</w:t>
      </w:r>
      <w:r w:rsidRPr="004872BB">
        <w:rPr>
          <w:rFonts w:asciiTheme="minorHAnsi" w:eastAsiaTheme="minorHAnsi" w:hAnsiTheme="minorHAnsi" w:cstheme="minorHAnsi"/>
          <w:sz w:val="24"/>
        </w:rPr>
        <w:t>, Emergency Solutions Grant (ESG), Projects for Assistance in Transition from Homelessness (PATH), and Supportive Services for Veterans Families (SSVF) funded organizations.  This also includes community-based organizations that serve at risk populations.  The RCETs meet monthly as does the CEC to review the regional and BoS CoC master lists to ensure that clients are receiving the resources they need.  Apart from Domestic Violence providers, the shared Homeless Management Information System is used to enter the VI-SPDAT data and generate the by-name master list for the BoS CoC, that can be sorted by region.</w:t>
      </w:r>
    </w:p>
    <w:p w14:paraId="24121858" w14:textId="77777777" w:rsidR="007C520D" w:rsidRPr="004872BB" w:rsidRDefault="007C520D" w:rsidP="007C520D">
      <w:pPr>
        <w:autoSpaceDE w:val="0"/>
        <w:autoSpaceDN w:val="0"/>
        <w:adjustRightInd w:val="0"/>
        <w:spacing w:after="0" w:line="240" w:lineRule="auto"/>
        <w:jc w:val="both"/>
        <w:rPr>
          <w:rFonts w:eastAsiaTheme="minorHAnsi" w:cs="Arial"/>
        </w:rPr>
      </w:pPr>
    </w:p>
    <w:p w14:paraId="653CA33C" w14:textId="77777777" w:rsidR="007C520D" w:rsidRDefault="007C520D" w:rsidP="007C520D">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14:paraId="624F28A2" w14:textId="77777777" w:rsidR="007C520D" w:rsidRPr="00432F73" w:rsidRDefault="007C520D" w:rsidP="007C520D">
      <w:pPr>
        <w:pStyle w:val="Body"/>
        <w:jc w:val="both"/>
        <w:rPr>
          <w:sz w:val="24"/>
          <w:szCs w:val="24"/>
          <w:u w:val="single"/>
        </w:rPr>
      </w:pPr>
      <w:r w:rsidRPr="00432F73">
        <w:rPr>
          <w:sz w:val="24"/>
          <w:szCs w:val="24"/>
          <w:u w:val="single"/>
        </w:rPr>
        <w:t>Foster Care</w:t>
      </w:r>
    </w:p>
    <w:p w14:paraId="11D6C804" w14:textId="77777777" w:rsidR="007C520D" w:rsidRPr="00432F73" w:rsidRDefault="007C520D" w:rsidP="007C520D">
      <w:pPr>
        <w:autoSpaceDE w:val="0"/>
        <w:autoSpaceDN w:val="0"/>
        <w:adjustRightInd w:val="0"/>
        <w:spacing w:after="0"/>
        <w:rPr>
          <w:rFonts w:asciiTheme="minorHAnsi" w:hAnsiTheme="minorHAnsi" w:cs="Arial"/>
          <w:sz w:val="24"/>
          <w:szCs w:val="24"/>
        </w:rPr>
      </w:pPr>
      <w:r w:rsidRPr="00432F73">
        <w:rPr>
          <w:rFonts w:asciiTheme="minorHAnsi" w:hAnsiTheme="minorHAnsi" w:cs="Arial"/>
          <w:sz w:val="24"/>
          <w:szCs w:val="24"/>
        </w:rPr>
        <w:t>Foster Care’s Independent Living Coordinators have been educated on the CoC system and are now getting involved with Kansas’ five CoC communities. Youths who leave the foster care system because they have attained 18 years of age are eligible to participate in Independent Living Services through the Chafee Foster Care Independence Program. This is a voluntary program and at age 18 young adults may choose not to participate. The program offers funds to help</w:t>
      </w:r>
      <w:r>
        <w:rPr>
          <w:rFonts w:asciiTheme="minorHAnsi" w:hAnsiTheme="minorHAnsi" w:cs="Arial"/>
          <w:sz w:val="24"/>
          <w:szCs w:val="24"/>
        </w:rPr>
        <w:t xml:space="preserve"> </w:t>
      </w:r>
      <w:r w:rsidRPr="00432F73">
        <w:rPr>
          <w:rFonts w:asciiTheme="minorHAnsi" w:hAnsiTheme="minorHAnsi" w:cs="Arial"/>
          <w:sz w:val="24"/>
          <w:szCs w:val="24"/>
        </w:rPr>
        <w:t>pay the costs of setting up a household, such as rent and utility deposits, buying household goods, etc.</w:t>
      </w:r>
    </w:p>
    <w:p w14:paraId="77C3E9E9" w14:textId="77777777" w:rsidR="007C520D" w:rsidRPr="00432F73" w:rsidRDefault="007C520D" w:rsidP="007C520D">
      <w:pPr>
        <w:autoSpaceDE w:val="0"/>
        <w:autoSpaceDN w:val="0"/>
        <w:adjustRightInd w:val="0"/>
        <w:spacing w:after="0"/>
        <w:rPr>
          <w:rFonts w:asciiTheme="minorHAnsi" w:hAnsiTheme="minorHAnsi" w:cs="Arial"/>
          <w:sz w:val="24"/>
          <w:szCs w:val="24"/>
        </w:rPr>
      </w:pPr>
    </w:p>
    <w:p w14:paraId="31F19325" w14:textId="77777777" w:rsidR="007C520D" w:rsidRPr="00432F73" w:rsidRDefault="007C520D" w:rsidP="007C520D">
      <w:pPr>
        <w:pStyle w:val="Body"/>
        <w:rPr>
          <w:sz w:val="24"/>
          <w:szCs w:val="24"/>
          <w:u w:val="single"/>
        </w:rPr>
      </w:pPr>
      <w:r w:rsidRPr="00432F73">
        <w:rPr>
          <w:sz w:val="24"/>
          <w:szCs w:val="24"/>
          <w:u w:val="single"/>
        </w:rPr>
        <w:t>Health Care</w:t>
      </w:r>
    </w:p>
    <w:p w14:paraId="1BA6C3E4" w14:textId="24F844EB" w:rsidR="007C520D" w:rsidRPr="00432F73" w:rsidRDefault="007C520D" w:rsidP="007C520D">
      <w:pPr>
        <w:autoSpaceDE w:val="0"/>
        <w:autoSpaceDN w:val="0"/>
        <w:adjustRightInd w:val="0"/>
        <w:spacing w:after="0"/>
        <w:rPr>
          <w:rFonts w:asciiTheme="minorHAnsi" w:hAnsiTheme="minorHAnsi" w:cs="Arial"/>
          <w:sz w:val="24"/>
          <w:szCs w:val="24"/>
        </w:rPr>
      </w:pPr>
      <w:r w:rsidRPr="00432F73">
        <w:rPr>
          <w:rFonts w:asciiTheme="minorHAnsi" w:hAnsiTheme="minorHAnsi" w:cs="Arial"/>
          <w:sz w:val="24"/>
          <w:szCs w:val="24"/>
        </w:rPr>
        <w:t xml:space="preserve">The State of Kansas is still in the development phase of establishing a protocol/policy preventing health care institutions from discharging patients into homelessness. The Kansas Department Health and Environment and its providers follow </w:t>
      </w:r>
      <w:r w:rsidR="00556755">
        <w:rPr>
          <w:rFonts w:asciiTheme="minorHAnsi" w:hAnsiTheme="minorHAnsi" w:cs="Arial"/>
          <w:sz w:val="24"/>
          <w:szCs w:val="24"/>
        </w:rPr>
        <w:t>state</w:t>
      </w:r>
      <w:r w:rsidRPr="00432F73">
        <w:rPr>
          <w:rFonts w:asciiTheme="minorHAnsi" w:hAnsiTheme="minorHAnsi" w:cs="Arial"/>
          <w:sz w:val="24"/>
          <w:szCs w:val="24"/>
        </w:rPr>
        <w:t xml:space="preserve"> and federal regulations in relation to discharge planning; however, neither </w:t>
      </w:r>
      <w:r w:rsidR="00556755">
        <w:rPr>
          <w:rFonts w:asciiTheme="minorHAnsi" w:hAnsiTheme="minorHAnsi" w:cs="Arial"/>
          <w:sz w:val="24"/>
          <w:szCs w:val="24"/>
        </w:rPr>
        <w:t>state</w:t>
      </w:r>
      <w:r w:rsidRPr="00432F73">
        <w:rPr>
          <w:rFonts w:asciiTheme="minorHAnsi" w:hAnsiTheme="minorHAnsi" w:cs="Arial"/>
          <w:sz w:val="24"/>
          <w:szCs w:val="24"/>
        </w:rPr>
        <w:t xml:space="preserve"> nor federal regulations address the assurance that hospital patients will not be discharged into homelessness.</w:t>
      </w:r>
    </w:p>
    <w:p w14:paraId="67B5C64F" w14:textId="77777777" w:rsidR="007C520D" w:rsidRPr="00432F73" w:rsidRDefault="007C520D" w:rsidP="007C520D">
      <w:pPr>
        <w:autoSpaceDE w:val="0"/>
        <w:autoSpaceDN w:val="0"/>
        <w:adjustRightInd w:val="0"/>
        <w:spacing w:after="0"/>
        <w:rPr>
          <w:rFonts w:asciiTheme="minorHAnsi" w:hAnsiTheme="minorHAnsi" w:cs="Arial"/>
          <w:sz w:val="24"/>
          <w:szCs w:val="24"/>
        </w:rPr>
      </w:pPr>
    </w:p>
    <w:p w14:paraId="4385C5A7" w14:textId="77777777" w:rsidR="007C520D" w:rsidRPr="00432F73" w:rsidRDefault="007C520D" w:rsidP="007C520D">
      <w:pPr>
        <w:pStyle w:val="Body"/>
        <w:rPr>
          <w:sz w:val="24"/>
          <w:szCs w:val="24"/>
          <w:u w:val="single"/>
        </w:rPr>
      </w:pPr>
      <w:r w:rsidRPr="00432F73">
        <w:rPr>
          <w:sz w:val="24"/>
          <w:szCs w:val="24"/>
          <w:u w:val="single"/>
        </w:rPr>
        <w:t>Mental Health</w:t>
      </w:r>
    </w:p>
    <w:p w14:paraId="7DFC624B" w14:textId="77777777" w:rsidR="007C520D" w:rsidRDefault="007C520D" w:rsidP="007C520D">
      <w:pPr>
        <w:autoSpaceDE w:val="0"/>
        <w:autoSpaceDN w:val="0"/>
        <w:adjustRightInd w:val="0"/>
        <w:spacing w:after="0"/>
        <w:rPr>
          <w:rFonts w:asciiTheme="minorHAnsi" w:hAnsiTheme="minorHAnsi" w:cs="Arial"/>
          <w:sz w:val="24"/>
          <w:szCs w:val="24"/>
        </w:rPr>
      </w:pPr>
      <w:r w:rsidRPr="00432F73">
        <w:rPr>
          <w:rFonts w:asciiTheme="minorHAnsi" w:hAnsiTheme="minorHAnsi" w:cs="Arial"/>
          <w:sz w:val="24"/>
          <w:szCs w:val="24"/>
        </w:rPr>
        <w:t>The Kansas Department for Aging and Disability Services, which includes mental health and substance use disorder services, enacted a policy in 2006 that ensures to the maximum extent possible that all individuals who are discharged from State funded institutions or systems of care have housing options available in order to prevent their being discharged into homelessness.</w:t>
      </w:r>
      <w:r>
        <w:rPr>
          <w:rFonts w:asciiTheme="minorHAnsi" w:hAnsiTheme="minorHAnsi" w:cs="Arial"/>
          <w:sz w:val="24"/>
          <w:szCs w:val="24"/>
        </w:rPr>
        <w:t xml:space="preserve"> </w:t>
      </w:r>
      <w:r w:rsidRPr="00432F73">
        <w:rPr>
          <w:rFonts w:asciiTheme="minorHAnsi" w:hAnsiTheme="minorHAnsi" w:cs="Arial"/>
          <w:sz w:val="24"/>
          <w:szCs w:val="24"/>
        </w:rPr>
        <w:t>However, an individual can exercise his/her right to refuse treatment and/or aid with placement, therefore becoming homeless upon discharge.</w:t>
      </w:r>
      <w:r>
        <w:rPr>
          <w:rFonts w:asciiTheme="minorHAnsi" w:hAnsiTheme="minorHAnsi" w:cs="Arial"/>
          <w:sz w:val="24"/>
          <w:szCs w:val="24"/>
        </w:rPr>
        <w:t xml:space="preserve"> </w:t>
      </w:r>
    </w:p>
    <w:p w14:paraId="5653D427" w14:textId="77777777" w:rsidR="007C520D" w:rsidRPr="00432F73" w:rsidRDefault="007C520D" w:rsidP="007C520D">
      <w:pPr>
        <w:spacing w:after="0" w:line="240" w:lineRule="auto"/>
        <w:rPr>
          <w:rFonts w:asciiTheme="minorHAnsi" w:hAnsiTheme="minorHAnsi" w:cs="Arial"/>
          <w:sz w:val="24"/>
          <w:szCs w:val="24"/>
        </w:rPr>
      </w:pPr>
    </w:p>
    <w:p w14:paraId="68FEAE36" w14:textId="77777777" w:rsidR="007C520D" w:rsidRPr="00432F73" w:rsidRDefault="007C520D" w:rsidP="007C520D">
      <w:pPr>
        <w:pStyle w:val="Body"/>
        <w:rPr>
          <w:sz w:val="24"/>
          <w:szCs w:val="24"/>
          <w:u w:val="single"/>
        </w:rPr>
      </w:pPr>
      <w:r w:rsidRPr="00432F73">
        <w:rPr>
          <w:sz w:val="24"/>
          <w:szCs w:val="24"/>
          <w:u w:val="single"/>
        </w:rPr>
        <w:t>Corrections</w:t>
      </w:r>
    </w:p>
    <w:p w14:paraId="0D6E49DA" w14:textId="77777777" w:rsidR="007C520D" w:rsidRPr="00432F73" w:rsidRDefault="007C520D" w:rsidP="007C520D">
      <w:pPr>
        <w:pStyle w:val="Body"/>
        <w:rPr>
          <w:sz w:val="24"/>
          <w:szCs w:val="24"/>
          <w:u w:val="single"/>
        </w:rPr>
      </w:pPr>
      <w:r w:rsidRPr="00432F73">
        <w:rPr>
          <w:rFonts w:asciiTheme="minorHAnsi" w:hAnsiTheme="minorHAnsi" w:cs="Arial"/>
          <w:sz w:val="24"/>
          <w:szCs w:val="24"/>
        </w:rPr>
        <w:t xml:space="preserve">Each prison under the Kansas Department of Corrections (KDOC) system has “release planners” that coordinate with inmates and parole officers to determine the most successful post-release residence for each individual. There are several determining factors and individuals involved in </w:t>
      </w:r>
      <w:r>
        <w:rPr>
          <w:rFonts w:asciiTheme="minorHAnsi" w:hAnsiTheme="minorHAnsi" w:cs="Arial"/>
          <w:sz w:val="24"/>
          <w:szCs w:val="24"/>
        </w:rPr>
        <w:t>the re-entry</w:t>
      </w:r>
      <w:r w:rsidRPr="00432F73">
        <w:rPr>
          <w:rFonts w:asciiTheme="minorHAnsi" w:hAnsiTheme="minorHAnsi" w:cs="Arial"/>
          <w:sz w:val="24"/>
          <w:szCs w:val="24"/>
        </w:rPr>
        <w:t xml:space="preserve"> process</w:t>
      </w:r>
      <w:r>
        <w:rPr>
          <w:rFonts w:asciiTheme="minorHAnsi" w:hAnsiTheme="minorHAnsi" w:cs="Arial"/>
          <w:sz w:val="24"/>
          <w:szCs w:val="24"/>
        </w:rPr>
        <w:t xml:space="preserve"> taking</w:t>
      </w:r>
      <w:r w:rsidRPr="00432F73">
        <w:rPr>
          <w:rFonts w:asciiTheme="minorHAnsi" w:hAnsiTheme="minorHAnsi" w:cs="Arial"/>
          <w:sz w:val="24"/>
          <w:szCs w:val="24"/>
        </w:rPr>
        <w:t xml:space="preserve"> a multi-disciplin</w:t>
      </w:r>
      <w:r>
        <w:rPr>
          <w:rFonts w:asciiTheme="minorHAnsi" w:hAnsiTheme="minorHAnsi" w:cs="Arial"/>
          <w:sz w:val="24"/>
          <w:szCs w:val="24"/>
        </w:rPr>
        <w:t>ary</w:t>
      </w:r>
      <w:r w:rsidRPr="00432F73">
        <w:rPr>
          <w:rFonts w:asciiTheme="minorHAnsi" w:hAnsiTheme="minorHAnsi" w:cs="Arial"/>
          <w:sz w:val="24"/>
          <w:szCs w:val="24"/>
        </w:rPr>
        <w:t xml:space="preserve"> approach. The release planning process begins sixteen months before the inmate releases from prison.</w:t>
      </w:r>
    </w:p>
    <w:p w14:paraId="5B13E9D0" w14:textId="77777777" w:rsidR="007C520D" w:rsidRDefault="007C520D" w:rsidP="007C520D">
      <w:pPr>
        <w:rPr>
          <w:b/>
          <w:sz w:val="24"/>
          <w:szCs w:val="24"/>
        </w:rPr>
      </w:pPr>
    </w:p>
    <w:p w14:paraId="25FDC48E" w14:textId="77777777" w:rsidR="007C520D" w:rsidRDefault="007C520D" w:rsidP="007C520D">
      <w:pPr>
        <w:rPr>
          <w:b/>
          <w:sz w:val="24"/>
          <w:szCs w:val="24"/>
        </w:rPr>
      </w:pPr>
    </w:p>
    <w:p w14:paraId="136A35F5" w14:textId="77777777" w:rsidR="007C520D" w:rsidRDefault="007C520D" w:rsidP="007C520D">
      <w:pPr>
        <w:rPr>
          <w:b/>
          <w:sz w:val="24"/>
          <w:szCs w:val="24"/>
        </w:rPr>
      </w:pPr>
    </w:p>
    <w:p w14:paraId="6CA4BE95" w14:textId="77777777" w:rsidR="007C520D" w:rsidRDefault="007C520D" w:rsidP="007C520D">
      <w:pPr>
        <w:rPr>
          <w:b/>
          <w:sz w:val="24"/>
          <w:szCs w:val="24"/>
        </w:rPr>
      </w:pPr>
    </w:p>
    <w:p w14:paraId="07305E62" w14:textId="77777777" w:rsidR="007C520D" w:rsidRDefault="007C520D" w:rsidP="007C520D">
      <w:pPr>
        <w:rPr>
          <w:b/>
          <w:sz w:val="24"/>
          <w:szCs w:val="24"/>
        </w:rPr>
      </w:pPr>
    </w:p>
    <w:p w14:paraId="65A179A4" w14:textId="77777777" w:rsidR="007C520D" w:rsidRDefault="007C520D" w:rsidP="007C520D">
      <w:pPr>
        <w:rPr>
          <w:b/>
          <w:sz w:val="24"/>
          <w:szCs w:val="24"/>
        </w:rPr>
      </w:pPr>
    </w:p>
    <w:p w14:paraId="7EC47093" w14:textId="77777777" w:rsidR="007C520D" w:rsidRPr="00DF4059" w:rsidRDefault="007C520D" w:rsidP="007C520D">
      <w:pPr>
        <w:pStyle w:val="Heading2"/>
        <w:shd w:val="clear" w:color="auto" w:fill="95B3D7" w:themeFill="accent1" w:themeFillTint="99"/>
        <w:rPr>
          <w:rFonts w:ascii="Calibri" w:hAnsi="Calibri"/>
          <w:i w:val="0"/>
        </w:rPr>
      </w:pPr>
      <w:bookmarkStart w:id="56" w:name="_Toc524603039"/>
      <w:r w:rsidRPr="00DF4059">
        <w:rPr>
          <w:rFonts w:ascii="Calibri" w:hAnsi="Calibri"/>
          <w:i w:val="0"/>
        </w:rPr>
        <w:t>SP-</w:t>
      </w:r>
      <w:r>
        <w:rPr>
          <w:rFonts w:ascii="Calibri" w:hAnsi="Calibri"/>
          <w:i w:val="0"/>
        </w:rPr>
        <w:t>65</w:t>
      </w:r>
      <w:r w:rsidRPr="00DF4059">
        <w:rPr>
          <w:rFonts w:ascii="Calibri" w:hAnsi="Calibri"/>
          <w:i w:val="0"/>
        </w:rPr>
        <w:t xml:space="preserve"> </w:t>
      </w:r>
      <w:r>
        <w:rPr>
          <w:rFonts w:ascii="Calibri" w:hAnsi="Calibri"/>
          <w:i w:val="0"/>
        </w:rPr>
        <w:t>Lead based paint Hazards – 91.315(i)</w:t>
      </w:r>
      <w:bookmarkEnd w:id="56"/>
    </w:p>
    <w:p w14:paraId="511FBC1A" w14:textId="77777777" w:rsidR="007C520D" w:rsidRDefault="007C520D" w:rsidP="007C520D">
      <w:pPr>
        <w:rPr>
          <w:b/>
          <w:sz w:val="24"/>
          <w:szCs w:val="24"/>
        </w:rPr>
      </w:pPr>
    </w:p>
    <w:p w14:paraId="497FFF4C" w14:textId="77777777" w:rsidR="007C520D" w:rsidRDefault="007C520D" w:rsidP="007C520D">
      <w:pPr>
        <w:rPr>
          <w:b/>
          <w:sz w:val="24"/>
          <w:szCs w:val="24"/>
        </w:rPr>
      </w:pPr>
      <w:r>
        <w:rPr>
          <w:b/>
          <w:sz w:val="24"/>
          <w:szCs w:val="24"/>
        </w:rPr>
        <w:t>Actions to address LBP hazards and increase access to housing without LBP hazards</w:t>
      </w:r>
    </w:p>
    <w:p w14:paraId="4E71D5E2" w14:textId="77777777" w:rsidR="007C520D" w:rsidRPr="00EC75D8" w:rsidRDefault="007C520D" w:rsidP="007C520D">
      <w:pPr>
        <w:pStyle w:val="Body"/>
        <w:rPr>
          <w:rFonts w:asciiTheme="minorHAnsi" w:hAnsiTheme="minorHAnsi" w:cstheme="minorHAnsi"/>
          <w:sz w:val="24"/>
          <w:szCs w:val="24"/>
        </w:rPr>
      </w:pPr>
      <w:r w:rsidRPr="00EC75D8">
        <w:rPr>
          <w:rFonts w:asciiTheme="minorHAnsi" w:hAnsiTheme="minorHAnsi" w:cstheme="minorHAnsi"/>
          <w:sz w:val="24"/>
          <w:szCs w:val="24"/>
        </w:rPr>
        <w:t xml:space="preserve">The State will follow and monitor grantees to ensure compliance with the HUD lead-based paint regulations implementing Title X of the Housing and Community Development Act of 1992. These regulations cover the CDBG, HOME, ESG, and HOPWA programs, and identify the appropriate type of activity to control lead paint hazards, in projects using federal funds. The $25,000 abatement threshold in Title X has not been adjusted since it was established, while construction/ rehabilitation costs have escalated. This precludes a number of homes from being rehabilitated because abatement costs make it financially unfeasible. The State will further comply with LBP regulations of the EPA and those enacted by the State of Kansas, including KDHE’s licensing requirements for rehabilitation contractors. </w:t>
      </w:r>
      <w:r>
        <w:rPr>
          <w:rFonts w:asciiTheme="minorHAnsi" w:hAnsiTheme="minorHAnsi" w:cstheme="minorHAnsi"/>
          <w:sz w:val="24"/>
          <w:szCs w:val="24"/>
        </w:rPr>
        <w:t xml:space="preserve">In 2010 the Kansas Healthy Homes and Lead Hazard Prevention Program officially implemented the Environmental Protection Agency’s Renovation, Repair and Painting (RRP) rules. These rules dictate certifications among those responsible for rehabilitating housing units. </w:t>
      </w:r>
    </w:p>
    <w:p w14:paraId="00271FB0" w14:textId="77777777" w:rsidR="007C520D" w:rsidRPr="00EC75D8" w:rsidRDefault="007C520D" w:rsidP="007C520D">
      <w:pPr>
        <w:pStyle w:val="Body"/>
        <w:rPr>
          <w:rFonts w:asciiTheme="minorHAnsi" w:hAnsiTheme="minorHAnsi" w:cstheme="minorHAnsi"/>
          <w:sz w:val="24"/>
          <w:szCs w:val="24"/>
        </w:rPr>
      </w:pPr>
      <w:r w:rsidRPr="00EC75D8">
        <w:rPr>
          <w:rFonts w:asciiTheme="minorHAnsi" w:hAnsiTheme="minorHAnsi" w:cstheme="minorHAnsi"/>
          <w:sz w:val="24"/>
          <w:szCs w:val="24"/>
        </w:rPr>
        <w:t>KHRC will coordinate with KDHE for training, education and other resources related to lead based paint hazards and will require that grantees and sub grantees utilize staff and contractors that have the appropriate training and certification. KHRC is represented on the Healthy Homes Advisory Committee, a body organized and coordinated by KDHE and which meets quarterly to review current issues related to LBP.</w:t>
      </w:r>
    </w:p>
    <w:p w14:paraId="77F75B95" w14:textId="77777777" w:rsidR="007C520D" w:rsidRDefault="007C520D" w:rsidP="007C520D">
      <w:pPr>
        <w:rPr>
          <w:b/>
          <w:sz w:val="24"/>
          <w:szCs w:val="24"/>
        </w:rPr>
      </w:pPr>
      <w:r>
        <w:rPr>
          <w:b/>
          <w:sz w:val="24"/>
          <w:szCs w:val="24"/>
        </w:rPr>
        <w:t>How are the actions listed above integrated into housing policies and procedures?</w:t>
      </w:r>
    </w:p>
    <w:p w14:paraId="67814941" w14:textId="2A5DC3DC" w:rsidR="007C520D" w:rsidRPr="008833BC" w:rsidRDefault="007C520D" w:rsidP="007C520D">
      <w:pPr>
        <w:rPr>
          <w:sz w:val="24"/>
          <w:szCs w:val="24"/>
        </w:rPr>
      </w:pPr>
      <w:r>
        <w:rPr>
          <w:sz w:val="24"/>
          <w:szCs w:val="24"/>
        </w:rPr>
        <w:t xml:space="preserve">Kansas requires all projects as they relate to construction or rehabilitation of housing to be compliant with </w:t>
      </w:r>
      <w:r w:rsidR="00556755">
        <w:rPr>
          <w:sz w:val="24"/>
          <w:szCs w:val="24"/>
        </w:rPr>
        <w:t>f</w:t>
      </w:r>
      <w:r>
        <w:rPr>
          <w:sz w:val="24"/>
          <w:szCs w:val="24"/>
        </w:rPr>
        <w:t xml:space="preserve">ederal and </w:t>
      </w:r>
      <w:r w:rsidR="00556755">
        <w:rPr>
          <w:sz w:val="24"/>
          <w:szCs w:val="24"/>
        </w:rPr>
        <w:t>state</w:t>
      </w:r>
      <w:r>
        <w:rPr>
          <w:sz w:val="24"/>
          <w:szCs w:val="24"/>
        </w:rPr>
        <w:t xml:space="preserve"> laws and regulations described above. </w:t>
      </w:r>
    </w:p>
    <w:p w14:paraId="65E44104" w14:textId="77777777" w:rsidR="007C520D" w:rsidRDefault="007C520D" w:rsidP="007C520D">
      <w:pPr>
        <w:rPr>
          <w:b/>
          <w:sz w:val="24"/>
          <w:szCs w:val="24"/>
        </w:rPr>
      </w:pPr>
    </w:p>
    <w:p w14:paraId="009F20B5" w14:textId="77777777" w:rsidR="007C520D" w:rsidRDefault="007C520D" w:rsidP="007C520D">
      <w:pPr>
        <w:rPr>
          <w:b/>
          <w:sz w:val="24"/>
          <w:szCs w:val="24"/>
        </w:rPr>
      </w:pPr>
    </w:p>
    <w:p w14:paraId="73B66298" w14:textId="77777777" w:rsidR="007C520D" w:rsidRDefault="007C520D" w:rsidP="007C520D">
      <w:pPr>
        <w:rPr>
          <w:b/>
          <w:sz w:val="24"/>
          <w:szCs w:val="24"/>
        </w:rPr>
      </w:pPr>
    </w:p>
    <w:p w14:paraId="36F14CD1" w14:textId="77777777" w:rsidR="007C520D" w:rsidRDefault="007C520D" w:rsidP="007C520D">
      <w:pPr>
        <w:rPr>
          <w:b/>
          <w:sz w:val="24"/>
          <w:szCs w:val="24"/>
        </w:rPr>
      </w:pPr>
    </w:p>
    <w:p w14:paraId="621CCD02" w14:textId="77777777" w:rsidR="007C520D" w:rsidRDefault="007C520D" w:rsidP="007C520D">
      <w:pPr>
        <w:rPr>
          <w:b/>
          <w:sz w:val="24"/>
          <w:szCs w:val="24"/>
        </w:rPr>
      </w:pPr>
    </w:p>
    <w:p w14:paraId="05F1B2D3" w14:textId="77777777" w:rsidR="007C520D" w:rsidRDefault="007C520D" w:rsidP="007C520D">
      <w:pPr>
        <w:rPr>
          <w:b/>
          <w:sz w:val="24"/>
          <w:szCs w:val="24"/>
        </w:rPr>
      </w:pPr>
    </w:p>
    <w:p w14:paraId="24660E1D" w14:textId="77777777" w:rsidR="007C520D" w:rsidRDefault="007C520D" w:rsidP="007C520D">
      <w:pPr>
        <w:rPr>
          <w:b/>
          <w:sz w:val="24"/>
          <w:szCs w:val="24"/>
        </w:rPr>
      </w:pPr>
    </w:p>
    <w:p w14:paraId="7A38309E" w14:textId="77777777" w:rsidR="007C520D" w:rsidRPr="00DF4059" w:rsidRDefault="007C520D" w:rsidP="007C520D">
      <w:pPr>
        <w:pStyle w:val="Heading2"/>
        <w:shd w:val="clear" w:color="auto" w:fill="95B3D7" w:themeFill="accent1" w:themeFillTint="99"/>
        <w:rPr>
          <w:rFonts w:ascii="Calibri" w:hAnsi="Calibri"/>
          <w:i w:val="0"/>
        </w:rPr>
      </w:pPr>
      <w:bookmarkStart w:id="57" w:name="_Toc524603040"/>
      <w:r w:rsidRPr="00DF4059">
        <w:rPr>
          <w:rFonts w:ascii="Calibri" w:hAnsi="Calibri"/>
          <w:i w:val="0"/>
        </w:rPr>
        <w:t>SP-</w:t>
      </w:r>
      <w:r>
        <w:rPr>
          <w:rFonts w:ascii="Calibri" w:hAnsi="Calibri"/>
          <w:i w:val="0"/>
        </w:rPr>
        <w:t>70</w:t>
      </w:r>
      <w:r w:rsidRPr="00DF4059">
        <w:rPr>
          <w:rFonts w:ascii="Calibri" w:hAnsi="Calibri"/>
          <w:i w:val="0"/>
        </w:rPr>
        <w:t xml:space="preserve"> </w:t>
      </w:r>
      <w:r>
        <w:rPr>
          <w:rFonts w:ascii="Calibri" w:hAnsi="Calibri"/>
          <w:i w:val="0"/>
        </w:rPr>
        <w:t>Anti-Poverty Strategy – 91.315(j)</w:t>
      </w:r>
      <w:bookmarkEnd w:id="57"/>
    </w:p>
    <w:p w14:paraId="58AE258B" w14:textId="77777777" w:rsidR="007C520D" w:rsidRDefault="007C520D" w:rsidP="007C520D">
      <w:pPr>
        <w:rPr>
          <w:b/>
          <w:sz w:val="24"/>
          <w:szCs w:val="24"/>
        </w:rPr>
      </w:pPr>
    </w:p>
    <w:p w14:paraId="2BE320FC" w14:textId="77777777" w:rsidR="007C520D" w:rsidRDefault="007C520D" w:rsidP="007C520D">
      <w:pPr>
        <w:rPr>
          <w:b/>
          <w:sz w:val="24"/>
          <w:szCs w:val="24"/>
        </w:rPr>
      </w:pPr>
      <w:r>
        <w:rPr>
          <w:b/>
          <w:sz w:val="24"/>
          <w:szCs w:val="24"/>
        </w:rPr>
        <w:t>Jurisdiction Goals, Programs and Policies for reducing the number of Poverty-Level Families</w:t>
      </w:r>
    </w:p>
    <w:p w14:paraId="43753512" w14:textId="6A2FA65C" w:rsidR="007C520D" w:rsidRPr="00F765C5" w:rsidRDefault="007C520D" w:rsidP="007C520D">
      <w:pPr>
        <w:tabs>
          <w:tab w:val="left" w:pos="744"/>
        </w:tabs>
        <w:rPr>
          <w:rFonts w:cs="Arial"/>
          <w:sz w:val="24"/>
          <w:szCs w:val="24"/>
        </w:rPr>
      </w:pPr>
      <w:r w:rsidRPr="00F765C5">
        <w:rPr>
          <w:rFonts w:cs="Arial"/>
          <w:sz w:val="24"/>
          <w:szCs w:val="24"/>
        </w:rPr>
        <w:t xml:space="preserve">According to the 2012-2016 Five-Year American Community Survey (ACS) estimate, 13.3% of the </w:t>
      </w:r>
      <w:r w:rsidR="00556755">
        <w:rPr>
          <w:rFonts w:cs="Arial"/>
          <w:sz w:val="24"/>
          <w:szCs w:val="24"/>
        </w:rPr>
        <w:t>state</w:t>
      </w:r>
      <w:r w:rsidRPr="00F765C5">
        <w:rPr>
          <w:rFonts w:cs="Arial"/>
          <w:sz w:val="24"/>
          <w:szCs w:val="24"/>
        </w:rPr>
        <w:t xml:space="preserve">’s population lived the poverty threshold, compared to 9.9% in 2000. </w:t>
      </w:r>
    </w:p>
    <w:p w14:paraId="0281BEFF" w14:textId="410E16A6" w:rsidR="007C520D" w:rsidRPr="00F765C5" w:rsidRDefault="007C520D" w:rsidP="007C520D">
      <w:pPr>
        <w:tabs>
          <w:tab w:val="left" w:pos="744"/>
        </w:tabs>
        <w:rPr>
          <w:rFonts w:cs="Arial"/>
          <w:sz w:val="24"/>
          <w:szCs w:val="24"/>
        </w:rPr>
      </w:pPr>
      <w:r w:rsidRPr="00F765C5">
        <w:rPr>
          <w:rFonts w:cs="Arial"/>
          <w:sz w:val="24"/>
          <w:szCs w:val="24"/>
        </w:rPr>
        <w:t>Poverty is a function of income, which is related to education, job training, and employment opportunities.</w:t>
      </w:r>
      <w:r w:rsidRPr="00F765C5">
        <w:rPr>
          <w:sz w:val="24"/>
          <w:szCs w:val="24"/>
        </w:rPr>
        <w:t xml:space="preserve">  </w:t>
      </w:r>
      <w:r w:rsidRPr="00F765C5">
        <w:rPr>
          <w:rFonts w:cs="Arial"/>
          <w:sz w:val="24"/>
          <w:szCs w:val="24"/>
        </w:rPr>
        <w:t xml:space="preserve">Federal and </w:t>
      </w:r>
      <w:r w:rsidR="00556755">
        <w:rPr>
          <w:rFonts w:cs="Arial"/>
          <w:sz w:val="24"/>
          <w:szCs w:val="24"/>
        </w:rPr>
        <w:t>state</w:t>
      </w:r>
      <w:r w:rsidRPr="00F765C5">
        <w:rPr>
          <w:rFonts w:cs="Arial"/>
          <w:sz w:val="24"/>
          <w:szCs w:val="24"/>
        </w:rPr>
        <w:t xml:space="preserve"> policies on welfare, health care, and the minimum wage are crucial to addressing and reducing poverty.  In addition, the recession of 2007-2009 contributed to a 3.9 percentage point increase in the poverty rate between 2000 and 2011. </w:t>
      </w:r>
    </w:p>
    <w:p w14:paraId="4688ECBE" w14:textId="77777777" w:rsidR="007C520D" w:rsidRPr="00F765C5" w:rsidRDefault="007C520D" w:rsidP="007C520D">
      <w:pPr>
        <w:tabs>
          <w:tab w:val="left" w:pos="744"/>
        </w:tabs>
        <w:rPr>
          <w:rFonts w:cs="Arial"/>
          <w:sz w:val="24"/>
          <w:szCs w:val="24"/>
        </w:rPr>
      </w:pPr>
      <w:r w:rsidRPr="00F765C5">
        <w:rPr>
          <w:rFonts w:cs="Arial"/>
          <w:sz w:val="24"/>
          <w:szCs w:val="24"/>
        </w:rPr>
        <w:t>The State developed an Economic Development Strategic Plan, released in 2011, to facilitate statewide economic development.   The plan is based on a belief that State government has two fundamental roles to play in the process of economic development. First, it must establish a business environment that motivates as much risk-taking and competition as possible in the context of a level playing field.  Second, it must steward taxpayer resources in the most effective manner possible; when the government strives to do its job well with as few resources as possible, it leaves more resources available for risk-taking and competition.</w:t>
      </w:r>
    </w:p>
    <w:p w14:paraId="0DEF0008" w14:textId="77777777" w:rsidR="007C520D" w:rsidRPr="00F765C5" w:rsidRDefault="007C520D" w:rsidP="007C520D">
      <w:pPr>
        <w:tabs>
          <w:tab w:val="left" w:pos="744"/>
        </w:tabs>
        <w:rPr>
          <w:rFonts w:cs="Arial"/>
          <w:sz w:val="24"/>
          <w:szCs w:val="24"/>
        </w:rPr>
      </w:pPr>
      <w:r w:rsidRPr="00F765C5">
        <w:rPr>
          <w:rFonts w:cs="Arial"/>
          <w:sz w:val="24"/>
          <w:szCs w:val="24"/>
        </w:rPr>
        <w:t xml:space="preserve">The State, in partnership with non-profit agencies and businesses, can influence the chances of moving families and individuals to move up and out of poverty by supporting local and regional efforts to improve family incomes.  </w:t>
      </w:r>
    </w:p>
    <w:p w14:paraId="24E0F692" w14:textId="77777777" w:rsidR="007C520D" w:rsidRPr="00F765C5" w:rsidRDefault="007C520D" w:rsidP="007C520D">
      <w:pPr>
        <w:tabs>
          <w:tab w:val="left" w:pos="744"/>
        </w:tabs>
        <w:spacing w:after="0"/>
        <w:rPr>
          <w:rFonts w:asciiTheme="minorHAnsi" w:hAnsiTheme="minorHAnsi" w:cstheme="minorHAnsi"/>
          <w:sz w:val="24"/>
          <w:shd w:val="clear" w:color="auto" w:fill="FFFFFF"/>
        </w:rPr>
      </w:pPr>
      <w:r w:rsidRPr="00F765C5">
        <w:rPr>
          <w:rFonts w:asciiTheme="minorHAnsi" w:hAnsiTheme="minorHAnsi" w:cstheme="minorHAnsi"/>
          <w:sz w:val="24"/>
        </w:rPr>
        <w:t>A good example of these partnerships is the</w:t>
      </w:r>
      <w:r w:rsidRPr="00F765C5">
        <w:rPr>
          <w:rFonts w:asciiTheme="minorHAnsi" w:hAnsiTheme="minorHAnsi" w:cstheme="minorHAnsi"/>
          <w:sz w:val="24"/>
          <w:shd w:val="clear" w:color="auto" w:fill="FFFFFF"/>
        </w:rPr>
        <w:t xml:space="preserve"> Kansas Agricultural Growth Strategy project, which is a direct result of a 2015 Governor's Economic Council discussion focused on the development of a statewide strategic growth plan for agriculture.  Since early 2016, hundreds of meetings have been held among agriculture industry leaders to discuss the opportunities in and the barriers to economic growth, and to identify the outcomes desired for each agricultural sector. In August 2017, the second Kansas Governor’s Summit on Agricultural Growth was held in Manhattan, Kansas, bringing together nearly 400 leaders from across industry sectors under one roof to outline specific action items to achieve those outcomes.  Leaders within each of the 19 agricultural sectors are working together in collaborative efforts to address the action items which were identified during the 2017 Kansas Governor's Summit on Agricultural Growth.</w:t>
      </w:r>
      <w:r w:rsidRPr="00F765C5">
        <w:rPr>
          <w:rFonts w:asciiTheme="minorHAnsi" w:hAnsiTheme="minorHAnsi" w:cstheme="minorHAnsi"/>
          <w:sz w:val="24"/>
          <w:shd w:val="clear" w:color="auto" w:fill="FFFFFF"/>
        </w:rPr>
        <w:br/>
      </w:r>
      <w:r w:rsidRPr="00F765C5">
        <w:rPr>
          <w:rFonts w:asciiTheme="minorHAnsi" w:hAnsiTheme="minorHAnsi" w:cstheme="minorHAnsi"/>
          <w:sz w:val="24"/>
          <w:shd w:val="clear" w:color="auto" w:fill="FFFFFF"/>
        </w:rPr>
        <w:br/>
        <w:t>The action plans for growth in the agricultural sectors are dynamic documents that will be updated continuously and used to hold team members accountable when appropriate and to track industry activity when needed. Progress on the outcomes will be shared as necessary, including at the 2018 Ag Growth Summit.</w:t>
      </w:r>
    </w:p>
    <w:p w14:paraId="655FF356" w14:textId="77777777" w:rsidR="007C520D" w:rsidRPr="00F765C5" w:rsidRDefault="007C520D" w:rsidP="007C520D">
      <w:pPr>
        <w:tabs>
          <w:tab w:val="left" w:pos="744"/>
        </w:tabs>
        <w:rPr>
          <w:sz w:val="24"/>
          <w:szCs w:val="24"/>
        </w:rPr>
      </w:pPr>
      <w:r w:rsidRPr="00F765C5">
        <w:rPr>
          <w:rFonts w:cs="Arial"/>
          <w:sz w:val="24"/>
          <w:szCs w:val="24"/>
        </w:rPr>
        <w:t xml:space="preserve">State and regional projects and initiatives that will impact the employment and economic levels of employees and residents, such as infrastructure improvements to water and sewer systems, community facilities, and downtown commercial rehabilitation, will create a positive economic environment. </w:t>
      </w:r>
      <w:r w:rsidRPr="00F765C5">
        <w:rPr>
          <w:sz w:val="24"/>
          <w:szCs w:val="24"/>
        </w:rPr>
        <w:t xml:space="preserve">See MA-45, Non-Housing Community Development Assets, for other State programs to enhance economic development and in turn reduce poverty. </w:t>
      </w:r>
    </w:p>
    <w:p w14:paraId="2D072234" w14:textId="5223D95E" w:rsidR="007C520D" w:rsidRDefault="007C520D" w:rsidP="007C520D">
      <w:pPr>
        <w:rPr>
          <w:b/>
          <w:sz w:val="24"/>
          <w:szCs w:val="24"/>
        </w:rPr>
      </w:pPr>
      <w:r>
        <w:rPr>
          <w:b/>
          <w:sz w:val="24"/>
          <w:szCs w:val="24"/>
        </w:rPr>
        <w:t>How are the Jurisdiction poverty reducing goals, programs, and policies coordinated with this affordable housing plan</w:t>
      </w:r>
      <w:r w:rsidR="002C7A73">
        <w:rPr>
          <w:b/>
          <w:sz w:val="24"/>
          <w:szCs w:val="24"/>
        </w:rPr>
        <w:t>?</w:t>
      </w:r>
    </w:p>
    <w:p w14:paraId="05B7F751" w14:textId="77777777" w:rsidR="007C520D" w:rsidRDefault="007C520D" w:rsidP="007C520D">
      <w:pPr>
        <w:rPr>
          <w:b/>
          <w:sz w:val="24"/>
          <w:szCs w:val="24"/>
        </w:rPr>
      </w:pPr>
    </w:p>
    <w:p w14:paraId="7D978A68" w14:textId="77777777" w:rsidR="007C520D" w:rsidRDefault="007C520D" w:rsidP="007C520D">
      <w:pPr>
        <w:rPr>
          <w:b/>
          <w:sz w:val="24"/>
          <w:szCs w:val="24"/>
        </w:rPr>
      </w:pPr>
    </w:p>
    <w:p w14:paraId="39A5A986" w14:textId="77777777" w:rsidR="007C520D" w:rsidRPr="00DF4059" w:rsidRDefault="007C520D" w:rsidP="007C520D">
      <w:pPr>
        <w:pStyle w:val="Heading2"/>
        <w:shd w:val="clear" w:color="auto" w:fill="95B3D7" w:themeFill="accent1" w:themeFillTint="99"/>
        <w:rPr>
          <w:rFonts w:ascii="Calibri" w:hAnsi="Calibri"/>
          <w:i w:val="0"/>
        </w:rPr>
      </w:pPr>
      <w:bookmarkStart w:id="58" w:name="_Toc524603041"/>
      <w:r w:rsidRPr="00DF4059">
        <w:rPr>
          <w:rFonts w:ascii="Calibri" w:hAnsi="Calibri"/>
          <w:i w:val="0"/>
        </w:rPr>
        <w:t>SP-</w:t>
      </w:r>
      <w:r>
        <w:rPr>
          <w:rFonts w:ascii="Calibri" w:hAnsi="Calibri"/>
          <w:i w:val="0"/>
        </w:rPr>
        <w:t>80</w:t>
      </w:r>
      <w:r w:rsidRPr="00DF4059">
        <w:rPr>
          <w:rFonts w:ascii="Calibri" w:hAnsi="Calibri"/>
          <w:i w:val="0"/>
        </w:rPr>
        <w:t xml:space="preserve"> </w:t>
      </w:r>
      <w:r>
        <w:rPr>
          <w:rFonts w:ascii="Calibri" w:hAnsi="Calibri"/>
          <w:i w:val="0"/>
        </w:rPr>
        <w:t>Monitoring – 91.330</w:t>
      </w:r>
      <w:bookmarkEnd w:id="58"/>
    </w:p>
    <w:p w14:paraId="23654955" w14:textId="77777777" w:rsidR="007C520D" w:rsidRDefault="007C520D" w:rsidP="007C520D">
      <w:pPr>
        <w:rPr>
          <w:b/>
          <w:sz w:val="24"/>
          <w:szCs w:val="24"/>
        </w:rPr>
      </w:pPr>
    </w:p>
    <w:p w14:paraId="7FBAF893" w14:textId="77777777" w:rsidR="007C520D" w:rsidRDefault="007C520D" w:rsidP="007C520D">
      <w:pPr>
        <w:rPr>
          <w:b/>
          <w:sz w:val="24"/>
          <w:szCs w:val="24"/>
        </w:rPr>
      </w:pPr>
      <w:r>
        <w:rPr>
          <w:b/>
          <w:sz w:val="24"/>
          <w:szCs w:val="24"/>
        </w:rPr>
        <w:t>Describe the standards and procedures that the state will use to monitor activities carried out in furtherance of the plan and will use to ensure long-term compliance with requirements of the programs involved, including minority business outreach and the comprehensive planning requirements</w:t>
      </w:r>
    </w:p>
    <w:p w14:paraId="42DF102B" w14:textId="77777777" w:rsidR="007C520D" w:rsidRPr="00545DA9" w:rsidRDefault="007C520D" w:rsidP="007C520D">
      <w:pPr>
        <w:tabs>
          <w:tab w:val="left" w:pos="744"/>
        </w:tabs>
        <w:jc w:val="both"/>
        <w:rPr>
          <w:rFonts w:cs="Arial"/>
          <w:sz w:val="24"/>
          <w:szCs w:val="24"/>
          <w:u w:val="single"/>
        </w:rPr>
      </w:pPr>
      <w:r w:rsidRPr="00545DA9">
        <w:rPr>
          <w:rFonts w:cs="Arial"/>
          <w:sz w:val="24"/>
          <w:szCs w:val="24"/>
          <w:u w:val="single"/>
        </w:rPr>
        <w:t>CDBG Program</w:t>
      </w:r>
      <w:r>
        <w:rPr>
          <w:rFonts w:cs="Arial"/>
          <w:sz w:val="24"/>
          <w:szCs w:val="24"/>
          <w:u w:val="single"/>
        </w:rPr>
        <w:t xml:space="preserve"> Monitoring</w:t>
      </w:r>
      <w:r w:rsidRPr="00545DA9">
        <w:rPr>
          <w:rFonts w:cs="Arial"/>
          <w:sz w:val="24"/>
          <w:szCs w:val="24"/>
          <w:u w:val="single"/>
        </w:rPr>
        <w:t>:</w:t>
      </w:r>
    </w:p>
    <w:p w14:paraId="027C29B3" w14:textId="77777777" w:rsidR="007C520D" w:rsidRPr="00240A27" w:rsidRDefault="007C520D" w:rsidP="007C520D">
      <w:pPr>
        <w:spacing w:after="0"/>
        <w:rPr>
          <w:rFonts w:asciiTheme="minorHAnsi" w:eastAsia="Times New Roman" w:hAnsiTheme="minorHAnsi" w:cstheme="minorHAnsi"/>
          <w:sz w:val="24"/>
        </w:rPr>
      </w:pPr>
      <w:r w:rsidRPr="00240A27">
        <w:rPr>
          <w:rFonts w:asciiTheme="minorHAnsi" w:hAnsiTheme="minorHAnsi" w:cstheme="minorHAnsi"/>
          <w:sz w:val="24"/>
        </w:rPr>
        <w:t xml:space="preserve">From the time of grant award to project closeout, the grant recipients are being continually reviewed for compliance with program regulations. At the time of award, each project is assigned a specific CDBG staff member to serve as a field representative for the project. While projects are open, the grantee is required to submit quarterly progress reports. These are reviewed by the appropriate field representative. Projects usually have two on-site monitoring reviews. These reviews include the following compliance areas: national objective, project eligibility, financial management, environmental review, procurement, labor standards, acquisition and relocation, civil rights, fair housing, Section 3, and property management. In addition to the common compliance areas, housing rehabilitation projects are also reviewed for lead base paint issues and to ensure that repairs meet the appropriate housing standards. Similarly, economic development projects are also reviewed to ensure that job targets are met and that loan payments are being made as set forth in the various loan documents. </w:t>
      </w:r>
    </w:p>
    <w:p w14:paraId="705876F7" w14:textId="77777777" w:rsidR="007C520D" w:rsidRPr="00240A27" w:rsidRDefault="007C520D" w:rsidP="007C520D">
      <w:pPr>
        <w:spacing w:after="0"/>
        <w:rPr>
          <w:rFonts w:asciiTheme="minorHAnsi" w:hAnsiTheme="minorHAnsi" w:cstheme="minorHAnsi"/>
          <w:sz w:val="24"/>
        </w:rPr>
      </w:pPr>
    </w:p>
    <w:p w14:paraId="0CD8D1C1" w14:textId="77777777" w:rsidR="007C520D" w:rsidRPr="00240A27" w:rsidRDefault="007C520D" w:rsidP="007C520D">
      <w:pPr>
        <w:spacing w:after="0"/>
        <w:rPr>
          <w:rFonts w:asciiTheme="minorHAnsi" w:hAnsiTheme="minorHAnsi" w:cstheme="minorHAnsi"/>
          <w:sz w:val="24"/>
        </w:rPr>
      </w:pPr>
      <w:r w:rsidRPr="00240A27">
        <w:rPr>
          <w:rFonts w:asciiTheme="minorHAnsi" w:hAnsiTheme="minorHAnsi" w:cstheme="minorHAnsi"/>
          <w:sz w:val="24"/>
        </w:rPr>
        <w:t>After each on-site monitoring review, the field representative writes a letter to the Chief Elected Official outlining the project’s progress and compliance with the relevant CDBG regulations. If there are any deficiencies or findings, the grantee has thirty days to resolve the deficiencies or findings. At the completion of the project, the field representative and the audit/closeout officer review the grant file prior to issuing a certificate of completion.</w:t>
      </w:r>
    </w:p>
    <w:p w14:paraId="74F3926E" w14:textId="77777777" w:rsidR="007C520D" w:rsidRDefault="007C520D" w:rsidP="007C520D">
      <w:pPr>
        <w:tabs>
          <w:tab w:val="left" w:pos="744"/>
        </w:tabs>
        <w:rPr>
          <w:rFonts w:asciiTheme="minorHAnsi" w:hAnsiTheme="minorHAnsi" w:cstheme="minorHAnsi"/>
          <w:sz w:val="24"/>
          <w:szCs w:val="24"/>
        </w:rPr>
      </w:pPr>
    </w:p>
    <w:p w14:paraId="3F458471" w14:textId="77777777" w:rsidR="007C520D" w:rsidRPr="00432F73" w:rsidRDefault="007C520D" w:rsidP="007C520D">
      <w:pPr>
        <w:tabs>
          <w:tab w:val="left" w:pos="744"/>
        </w:tabs>
        <w:rPr>
          <w:rFonts w:asciiTheme="minorHAnsi" w:hAnsiTheme="minorHAnsi" w:cstheme="minorHAnsi"/>
          <w:sz w:val="24"/>
          <w:szCs w:val="24"/>
          <w:u w:val="single"/>
        </w:rPr>
      </w:pPr>
      <w:r w:rsidRPr="00432F73">
        <w:rPr>
          <w:rFonts w:asciiTheme="minorHAnsi" w:hAnsiTheme="minorHAnsi" w:cstheme="minorHAnsi"/>
          <w:sz w:val="24"/>
          <w:szCs w:val="24"/>
          <w:u w:val="single"/>
        </w:rPr>
        <w:t>HOME Program</w:t>
      </w:r>
    </w:p>
    <w:p w14:paraId="68F6ADE7" w14:textId="77777777" w:rsidR="007C520D" w:rsidRPr="00432F73" w:rsidRDefault="007C520D" w:rsidP="007C520D">
      <w:pPr>
        <w:autoSpaceDE w:val="0"/>
        <w:autoSpaceDN w:val="0"/>
        <w:adjustRightInd w:val="0"/>
        <w:spacing w:after="0"/>
        <w:rPr>
          <w:rFonts w:asciiTheme="minorHAnsi" w:hAnsiTheme="minorHAnsi" w:cstheme="minorHAnsi"/>
          <w:i/>
          <w:sz w:val="24"/>
          <w:szCs w:val="24"/>
        </w:rPr>
      </w:pPr>
      <w:r w:rsidRPr="00432F73">
        <w:rPr>
          <w:rFonts w:asciiTheme="minorHAnsi" w:hAnsiTheme="minorHAnsi" w:cstheme="minorHAnsi"/>
          <w:i/>
          <w:sz w:val="24"/>
          <w:szCs w:val="24"/>
        </w:rPr>
        <w:t>First-Time Homebuyer Program</w:t>
      </w:r>
    </w:p>
    <w:p w14:paraId="5A7A625D"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 xml:space="preserve">The First Time Homebuyer Program accepts applications and performs a detailed review on each potential homebuyer. Reviews include income eligibility, property eligibility, program thresholds, environmental standards, and the Uniform Relocation Act. Compliance with all local program standards and federal regulations are met prior to funds being expended. To ensure compliance with the affordability period, a certification letter is mailed annually. The homeowner returns a signed statement certifying that they are residing at the address, and that the property is maintained in good condition. </w:t>
      </w:r>
    </w:p>
    <w:p w14:paraId="241C75C2"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72DE637F" w14:textId="77777777" w:rsidR="007C520D" w:rsidRPr="00432F73" w:rsidRDefault="007C520D" w:rsidP="007C520D">
      <w:pPr>
        <w:autoSpaceDE w:val="0"/>
        <w:autoSpaceDN w:val="0"/>
        <w:adjustRightInd w:val="0"/>
        <w:spacing w:after="0" w:line="240" w:lineRule="auto"/>
        <w:rPr>
          <w:rFonts w:asciiTheme="minorHAnsi" w:hAnsiTheme="minorHAnsi" w:cstheme="minorHAnsi"/>
          <w:i/>
          <w:color w:val="000000"/>
          <w:sz w:val="24"/>
          <w:szCs w:val="24"/>
          <w:lang w:eastAsia="ko-KR"/>
        </w:rPr>
      </w:pPr>
      <w:r w:rsidRPr="00432F73">
        <w:rPr>
          <w:rFonts w:asciiTheme="minorHAnsi" w:hAnsiTheme="minorHAnsi" w:cstheme="minorHAnsi"/>
          <w:i/>
          <w:color w:val="000000"/>
          <w:sz w:val="24"/>
          <w:szCs w:val="24"/>
          <w:lang w:eastAsia="ko-KR"/>
        </w:rPr>
        <w:t>Rental Development Program</w:t>
      </w:r>
    </w:p>
    <w:p w14:paraId="589BFF0A"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 xml:space="preserve">The Kansas Housing Resources Corporation (KHRC) monitors HOME Rental Development compliance throughout the duration of affordability period, through periodic site visits, desk audits, review of annual report submissions, and frequent communication with owners and managers. </w:t>
      </w:r>
    </w:p>
    <w:p w14:paraId="7393FEDE"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0FA57B7E"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Prior to project approval, KHRC reviews each proposed HOME Rental project through site reviews, project underwriting, and evaluation of subsidy layering. Once approved, KHRC provides guidance and monitors for compliance with HOME program requirements during the development process. There are generally several benchmarks for evaluation, including submission of payment requests, periodic construction progress meetings, quarterly development progress reports, interim and final project inspections. Enhanced monitoring, including more frequent inspections, will occur if risk factors are identified (such as developer inexperience, excessive errors, non-compliance with procedures or documentation, etc.).</w:t>
      </w:r>
    </w:p>
    <w:p w14:paraId="5A7F5987"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629A7831" w14:textId="77777777" w:rsidR="007C520D" w:rsidRPr="00432F73" w:rsidRDefault="007C520D" w:rsidP="007C520D">
      <w:pPr>
        <w:tabs>
          <w:tab w:val="left" w:pos="744"/>
        </w:tabs>
        <w:rPr>
          <w:rFonts w:asciiTheme="minorHAnsi" w:hAnsiTheme="minorHAnsi" w:cstheme="minorHAnsi"/>
          <w:sz w:val="24"/>
          <w:szCs w:val="24"/>
        </w:rPr>
      </w:pPr>
      <w:r w:rsidRPr="00432F73">
        <w:rPr>
          <w:rFonts w:asciiTheme="minorHAnsi" w:hAnsiTheme="minorHAnsi" w:cstheme="minorHAnsi"/>
          <w:sz w:val="24"/>
          <w:szCs w:val="24"/>
        </w:rPr>
        <w:t xml:space="preserve">Ongoing compliance monitoring of completed projects consists of regular physical, property management and tenant file inspections according to the requirements of 24 CFR Part 92 and related publications; annual compliance reports filed by the owner/developer; and provision of technical assistance on procedures, rules and regulations. A risk-based process identifies distressed or troubled projects, with more frequent and intensive monitoring of those properties. </w:t>
      </w:r>
    </w:p>
    <w:p w14:paraId="5B01DC12" w14:textId="694AE3A1" w:rsidR="007C520D" w:rsidRPr="00432F73" w:rsidRDefault="007C520D" w:rsidP="007C520D">
      <w:pPr>
        <w:tabs>
          <w:tab w:val="left" w:pos="744"/>
        </w:tabs>
        <w:rPr>
          <w:rFonts w:asciiTheme="minorHAnsi" w:hAnsiTheme="minorHAnsi" w:cstheme="minorHAnsi"/>
          <w:sz w:val="24"/>
          <w:szCs w:val="24"/>
        </w:rPr>
      </w:pPr>
      <w:r w:rsidRPr="00432F73">
        <w:rPr>
          <w:rFonts w:asciiTheme="minorHAnsi" w:hAnsiTheme="minorHAnsi" w:cstheme="minorHAnsi"/>
          <w:i/>
          <w:sz w:val="24"/>
          <w:szCs w:val="24"/>
        </w:rPr>
        <w:t>Tenant Based Rental Assistance (TBRA) Program Monitoring</w:t>
      </w:r>
      <w:r w:rsidR="002C7A73">
        <w:rPr>
          <w:rFonts w:asciiTheme="minorHAnsi" w:hAnsiTheme="minorHAnsi" w:cstheme="minorHAnsi"/>
          <w:i/>
          <w:sz w:val="24"/>
          <w:szCs w:val="24"/>
        </w:rPr>
        <w:t>.</w:t>
      </w:r>
      <w:r w:rsidRPr="00432F73">
        <w:rPr>
          <w:rFonts w:asciiTheme="minorHAnsi" w:hAnsiTheme="minorHAnsi" w:cstheme="minorHAnsi"/>
          <w:i/>
          <w:sz w:val="24"/>
          <w:szCs w:val="24"/>
        </w:rPr>
        <w:t xml:space="preserve"> </w:t>
      </w:r>
      <w:r w:rsidRPr="00432F73">
        <w:rPr>
          <w:rFonts w:asciiTheme="minorHAnsi" w:hAnsiTheme="minorHAnsi" w:cstheme="minorHAnsi"/>
          <w:sz w:val="24"/>
          <w:szCs w:val="24"/>
        </w:rPr>
        <w:t xml:space="preserve">The Kansas Housing Resources Corporation (KHRC) monitors HOME TBRA compliance through review of quarterly reports, grant completion reports, and tenant eligibility data submitted on a continuous basis. </w:t>
      </w:r>
    </w:p>
    <w:p w14:paraId="71648A6F" w14:textId="73B29C5A"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On site compliance reviews</w:t>
      </w:r>
      <w:r w:rsidR="00F61B15">
        <w:rPr>
          <w:rFonts w:asciiTheme="minorHAnsi" w:hAnsiTheme="minorHAnsi" w:cstheme="minorHAnsi"/>
          <w:sz w:val="24"/>
          <w:szCs w:val="24"/>
        </w:rPr>
        <w:t xml:space="preserve"> or desk monitorings</w:t>
      </w:r>
      <w:r w:rsidRPr="00432F73">
        <w:rPr>
          <w:rFonts w:asciiTheme="minorHAnsi" w:hAnsiTheme="minorHAnsi" w:cstheme="minorHAnsi"/>
          <w:sz w:val="24"/>
          <w:szCs w:val="24"/>
        </w:rPr>
        <w:t xml:space="preserve"> take place annually. Additional KHRC visits take place based on a KHRC assessment of subrecipient needs and performance. Written reports are provided to the subrecipient, with corrective actions if indicated. </w:t>
      </w:r>
    </w:p>
    <w:p w14:paraId="391FB3BE"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103F5DC3"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 xml:space="preserve">The following are included in the annual review: Administrative policies and procedures; financial records; participant selection policies; marketing plan and procedures; compliance with Lead Based Paint regulations; tenant file reviews for eligibility; property standards inspections. </w:t>
      </w:r>
    </w:p>
    <w:p w14:paraId="69FCBE3B" w14:textId="77777777" w:rsidR="007C520D" w:rsidRPr="00432F73" w:rsidRDefault="007C520D" w:rsidP="007C520D">
      <w:pPr>
        <w:tabs>
          <w:tab w:val="left" w:pos="744"/>
        </w:tabs>
        <w:rPr>
          <w:rFonts w:asciiTheme="minorHAnsi" w:hAnsiTheme="minorHAnsi" w:cstheme="minorHAnsi"/>
          <w:sz w:val="24"/>
          <w:szCs w:val="24"/>
          <w:u w:val="single"/>
        </w:rPr>
      </w:pPr>
    </w:p>
    <w:p w14:paraId="201AC6B6" w14:textId="77777777" w:rsidR="007C520D" w:rsidRPr="00432F73" w:rsidRDefault="007C520D" w:rsidP="007C520D">
      <w:pPr>
        <w:tabs>
          <w:tab w:val="left" w:pos="744"/>
        </w:tabs>
        <w:rPr>
          <w:rFonts w:asciiTheme="minorHAnsi" w:hAnsiTheme="minorHAnsi" w:cstheme="minorHAnsi"/>
          <w:sz w:val="24"/>
          <w:szCs w:val="24"/>
          <w:u w:val="single"/>
        </w:rPr>
      </w:pPr>
      <w:r w:rsidRPr="00432F73">
        <w:rPr>
          <w:rFonts w:asciiTheme="minorHAnsi" w:hAnsiTheme="minorHAnsi" w:cstheme="minorHAnsi"/>
          <w:sz w:val="24"/>
          <w:szCs w:val="24"/>
          <w:u w:val="single"/>
        </w:rPr>
        <w:t>ESG Program Monitoring:</w:t>
      </w:r>
    </w:p>
    <w:p w14:paraId="3E45EF76" w14:textId="77777777" w:rsidR="007C520D" w:rsidRPr="00432F73" w:rsidRDefault="007C520D" w:rsidP="007C520D">
      <w:pPr>
        <w:tabs>
          <w:tab w:val="left" w:pos="744"/>
        </w:tabs>
        <w:rPr>
          <w:rFonts w:asciiTheme="minorHAnsi" w:hAnsiTheme="minorHAnsi" w:cstheme="minorHAnsi"/>
          <w:sz w:val="24"/>
          <w:szCs w:val="24"/>
        </w:rPr>
      </w:pPr>
      <w:r w:rsidRPr="00432F73">
        <w:rPr>
          <w:rFonts w:asciiTheme="minorHAnsi" w:hAnsiTheme="minorHAnsi" w:cstheme="minorHAnsi"/>
          <w:sz w:val="24"/>
          <w:szCs w:val="24"/>
        </w:rPr>
        <w:t xml:space="preserve">Sub recipients are monitored to ensure compliance with ESG regulations and program requirements. </w:t>
      </w:r>
    </w:p>
    <w:p w14:paraId="1C005650" w14:textId="77777777" w:rsidR="007C520D"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 xml:space="preserve">KHRC will utilize the following monitoring process for the ESG program. </w:t>
      </w:r>
    </w:p>
    <w:p w14:paraId="53FC09BC"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070E66DD" w14:textId="77777777" w:rsidR="007C520D" w:rsidRPr="00240A27" w:rsidRDefault="007C520D" w:rsidP="007C520D">
      <w:pPr>
        <w:autoSpaceDE w:val="0"/>
        <w:autoSpaceDN w:val="0"/>
        <w:adjustRightInd w:val="0"/>
        <w:spacing w:after="0"/>
        <w:rPr>
          <w:rFonts w:cs="Arial"/>
          <w:sz w:val="24"/>
        </w:rPr>
      </w:pPr>
      <w:r w:rsidRPr="00240A27">
        <w:rPr>
          <w:rFonts w:cs="Arial"/>
          <w:sz w:val="24"/>
        </w:rPr>
        <w:t xml:space="preserve">Annual Risk Assessment </w:t>
      </w:r>
    </w:p>
    <w:p w14:paraId="4E8CDF89" w14:textId="77777777" w:rsidR="007C520D" w:rsidRPr="00240A27" w:rsidRDefault="007C520D" w:rsidP="007C520D">
      <w:pPr>
        <w:autoSpaceDE w:val="0"/>
        <w:autoSpaceDN w:val="0"/>
        <w:adjustRightInd w:val="0"/>
        <w:spacing w:after="0"/>
        <w:rPr>
          <w:rFonts w:cs="Arial"/>
          <w:sz w:val="24"/>
        </w:rPr>
      </w:pPr>
      <w:r w:rsidRPr="00240A27">
        <w:rPr>
          <w:rFonts w:cs="Arial"/>
          <w:sz w:val="24"/>
        </w:rPr>
        <w:t>Each subrecipient is assessed annually for risk of noncompliance with Federal statues, regulations and the terms and conditions of the sub-award for the purpose of determining the appropriate subrecipient monitoring level.  KHRC utilizes a “Risk Evaluation Matrix” that evaluates several criteria and scores each to determine the risk level and frequency of monitoring including:</w:t>
      </w:r>
    </w:p>
    <w:p w14:paraId="0D686DE7" w14:textId="77777777" w:rsidR="007C520D" w:rsidRPr="00240A27" w:rsidRDefault="007C520D" w:rsidP="00A121EE">
      <w:pPr>
        <w:pStyle w:val="ListParagraph"/>
        <w:numPr>
          <w:ilvl w:val="0"/>
          <w:numId w:val="48"/>
        </w:numPr>
        <w:autoSpaceDE w:val="0"/>
        <w:autoSpaceDN w:val="0"/>
        <w:adjustRightInd w:val="0"/>
        <w:spacing w:after="0"/>
        <w:rPr>
          <w:rFonts w:cs="Arial"/>
          <w:sz w:val="24"/>
        </w:rPr>
      </w:pPr>
      <w:r w:rsidRPr="00240A27">
        <w:rPr>
          <w:rFonts w:cs="Arial"/>
          <w:sz w:val="24"/>
        </w:rPr>
        <w:t>Low Risk - On-site comprehensive monitoring completed at least every 2 years</w:t>
      </w:r>
    </w:p>
    <w:p w14:paraId="7A4CF64E" w14:textId="77777777" w:rsidR="007C520D" w:rsidRPr="00240A27" w:rsidRDefault="007C520D" w:rsidP="00A121EE">
      <w:pPr>
        <w:pStyle w:val="ListParagraph"/>
        <w:numPr>
          <w:ilvl w:val="0"/>
          <w:numId w:val="48"/>
        </w:numPr>
        <w:autoSpaceDE w:val="0"/>
        <w:autoSpaceDN w:val="0"/>
        <w:adjustRightInd w:val="0"/>
        <w:spacing w:after="0"/>
        <w:rPr>
          <w:rFonts w:cs="Arial"/>
          <w:sz w:val="24"/>
        </w:rPr>
      </w:pPr>
      <w:r w:rsidRPr="00240A27">
        <w:rPr>
          <w:rFonts w:cs="Arial"/>
          <w:sz w:val="24"/>
        </w:rPr>
        <w:t>Moderate Risk - On-site monitoring completed at least every 2 years, desk review quarterly</w:t>
      </w:r>
    </w:p>
    <w:p w14:paraId="759201CC" w14:textId="77777777" w:rsidR="007C520D" w:rsidRPr="00240A27" w:rsidRDefault="007C520D" w:rsidP="00A121EE">
      <w:pPr>
        <w:pStyle w:val="ListParagraph"/>
        <w:numPr>
          <w:ilvl w:val="0"/>
          <w:numId w:val="48"/>
        </w:numPr>
        <w:autoSpaceDE w:val="0"/>
        <w:autoSpaceDN w:val="0"/>
        <w:adjustRightInd w:val="0"/>
        <w:spacing w:after="0"/>
        <w:rPr>
          <w:rFonts w:cs="Arial"/>
          <w:sz w:val="24"/>
        </w:rPr>
      </w:pPr>
      <w:r w:rsidRPr="00240A27">
        <w:rPr>
          <w:rFonts w:cs="Arial"/>
          <w:sz w:val="24"/>
        </w:rPr>
        <w:t>High Risk - Consider moving sub recipient to High Risk Status, on-site monitoring at least annually, desk review quarterly</w:t>
      </w:r>
    </w:p>
    <w:p w14:paraId="7D5BEBDD"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4A7467C2" w14:textId="77777777" w:rsidR="007C520D" w:rsidRPr="00432F73" w:rsidRDefault="007C520D" w:rsidP="007C520D">
      <w:pPr>
        <w:autoSpaceDE w:val="0"/>
        <w:autoSpaceDN w:val="0"/>
        <w:adjustRightInd w:val="0"/>
        <w:spacing w:after="0"/>
        <w:rPr>
          <w:rFonts w:asciiTheme="minorHAnsi" w:hAnsiTheme="minorHAnsi" w:cstheme="minorHAnsi"/>
          <w:i/>
          <w:sz w:val="24"/>
          <w:szCs w:val="24"/>
        </w:rPr>
      </w:pPr>
      <w:r w:rsidRPr="00432F73">
        <w:rPr>
          <w:rFonts w:asciiTheme="minorHAnsi" w:hAnsiTheme="minorHAnsi" w:cstheme="minorHAnsi"/>
          <w:i/>
          <w:sz w:val="24"/>
          <w:szCs w:val="24"/>
        </w:rPr>
        <w:t xml:space="preserve">Desk monitoring: </w:t>
      </w:r>
    </w:p>
    <w:p w14:paraId="6EBD5BA9"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Desk monitoring includes ongoing tra</w:t>
      </w:r>
      <w:r w:rsidRPr="00432F73">
        <w:rPr>
          <w:rFonts w:asciiTheme="minorHAnsi" w:hAnsiTheme="minorHAnsi" w:cstheme="minorHAnsi"/>
          <w:sz w:val="24"/>
          <w:szCs w:val="24"/>
        </w:rPr>
        <w:t xml:space="preserve">cking and monitoring of monthly reporting including all requests for reimbursement-financial status reports submitted by the ESG Sub Recipients.  ESG desk monitoring includes the documentation review of financial transaction records and receipts, the documentation of program eligibility certification and telephone consultations with sub recipient program staff and administrators.   </w:t>
      </w:r>
    </w:p>
    <w:p w14:paraId="71724898"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p>
    <w:p w14:paraId="4857E621" w14:textId="77777777" w:rsidR="007C520D" w:rsidRPr="00707DB9" w:rsidRDefault="007C520D" w:rsidP="007C520D">
      <w:pPr>
        <w:autoSpaceDE w:val="0"/>
        <w:autoSpaceDN w:val="0"/>
        <w:adjustRightInd w:val="0"/>
        <w:spacing w:after="0"/>
        <w:rPr>
          <w:rFonts w:asciiTheme="minorHAnsi" w:hAnsiTheme="minorHAnsi" w:cstheme="minorHAnsi"/>
          <w:i/>
          <w:sz w:val="24"/>
          <w:szCs w:val="24"/>
        </w:rPr>
      </w:pPr>
      <w:r w:rsidRPr="00707DB9">
        <w:rPr>
          <w:rFonts w:asciiTheme="minorHAnsi" w:hAnsiTheme="minorHAnsi" w:cstheme="minorHAnsi"/>
          <w:i/>
          <w:sz w:val="24"/>
          <w:szCs w:val="24"/>
        </w:rPr>
        <w:t xml:space="preserve">On-site visits: </w:t>
      </w:r>
    </w:p>
    <w:p w14:paraId="6F246404" w14:textId="77777777" w:rsidR="007C520D" w:rsidRPr="00707DB9" w:rsidRDefault="007C520D" w:rsidP="007C520D">
      <w:pPr>
        <w:tabs>
          <w:tab w:val="left" w:pos="744"/>
        </w:tabs>
        <w:jc w:val="both"/>
        <w:rPr>
          <w:rFonts w:cs="Arial"/>
          <w:sz w:val="24"/>
          <w:szCs w:val="24"/>
        </w:rPr>
      </w:pPr>
      <w:r w:rsidRPr="00707DB9">
        <w:rPr>
          <w:rFonts w:cs="Arial"/>
          <w:sz w:val="24"/>
          <w:szCs w:val="24"/>
        </w:rPr>
        <w:t>All ESG Sub Recipients will be monitored at least once every two years unless the risk assessment determines more frequent level of monitoring.  The on-site monitoring process will include on-site visits with the Sub Recipient (City or County) and the sub recipient agencies.   The categories monitored will include a review of financial policies and procedures, ESG written policies and procedures, shelter inspections and program participant files.</w:t>
      </w:r>
    </w:p>
    <w:p w14:paraId="621DDA19" w14:textId="77777777" w:rsidR="007C520D" w:rsidRPr="00432F73" w:rsidRDefault="007C520D" w:rsidP="007C520D">
      <w:pPr>
        <w:autoSpaceDE w:val="0"/>
        <w:autoSpaceDN w:val="0"/>
        <w:adjustRightInd w:val="0"/>
        <w:spacing w:after="0"/>
        <w:rPr>
          <w:rFonts w:asciiTheme="minorHAnsi" w:hAnsiTheme="minorHAnsi" w:cstheme="minorHAnsi"/>
          <w:i/>
          <w:sz w:val="24"/>
          <w:szCs w:val="24"/>
        </w:rPr>
      </w:pPr>
    </w:p>
    <w:p w14:paraId="2E44D99C" w14:textId="77777777" w:rsidR="007C520D" w:rsidRPr="00432F73" w:rsidRDefault="007C520D" w:rsidP="007C520D">
      <w:pPr>
        <w:tabs>
          <w:tab w:val="left" w:pos="744"/>
        </w:tabs>
        <w:rPr>
          <w:rFonts w:asciiTheme="minorHAnsi" w:hAnsiTheme="minorHAnsi" w:cstheme="minorHAnsi"/>
          <w:sz w:val="24"/>
          <w:szCs w:val="24"/>
          <w:u w:val="single"/>
        </w:rPr>
      </w:pPr>
      <w:r w:rsidRPr="00432F73">
        <w:rPr>
          <w:rFonts w:asciiTheme="minorHAnsi" w:hAnsiTheme="minorHAnsi" w:cstheme="minorHAnsi"/>
          <w:sz w:val="24"/>
          <w:szCs w:val="24"/>
          <w:u w:val="single"/>
        </w:rPr>
        <w:t>HOPWA Program Monitoring:</w:t>
      </w:r>
    </w:p>
    <w:p w14:paraId="225CF80F"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 xml:space="preserve">The Kansas Department of Health and Environment (KDHE) continually monitors Kansas Care Through Housing (KCTH) through monthly financial data, including reimbursement spreadsheets, quarterly reports and yearly reports. Required submissions to the Grantee are outlined within the yearly agreements between KDHE and KCTH. </w:t>
      </w:r>
    </w:p>
    <w:p w14:paraId="63A52EBD" w14:textId="77777777" w:rsidR="007C520D" w:rsidRPr="00432F73" w:rsidRDefault="007C520D" w:rsidP="007C520D">
      <w:pPr>
        <w:autoSpaceDE w:val="0"/>
        <w:autoSpaceDN w:val="0"/>
        <w:adjustRightInd w:val="0"/>
        <w:spacing w:after="0" w:line="240" w:lineRule="auto"/>
        <w:rPr>
          <w:rFonts w:asciiTheme="minorHAnsi" w:hAnsiTheme="minorHAnsi" w:cstheme="minorHAnsi"/>
          <w:color w:val="000000"/>
          <w:sz w:val="24"/>
          <w:szCs w:val="24"/>
          <w:lang w:eastAsia="ko-KR"/>
        </w:rPr>
      </w:pPr>
    </w:p>
    <w:p w14:paraId="52FEF9F3" w14:textId="77777777" w:rsidR="007C520D" w:rsidRPr="00432F73" w:rsidRDefault="007C520D" w:rsidP="007C520D">
      <w:pPr>
        <w:autoSpaceDE w:val="0"/>
        <w:autoSpaceDN w:val="0"/>
        <w:adjustRightInd w:val="0"/>
        <w:spacing w:after="0"/>
        <w:rPr>
          <w:rFonts w:asciiTheme="minorHAnsi" w:hAnsiTheme="minorHAnsi" w:cstheme="minorHAnsi"/>
          <w:sz w:val="24"/>
          <w:szCs w:val="24"/>
        </w:rPr>
      </w:pPr>
      <w:r w:rsidRPr="00432F73">
        <w:rPr>
          <w:rFonts w:asciiTheme="minorHAnsi" w:hAnsiTheme="minorHAnsi" w:cstheme="minorHAnsi"/>
          <w:sz w:val="24"/>
          <w:szCs w:val="24"/>
        </w:rPr>
        <w:t>On site monitoring occurs annually. The goal of this formal annual compliance review is to ensure compliance with and provide technical assistance relating to federal regulations, State policies and program procedures.</w:t>
      </w:r>
    </w:p>
    <w:p w14:paraId="52A827B8" w14:textId="79A5908B" w:rsidR="00564ADD" w:rsidRDefault="00564ADD" w:rsidP="00564ADD">
      <w:pPr>
        <w:pStyle w:val="Heading1"/>
        <w:pageBreakBefore/>
        <w:jc w:val="center"/>
        <w:rPr>
          <w:rFonts w:ascii="Calibri" w:hAnsi="Calibri"/>
          <w:color w:val="auto"/>
          <w:sz w:val="32"/>
          <w:szCs w:val="32"/>
        </w:rPr>
      </w:pPr>
      <w:bookmarkStart w:id="59" w:name="_Toc524603042"/>
      <w:r>
        <w:rPr>
          <w:rFonts w:ascii="Calibri" w:hAnsi="Calibri"/>
          <w:color w:val="auto"/>
          <w:sz w:val="32"/>
          <w:szCs w:val="32"/>
        </w:rPr>
        <w:t>Action Plan</w:t>
      </w:r>
      <w:bookmarkEnd w:id="59"/>
    </w:p>
    <w:p w14:paraId="297CE142" w14:textId="77777777" w:rsidR="00564ADD" w:rsidRDefault="00564ADD" w:rsidP="00564ADD">
      <w:pPr>
        <w:pStyle w:val="Heading2"/>
        <w:keepNext w:val="0"/>
        <w:shd w:val="clear" w:color="auto" w:fill="95B3D7" w:themeFill="accent1" w:themeFillTint="99"/>
        <w:rPr>
          <w:rFonts w:ascii="Calibri" w:hAnsi="Calibri"/>
          <w:i w:val="0"/>
        </w:rPr>
      </w:pPr>
      <w:bookmarkStart w:id="60" w:name="_Toc524603043"/>
      <w:r>
        <w:rPr>
          <w:rFonts w:ascii="Calibri" w:hAnsi="Calibri"/>
          <w:i w:val="0"/>
        </w:rPr>
        <w:t>AP-15 Expected Resources – 91.320(c)(1,2)</w:t>
      </w:r>
      <w:bookmarkEnd w:id="60"/>
    </w:p>
    <w:p w14:paraId="72D241B2" w14:textId="77777777" w:rsidR="00564ADD" w:rsidRDefault="00564ADD" w:rsidP="00564ADD">
      <w:pPr>
        <w:widowControl w:val="0"/>
        <w:spacing w:line="204" w:lineRule="auto"/>
        <w:rPr>
          <w:rFonts w:cs="Arial"/>
          <w:b/>
          <w:bCs/>
          <w:iCs/>
          <w:sz w:val="28"/>
          <w:szCs w:val="28"/>
        </w:rPr>
      </w:pPr>
    </w:p>
    <w:p w14:paraId="04284840" w14:textId="36DA6144" w:rsidR="00564ADD" w:rsidRDefault="00564ADD" w:rsidP="00564ADD">
      <w:pPr>
        <w:widowControl w:val="0"/>
        <w:spacing w:line="204" w:lineRule="auto"/>
        <w:rPr>
          <w:b/>
          <w:sz w:val="24"/>
          <w:szCs w:val="24"/>
        </w:rPr>
      </w:pPr>
      <w:r>
        <w:rPr>
          <w:b/>
          <w:sz w:val="24"/>
          <w:szCs w:val="24"/>
        </w:rPr>
        <w:t>Introduction</w:t>
      </w:r>
    </w:p>
    <w:p w14:paraId="18687F2B" w14:textId="77777777" w:rsidR="00564ADD" w:rsidRDefault="00564ADD" w:rsidP="00564ADD">
      <w:pPr>
        <w:widowControl w:val="0"/>
        <w:spacing w:line="204" w:lineRule="auto"/>
        <w:rPr>
          <w:sz w:val="24"/>
          <w:szCs w:val="24"/>
        </w:rPr>
      </w:pPr>
      <w:r>
        <w:rPr>
          <w:sz w:val="24"/>
          <w:szCs w:val="24"/>
        </w:rPr>
        <w:t>The 2019 Annual Action Plan outlines resources expected to be made available that will be used to address the priority needs and specific objectives identified in the Strategic Plan and the Annual Action Plan. The State anticipates a total appropriation of $         The following table displays resources to be allocated to non-entitlement areas of Kansas. Below are allocations for 2019:</w:t>
      </w:r>
    </w:p>
    <w:p w14:paraId="63042717" w14:textId="60D1BEA9" w:rsidR="007605E0" w:rsidRDefault="007605E0" w:rsidP="007605E0">
      <w:pPr>
        <w:pStyle w:val="ListParagraph"/>
        <w:numPr>
          <w:ilvl w:val="0"/>
          <w:numId w:val="17"/>
        </w:numPr>
        <w:jc w:val="both"/>
        <w:rPr>
          <w:rFonts w:cs="Arial"/>
          <w:sz w:val="24"/>
          <w:szCs w:val="24"/>
        </w:rPr>
      </w:pPr>
      <w:r>
        <w:rPr>
          <w:rFonts w:cs="Arial"/>
          <w:sz w:val="24"/>
          <w:szCs w:val="24"/>
        </w:rPr>
        <w:t xml:space="preserve">CDBG: $14 million </w:t>
      </w:r>
    </w:p>
    <w:p w14:paraId="315C9A0A" w14:textId="698C5267" w:rsidR="007605E0" w:rsidRDefault="007605E0" w:rsidP="007605E0">
      <w:pPr>
        <w:pStyle w:val="ListParagraph"/>
        <w:numPr>
          <w:ilvl w:val="0"/>
          <w:numId w:val="17"/>
        </w:numPr>
        <w:jc w:val="both"/>
        <w:rPr>
          <w:rFonts w:cs="Arial"/>
          <w:sz w:val="24"/>
          <w:szCs w:val="24"/>
        </w:rPr>
      </w:pPr>
      <w:r>
        <w:rPr>
          <w:rFonts w:cs="Arial"/>
          <w:sz w:val="24"/>
          <w:szCs w:val="24"/>
        </w:rPr>
        <w:t xml:space="preserve">HOME: $6.75 million </w:t>
      </w:r>
    </w:p>
    <w:p w14:paraId="488E2EB3" w14:textId="474220AB" w:rsidR="007605E0" w:rsidRDefault="007605E0" w:rsidP="007605E0">
      <w:pPr>
        <w:pStyle w:val="ListParagraph"/>
        <w:numPr>
          <w:ilvl w:val="0"/>
          <w:numId w:val="17"/>
        </w:numPr>
        <w:jc w:val="both"/>
        <w:rPr>
          <w:rFonts w:cs="Arial"/>
          <w:sz w:val="24"/>
          <w:szCs w:val="24"/>
        </w:rPr>
      </w:pPr>
      <w:r>
        <w:rPr>
          <w:rFonts w:cs="Arial"/>
          <w:sz w:val="24"/>
          <w:szCs w:val="24"/>
        </w:rPr>
        <w:t xml:space="preserve">HOPWA: $366,000 </w:t>
      </w:r>
    </w:p>
    <w:p w14:paraId="11A2644B" w14:textId="4EEC2580" w:rsidR="007605E0" w:rsidRDefault="007605E0" w:rsidP="007605E0">
      <w:pPr>
        <w:pStyle w:val="ListParagraph"/>
        <w:numPr>
          <w:ilvl w:val="0"/>
          <w:numId w:val="17"/>
        </w:numPr>
        <w:jc w:val="both"/>
        <w:rPr>
          <w:rFonts w:cs="Arial"/>
          <w:sz w:val="24"/>
          <w:szCs w:val="24"/>
        </w:rPr>
      </w:pPr>
      <w:r>
        <w:rPr>
          <w:rFonts w:cs="Arial"/>
          <w:sz w:val="24"/>
          <w:szCs w:val="24"/>
        </w:rPr>
        <w:t xml:space="preserve">ESG: $1.5 million </w:t>
      </w:r>
    </w:p>
    <w:p w14:paraId="2B299B22" w14:textId="5467701F" w:rsidR="007605E0" w:rsidRPr="007605E0" w:rsidRDefault="007605E0" w:rsidP="007605E0">
      <w:pPr>
        <w:pStyle w:val="ListParagraph"/>
        <w:numPr>
          <w:ilvl w:val="0"/>
          <w:numId w:val="17"/>
        </w:numPr>
        <w:jc w:val="both"/>
        <w:rPr>
          <w:rFonts w:cs="Arial"/>
          <w:sz w:val="24"/>
          <w:szCs w:val="24"/>
        </w:rPr>
      </w:pPr>
      <w:r>
        <w:rPr>
          <w:rFonts w:cs="Arial"/>
          <w:sz w:val="24"/>
          <w:szCs w:val="24"/>
        </w:rPr>
        <w:t xml:space="preserve">HTF: $3 million </w:t>
      </w:r>
    </w:p>
    <w:p w14:paraId="10A04641" w14:textId="54A72454" w:rsidR="00564ADD" w:rsidRDefault="00564ADD" w:rsidP="00564ADD">
      <w:pPr>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417"/>
        <w:gridCol w:w="2458"/>
        <w:gridCol w:w="1260"/>
        <w:gridCol w:w="990"/>
        <w:gridCol w:w="1080"/>
        <w:gridCol w:w="1260"/>
        <w:gridCol w:w="1350"/>
        <w:gridCol w:w="2180"/>
      </w:tblGrid>
      <w:tr w:rsidR="00564ADD" w14:paraId="1AF60A59" w14:textId="77777777" w:rsidTr="009D1558">
        <w:trPr>
          <w:cantSplit/>
          <w:tblHeader/>
        </w:trPr>
        <w:tc>
          <w:tcPr>
            <w:tcW w:w="955" w:type="dxa"/>
            <w:vMerge w:val="restart"/>
          </w:tcPr>
          <w:p w14:paraId="6FB3F544" w14:textId="77777777" w:rsidR="00564ADD" w:rsidRDefault="00564ADD" w:rsidP="009D1558">
            <w:pPr>
              <w:widowControl w:val="0"/>
              <w:spacing w:after="0" w:line="240" w:lineRule="auto"/>
              <w:jc w:val="center"/>
              <w:rPr>
                <w:b/>
                <w:sz w:val="24"/>
                <w:szCs w:val="24"/>
              </w:rPr>
            </w:pPr>
            <w:r>
              <w:rPr>
                <w:b/>
                <w:sz w:val="20"/>
                <w:szCs w:val="20"/>
              </w:rPr>
              <w:t>Program</w:t>
            </w:r>
          </w:p>
        </w:tc>
        <w:tc>
          <w:tcPr>
            <w:tcW w:w="1417" w:type="dxa"/>
            <w:vMerge w:val="restart"/>
          </w:tcPr>
          <w:p w14:paraId="65D520BF" w14:textId="77777777" w:rsidR="00564ADD" w:rsidRDefault="00564ADD" w:rsidP="009D1558">
            <w:pPr>
              <w:widowControl w:val="0"/>
              <w:spacing w:after="0" w:line="240" w:lineRule="auto"/>
              <w:jc w:val="center"/>
              <w:rPr>
                <w:b/>
                <w:sz w:val="24"/>
                <w:szCs w:val="24"/>
              </w:rPr>
            </w:pPr>
            <w:r>
              <w:rPr>
                <w:b/>
                <w:sz w:val="20"/>
                <w:szCs w:val="20"/>
              </w:rPr>
              <w:t>Source of Funds</w:t>
            </w:r>
          </w:p>
        </w:tc>
        <w:tc>
          <w:tcPr>
            <w:tcW w:w="2458" w:type="dxa"/>
            <w:vMerge w:val="restart"/>
          </w:tcPr>
          <w:p w14:paraId="3C5620B8" w14:textId="77777777" w:rsidR="00564ADD" w:rsidRDefault="00564ADD" w:rsidP="009D1558">
            <w:pPr>
              <w:widowControl w:val="0"/>
              <w:spacing w:after="0" w:line="240" w:lineRule="auto"/>
              <w:jc w:val="center"/>
              <w:rPr>
                <w:b/>
                <w:sz w:val="24"/>
                <w:szCs w:val="24"/>
              </w:rPr>
            </w:pPr>
            <w:r>
              <w:rPr>
                <w:b/>
                <w:sz w:val="20"/>
                <w:szCs w:val="20"/>
              </w:rPr>
              <w:t>Uses of Funds</w:t>
            </w:r>
          </w:p>
        </w:tc>
        <w:tc>
          <w:tcPr>
            <w:tcW w:w="4590" w:type="dxa"/>
            <w:gridSpan w:val="4"/>
          </w:tcPr>
          <w:p w14:paraId="4F320ACF" w14:textId="77777777" w:rsidR="00564ADD" w:rsidRDefault="00564ADD" w:rsidP="009D1558">
            <w:pPr>
              <w:widowControl w:val="0"/>
              <w:spacing w:after="0" w:line="240" w:lineRule="auto"/>
              <w:jc w:val="center"/>
              <w:rPr>
                <w:b/>
                <w:sz w:val="24"/>
                <w:szCs w:val="24"/>
              </w:rPr>
            </w:pPr>
            <w:r>
              <w:rPr>
                <w:b/>
                <w:bCs/>
                <w:sz w:val="20"/>
                <w:szCs w:val="20"/>
              </w:rPr>
              <w:t>Expected Amount Available Year 1</w:t>
            </w:r>
          </w:p>
        </w:tc>
        <w:tc>
          <w:tcPr>
            <w:tcW w:w="1350" w:type="dxa"/>
            <w:vMerge w:val="restart"/>
          </w:tcPr>
          <w:p w14:paraId="4DD58A7B" w14:textId="77777777" w:rsidR="00564ADD" w:rsidRDefault="00564ADD" w:rsidP="009D1558">
            <w:pPr>
              <w:widowControl w:val="0"/>
              <w:spacing w:after="0" w:line="240" w:lineRule="auto"/>
              <w:jc w:val="center"/>
              <w:rPr>
                <w:b/>
                <w:sz w:val="20"/>
                <w:szCs w:val="20"/>
              </w:rPr>
            </w:pPr>
            <w:r>
              <w:rPr>
                <w:b/>
                <w:sz w:val="20"/>
                <w:szCs w:val="20"/>
              </w:rPr>
              <w:t xml:space="preserve">Expected Amount Available Remainder of ConPlan </w:t>
            </w:r>
          </w:p>
          <w:p w14:paraId="142E5E03" w14:textId="77777777" w:rsidR="00564ADD" w:rsidRDefault="00564ADD" w:rsidP="009D1558">
            <w:pPr>
              <w:widowControl w:val="0"/>
              <w:spacing w:after="0" w:line="240" w:lineRule="auto"/>
              <w:jc w:val="center"/>
              <w:rPr>
                <w:b/>
                <w:sz w:val="24"/>
                <w:szCs w:val="24"/>
              </w:rPr>
            </w:pPr>
            <w:r>
              <w:rPr>
                <w:b/>
                <w:sz w:val="20"/>
                <w:szCs w:val="20"/>
              </w:rPr>
              <w:t>$</w:t>
            </w:r>
          </w:p>
        </w:tc>
        <w:tc>
          <w:tcPr>
            <w:tcW w:w="2180" w:type="dxa"/>
            <w:vMerge w:val="restart"/>
          </w:tcPr>
          <w:p w14:paraId="51D95DF3" w14:textId="77777777" w:rsidR="00564ADD" w:rsidRDefault="00564ADD" w:rsidP="009D1558">
            <w:pPr>
              <w:widowControl w:val="0"/>
              <w:spacing w:after="0" w:line="240" w:lineRule="auto"/>
              <w:jc w:val="center"/>
              <w:rPr>
                <w:b/>
                <w:sz w:val="24"/>
                <w:szCs w:val="24"/>
              </w:rPr>
            </w:pPr>
            <w:r>
              <w:rPr>
                <w:b/>
                <w:sz w:val="20"/>
                <w:szCs w:val="20"/>
              </w:rPr>
              <w:t>Narrative Description</w:t>
            </w:r>
          </w:p>
        </w:tc>
      </w:tr>
      <w:tr w:rsidR="00564ADD" w14:paraId="4B3B858F" w14:textId="77777777" w:rsidTr="009D1558">
        <w:trPr>
          <w:cantSplit/>
          <w:tblHeader/>
        </w:trPr>
        <w:tc>
          <w:tcPr>
            <w:tcW w:w="955" w:type="dxa"/>
            <w:vMerge/>
          </w:tcPr>
          <w:p w14:paraId="6BF7AE5A" w14:textId="77777777" w:rsidR="00564ADD" w:rsidRDefault="00564ADD" w:rsidP="009D1558">
            <w:pPr>
              <w:widowControl w:val="0"/>
              <w:spacing w:after="0" w:line="240" w:lineRule="auto"/>
              <w:jc w:val="center"/>
              <w:rPr>
                <w:b/>
                <w:sz w:val="24"/>
                <w:szCs w:val="24"/>
              </w:rPr>
            </w:pPr>
          </w:p>
        </w:tc>
        <w:tc>
          <w:tcPr>
            <w:tcW w:w="1417" w:type="dxa"/>
            <w:vMerge/>
          </w:tcPr>
          <w:p w14:paraId="17E8B17A" w14:textId="77777777" w:rsidR="00564ADD" w:rsidRDefault="00564ADD" w:rsidP="009D1558">
            <w:pPr>
              <w:widowControl w:val="0"/>
              <w:spacing w:after="0" w:line="240" w:lineRule="auto"/>
              <w:jc w:val="center"/>
              <w:rPr>
                <w:b/>
                <w:sz w:val="24"/>
                <w:szCs w:val="24"/>
              </w:rPr>
            </w:pPr>
          </w:p>
        </w:tc>
        <w:tc>
          <w:tcPr>
            <w:tcW w:w="2458" w:type="dxa"/>
            <w:vMerge/>
          </w:tcPr>
          <w:p w14:paraId="54ED55AF" w14:textId="77777777" w:rsidR="00564ADD" w:rsidRDefault="00564ADD" w:rsidP="009D1558">
            <w:pPr>
              <w:widowControl w:val="0"/>
              <w:spacing w:after="0" w:line="240" w:lineRule="auto"/>
              <w:jc w:val="center"/>
              <w:rPr>
                <w:b/>
                <w:sz w:val="24"/>
                <w:szCs w:val="24"/>
              </w:rPr>
            </w:pPr>
          </w:p>
        </w:tc>
        <w:tc>
          <w:tcPr>
            <w:tcW w:w="1260" w:type="dxa"/>
          </w:tcPr>
          <w:p w14:paraId="2FFCF58A" w14:textId="77777777" w:rsidR="00564ADD" w:rsidRDefault="00564ADD" w:rsidP="009D1558">
            <w:pPr>
              <w:widowControl w:val="0"/>
              <w:spacing w:after="0" w:line="240" w:lineRule="auto"/>
              <w:jc w:val="center"/>
              <w:rPr>
                <w:b/>
                <w:sz w:val="20"/>
                <w:szCs w:val="20"/>
              </w:rPr>
            </w:pPr>
            <w:r>
              <w:rPr>
                <w:b/>
                <w:sz w:val="20"/>
                <w:szCs w:val="20"/>
              </w:rPr>
              <w:t>Annual Allocation</w:t>
            </w:r>
          </w:p>
          <w:p w14:paraId="1664763E" w14:textId="77777777" w:rsidR="00564ADD" w:rsidRDefault="00564ADD" w:rsidP="009D1558">
            <w:pPr>
              <w:widowControl w:val="0"/>
              <w:spacing w:after="0" w:line="240" w:lineRule="auto"/>
              <w:jc w:val="center"/>
              <w:rPr>
                <w:b/>
                <w:sz w:val="24"/>
                <w:szCs w:val="24"/>
              </w:rPr>
            </w:pPr>
            <w:r>
              <w:rPr>
                <w:b/>
                <w:sz w:val="20"/>
                <w:szCs w:val="20"/>
              </w:rPr>
              <w:t>$</w:t>
            </w:r>
          </w:p>
        </w:tc>
        <w:tc>
          <w:tcPr>
            <w:tcW w:w="990" w:type="dxa"/>
          </w:tcPr>
          <w:p w14:paraId="2718EA76" w14:textId="77777777" w:rsidR="00564ADD" w:rsidRDefault="00564ADD" w:rsidP="009D1558">
            <w:pPr>
              <w:widowControl w:val="0"/>
              <w:spacing w:after="0" w:line="240" w:lineRule="auto"/>
              <w:jc w:val="center"/>
              <w:rPr>
                <w:b/>
                <w:sz w:val="20"/>
                <w:szCs w:val="20"/>
              </w:rPr>
            </w:pPr>
            <w:r>
              <w:rPr>
                <w:b/>
                <w:sz w:val="20"/>
                <w:szCs w:val="20"/>
              </w:rPr>
              <w:t>Program Income</w:t>
            </w:r>
          </w:p>
          <w:p w14:paraId="01E784B7" w14:textId="77777777" w:rsidR="00564ADD" w:rsidRDefault="00564ADD" w:rsidP="009D1558">
            <w:pPr>
              <w:widowControl w:val="0"/>
              <w:spacing w:after="0" w:line="240" w:lineRule="auto"/>
              <w:jc w:val="center"/>
              <w:rPr>
                <w:b/>
                <w:sz w:val="24"/>
                <w:szCs w:val="24"/>
              </w:rPr>
            </w:pPr>
            <w:r>
              <w:rPr>
                <w:b/>
                <w:sz w:val="20"/>
                <w:szCs w:val="20"/>
              </w:rPr>
              <w:t>$</w:t>
            </w:r>
          </w:p>
        </w:tc>
        <w:tc>
          <w:tcPr>
            <w:tcW w:w="1080" w:type="dxa"/>
          </w:tcPr>
          <w:p w14:paraId="29DB1DC6" w14:textId="77777777" w:rsidR="00564ADD" w:rsidRDefault="00564ADD" w:rsidP="009D1558">
            <w:pPr>
              <w:widowControl w:val="0"/>
              <w:spacing w:after="0" w:line="240" w:lineRule="auto"/>
              <w:jc w:val="center"/>
              <w:rPr>
                <w:b/>
                <w:sz w:val="20"/>
                <w:szCs w:val="20"/>
              </w:rPr>
            </w:pPr>
            <w:r>
              <w:rPr>
                <w:b/>
                <w:sz w:val="20"/>
                <w:szCs w:val="20"/>
              </w:rPr>
              <w:t>Prior Year Resources</w:t>
            </w:r>
          </w:p>
          <w:p w14:paraId="5611FEBC" w14:textId="77777777" w:rsidR="00564ADD" w:rsidRDefault="00564ADD" w:rsidP="009D1558">
            <w:pPr>
              <w:widowControl w:val="0"/>
              <w:spacing w:after="0" w:line="240" w:lineRule="auto"/>
              <w:jc w:val="center"/>
              <w:rPr>
                <w:b/>
                <w:sz w:val="24"/>
                <w:szCs w:val="24"/>
              </w:rPr>
            </w:pPr>
            <w:r>
              <w:rPr>
                <w:b/>
                <w:sz w:val="20"/>
                <w:szCs w:val="20"/>
              </w:rPr>
              <w:t>$</w:t>
            </w:r>
          </w:p>
        </w:tc>
        <w:tc>
          <w:tcPr>
            <w:tcW w:w="1260" w:type="dxa"/>
          </w:tcPr>
          <w:p w14:paraId="0B665FEC" w14:textId="77777777" w:rsidR="00564ADD" w:rsidRDefault="00564ADD" w:rsidP="009D1558">
            <w:pPr>
              <w:widowControl w:val="0"/>
              <w:spacing w:after="0" w:line="240" w:lineRule="auto"/>
              <w:jc w:val="center"/>
              <w:rPr>
                <w:b/>
                <w:sz w:val="20"/>
                <w:szCs w:val="20"/>
              </w:rPr>
            </w:pPr>
            <w:r>
              <w:rPr>
                <w:b/>
                <w:sz w:val="20"/>
                <w:szCs w:val="20"/>
              </w:rPr>
              <w:t>Total:</w:t>
            </w:r>
          </w:p>
          <w:p w14:paraId="717A8A3E" w14:textId="77777777" w:rsidR="00564ADD" w:rsidRDefault="00564ADD" w:rsidP="009D1558">
            <w:pPr>
              <w:widowControl w:val="0"/>
              <w:spacing w:after="0" w:line="240" w:lineRule="auto"/>
              <w:jc w:val="center"/>
              <w:rPr>
                <w:b/>
                <w:sz w:val="24"/>
                <w:szCs w:val="24"/>
              </w:rPr>
            </w:pPr>
            <w:r>
              <w:rPr>
                <w:b/>
                <w:sz w:val="20"/>
                <w:szCs w:val="20"/>
              </w:rPr>
              <w:t>$</w:t>
            </w:r>
          </w:p>
        </w:tc>
        <w:tc>
          <w:tcPr>
            <w:tcW w:w="1350" w:type="dxa"/>
            <w:vMerge/>
          </w:tcPr>
          <w:p w14:paraId="05165E7E" w14:textId="77777777" w:rsidR="00564ADD" w:rsidRDefault="00564ADD" w:rsidP="009D1558">
            <w:pPr>
              <w:widowControl w:val="0"/>
              <w:spacing w:after="0" w:line="240" w:lineRule="auto"/>
              <w:jc w:val="center"/>
              <w:rPr>
                <w:b/>
                <w:sz w:val="24"/>
                <w:szCs w:val="24"/>
              </w:rPr>
            </w:pPr>
          </w:p>
        </w:tc>
        <w:tc>
          <w:tcPr>
            <w:tcW w:w="2180" w:type="dxa"/>
            <w:vMerge/>
          </w:tcPr>
          <w:p w14:paraId="4633C5E4" w14:textId="77777777" w:rsidR="00564ADD" w:rsidRDefault="00564ADD" w:rsidP="009D1558">
            <w:pPr>
              <w:widowControl w:val="0"/>
              <w:spacing w:after="0" w:line="240" w:lineRule="auto"/>
              <w:jc w:val="center"/>
              <w:rPr>
                <w:b/>
                <w:sz w:val="24"/>
                <w:szCs w:val="24"/>
              </w:rPr>
            </w:pPr>
          </w:p>
        </w:tc>
      </w:tr>
      <w:tr w:rsidR="00564ADD" w14:paraId="758D3EA6" w14:textId="77777777" w:rsidTr="009D1558">
        <w:trPr>
          <w:cantSplit/>
          <w:tblHeader/>
        </w:trPr>
        <w:tc>
          <w:tcPr>
            <w:tcW w:w="955" w:type="dxa"/>
          </w:tcPr>
          <w:p w14:paraId="457F8E99" w14:textId="77777777" w:rsidR="00564ADD" w:rsidRDefault="00564ADD" w:rsidP="009D1558">
            <w:pPr>
              <w:spacing w:beforeAutospacing="1" w:afterAutospacing="1"/>
            </w:pPr>
            <w:r>
              <w:rPr>
                <w:color w:val="000000"/>
              </w:rPr>
              <w:t>CDBG</w:t>
            </w:r>
          </w:p>
        </w:tc>
        <w:tc>
          <w:tcPr>
            <w:tcW w:w="1417" w:type="dxa"/>
          </w:tcPr>
          <w:p w14:paraId="498E60A5" w14:textId="77777777" w:rsidR="00564ADD" w:rsidRDefault="00564ADD" w:rsidP="009D1558">
            <w:pPr>
              <w:spacing w:beforeAutospacing="1" w:afterAutospacing="1"/>
            </w:pPr>
            <w:r>
              <w:rPr>
                <w:color w:val="000000"/>
              </w:rPr>
              <w:t>public - federal</w:t>
            </w:r>
          </w:p>
        </w:tc>
        <w:tc>
          <w:tcPr>
            <w:tcW w:w="2458" w:type="dxa"/>
          </w:tcPr>
          <w:p w14:paraId="761E6458" w14:textId="77777777" w:rsidR="00564ADD" w:rsidRDefault="00564ADD" w:rsidP="009D1558">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1260" w:type="dxa"/>
          </w:tcPr>
          <w:p w14:paraId="06FC6BF9" w14:textId="77777777" w:rsidR="00564ADD" w:rsidRDefault="00564ADD" w:rsidP="009D1558">
            <w:pPr>
              <w:spacing w:beforeAutospacing="1" w:afterAutospacing="1"/>
              <w:jc w:val="center"/>
            </w:pPr>
            <w:r>
              <w:t>14,199,281</w:t>
            </w:r>
          </w:p>
        </w:tc>
        <w:tc>
          <w:tcPr>
            <w:tcW w:w="990" w:type="dxa"/>
          </w:tcPr>
          <w:p w14:paraId="1CC6E76E" w14:textId="77777777" w:rsidR="00564ADD" w:rsidRDefault="00564ADD" w:rsidP="009D1558">
            <w:pPr>
              <w:spacing w:beforeAutospacing="1" w:afterAutospacing="1"/>
              <w:jc w:val="center"/>
            </w:pPr>
            <w:r>
              <w:t>600,000</w:t>
            </w:r>
          </w:p>
        </w:tc>
        <w:tc>
          <w:tcPr>
            <w:tcW w:w="1080" w:type="dxa"/>
          </w:tcPr>
          <w:p w14:paraId="15A934BD" w14:textId="77777777" w:rsidR="00564ADD" w:rsidRDefault="00564ADD" w:rsidP="009D1558">
            <w:pPr>
              <w:spacing w:beforeAutospacing="1" w:afterAutospacing="1"/>
              <w:jc w:val="center"/>
            </w:pPr>
            <w:r>
              <w:t>0</w:t>
            </w:r>
          </w:p>
        </w:tc>
        <w:tc>
          <w:tcPr>
            <w:tcW w:w="1260" w:type="dxa"/>
          </w:tcPr>
          <w:p w14:paraId="1758FEF8" w14:textId="77777777" w:rsidR="00564ADD" w:rsidRDefault="00564ADD" w:rsidP="009D1558">
            <w:pPr>
              <w:spacing w:beforeAutospacing="1" w:afterAutospacing="1"/>
              <w:jc w:val="center"/>
            </w:pPr>
            <w:r>
              <w:t>14,799,281</w:t>
            </w:r>
          </w:p>
        </w:tc>
        <w:tc>
          <w:tcPr>
            <w:tcW w:w="1350" w:type="dxa"/>
          </w:tcPr>
          <w:p w14:paraId="4C3A2E6F" w14:textId="77777777" w:rsidR="00564ADD" w:rsidRDefault="00564ADD" w:rsidP="009D1558">
            <w:pPr>
              <w:spacing w:beforeAutospacing="1" w:afterAutospacing="1"/>
              <w:jc w:val="center"/>
            </w:pPr>
            <w:r>
              <w:t>50,043,681</w:t>
            </w:r>
          </w:p>
        </w:tc>
        <w:tc>
          <w:tcPr>
            <w:tcW w:w="2180" w:type="dxa"/>
          </w:tcPr>
          <w:p w14:paraId="6F1436F5" w14:textId="77777777" w:rsidR="00564ADD" w:rsidRDefault="00564ADD" w:rsidP="009D1558">
            <w:pPr>
              <w:spacing w:beforeAutospacing="1" w:afterAutospacing="1"/>
            </w:pPr>
            <w:r>
              <w:rPr>
                <w:color w:val="000000"/>
              </w:rPr>
              <w:t>The expected amount of CDBG funds made available for the remainder of the ConPlan reflects a 5% deduction from the previous year’s allocation, summed for years 2020-2023.</w:t>
            </w:r>
          </w:p>
        </w:tc>
      </w:tr>
      <w:tr w:rsidR="00564ADD" w14:paraId="74D2E4C8" w14:textId="77777777" w:rsidTr="009D1558">
        <w:trPr>
          <w:cantSplit/>
          <w:tblHeader/>
        </w:trPr>
        <w:tc>
          <w:tcPr>
            <w:tcW w:w="955" w:type="dxa"/>
          </w:tcPr>
          <w:p w14:paraId="46A96B01" w14:textId="77777777" w:rsidR="00564ADD" w:rsidRDefault="00564ADD" w:rsidP="009D1558">
            <w:pPr>
              <w:spacing w:beforeAutospacing="1" w:afterAutospacing="1"/>
            </w:pPr>
            <w:r>
              <w:rPr>
                <w:color w:val="000000"/>
              </w:rPr>
              <w:t>HOME</w:t>
            </w:r>
          </w:p>
        </w:tc>
        <w:tc>
          <w:tcPr>
            <w:tcW w:w="1417" w:type="dxa"/>
          </w:tcPr>
          <w:p w14:paraId="6C7AD336" w14:textId="77777777" w:rsidR="00564ADD" w:rsidRDefault="00564ADD" w:rsidP="009D1558">
            <w:pPr>
              <w:spacing w:beforeAutospacing="1" w:afterAutospacing="1"/>
            </w:pPr>
            <w:r>
              <w:rPr>
                <w:color w:val="000000"/>
              </w:rPr>
              <w:t>public - federal</w:t>
            </w:r>
          </w:p>
        </w:tc>
        <w:tc>
          <w:tcPr>
            <w:tcW w:w="2458" w:type="dxa"/>
          </w:tcPr>
          <w:p w14:paraId="3F05B441" w14:textId="77777777" w:rsidR="00564ADD" w:rsidRDefault="00564ADD" w:rsidP="009D1558">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1260" w:type="dxa"/>
          </w:tcPr>
          <w:p w14:paraId="58E10258" w14:textId="7D8DD282" w:rsidR="00564ADD" w:rsidRDefault="00564ADD" w:rsidP="009D1558">
            <w:pPr>
              <w:spacing w:beforeAutospacing="1" w:afterAutospacing="1"/>
              <w:jc w:val="center"/>
            </w:pPr>
            <w:r>
              <w:t>6,</w:t>
            </w:r>
            <w:r w:rsidR="00993F5C">
              <w:t>477</w:t>
            </w:r>
            <w:r>
              <w:t>,</w:t>
            </w:r>
            <w:r w:rsidR="00993F5C">
              <w:t>943</w:t>
            </w:r>
          </w:p>
        </w:tc>
        <w:tc>
          <w:tcPr>
            <w:tcW w:w="990" w:type="dxa"/>
          </w:tcPr>
          <w:p w14:paraId="4B23D6EA" w14:textId="77777777" w:rsidR="00564ADD" w:rsidRDefault="00564ADD" w:rsidP="009D1558">
            <w:pPr>
              <w:spacing w:beforeAutospacing="1" w:afterAutospacing="1"/>
              <w:jc w:val="center"/>
            </w:pPr>
            <w:r>
              <w:t>100,000</w:t>
            </w:r>
          </w:p>
        </w:tc>
        <w:tc>
          <w:tcPr>
            <w:tcW w:w="1080" w:type="dxa"/>
          </w:tcPr>
          <w:p w14:paraId="38F8ACE5" w14:textId="77777777" w:rsidR="00564ADD" w:rsidRDefault="00564ADD" w:rsidP="009D1558">
            <w:pPr>
              <w:spacing w:beforeAutospacing="1" w:afterAutospacing="1"/>
              <w:jc w:val="center"/>
            </w:pPr>
            <w:r>
              <w:t>0</w:t>
            </w:r>
          </w:p>
        </w:tc>
        <w:tc>
          <w:tcPr>
            <w:tcW w:w="1260" w:type="dxa"/>
          </w:tcPr>
          <w:p w14:paraId="370D9785" w14:textId="766E40F4" w:rsidR="00564ADD" w:rsidRDefault="00564ADD" w:rsidP="009D1558">
            <w:pPr>
              <w:spacing w:beforeAutospacing="1" w:afterAutospacing="1"/>
              <w:jc w:val="center"/>
            </w:pPr>
            <w:r>
              <w:t>6,</w:t>
            </w:r>
            <w:r w:rsidR="00F7625F">
              <w:t>577</w:t>
            </w:r>
            <w:r>
              <w:t>,</w:t>
            </w:r>
            <w:r w:rsidR="00F7625F">
              <w:t>943</w:t>
            </w:r>
          </w:p>
        </w:tc>
        <w:tc>
          <w:tcPr>
            <w:tcW w:w="1350" w:type="dxa"/>
          </w:tcPr>
          <w:p w14:paraId="1F7AAA5A" w14:textId="4ED9F358" w:rsidR="00564ADD" w:rsidRDefault="00564ADD" w:rsidP="009D1558">
            <w:pPr>
              <w:spacing w:beforeAutospacing="1" w:afterAutospacing="1"/>
              <w:jc w:val="center"/>
            </w:pPr>
            <w:r>
              <w:t>2</w:t>
            </w:r>
            <w:r w:rsidR="00993F5C">
              <w:t>6</w:t>
            </w:r>
            <w:r>
              <w:t>,</w:t>
            </w:r>
            <w:r w:rsidR="00993F5C">
              <w:t>311</w:t>
            </w:r>
            <w:r>
              <w:t>,</w:t>
            </w:r>
            <w:r w:rsidR="00993F5C">
              <w:t>772</w:t>
            </w:r>
          </w:p>
        </w:tc>
        <w:tc>
          <w:tcPr>
            <w:tcW w:w="2180" w:type="dxa"/>
          </w:tcPr>
          <w:p w14:paraId="3FE5FACA" w14:textId="77777777" w:rsidR="00564ADD" w:rsidRPr="00F937B8" w:rsidRDefault="00564ADD" w:rsidP="009D1558">
            <w:pPr>
              <w:spacing w:beforeAutospacing="1" w:afterAutospacing="1"/>
              <w:rPr>
                <w:color w:val="000000"/>
              </w:rPr>
            </w:pPr>
            <w:r>
              <w:rPr>
                <w:color w:val="000000"/>
              </w:rPr>
              <w:t>The expected amount of HOME funds made available for the remainder of the ConPlan reflects a 5% deduction from the previous year’s allocation, summed for years 2020-2023.</w:t>
            </w:r>
          </w:p>
        </w:tc>
      </w:tr>
      <w:tr w:rsidR="00564ADD" w14:paraId="0FAD9F33" w14:textId="77777777" w:rsidTr="009D1558">
        <w:trPr>
          <w:cantSplit/>
          <w:tblHeader/>
        </w:trPr>
        <w:tc>
          <w:tcPr>
            <w:tcW w:w="955" w:type="dxa"/>
          </w:tcPr>
          <w:p w14:paraId="599FBED9" w14:textId="77777777" w:rsidR="00564ADD" w:rsidRDefault="00564ADD" w:rsidP="009D1558">
            <w:pPr>
              <w:spacing w:beforeAutospacing="1" w:afterAutospacing="1"/>
            </w:pPr>
            <w:r>
              <w:rPr>
                <w:color w:val="000000"/>
              </w:rPr>
              <w:t>HOPWA</w:t>
            </w:r>
          </w:p>
        </w:tc>
        <w:tc>
          <w:tcPr>
            <w:tcW w:w="1417" w:type="dxa"/>
          </w:tcPr>
          <w:p w14:paraId="60695DC7" w14:textId="77777777" w:rsidR="00564ADD" w:rsidRDefault="00564ADD" w:rsidP="009D1558">
            <w:pPr>
              <w:spacing w:beforeAutospacing="1" w:afterAutospacing="1"/>
            </w:pPr>
            <w:r>
              <w:rPr>
                <w:color w:val="000000"/>
              </w:rPr>
              <w:t>public - federal</w:t>
            </w:r>
          </w:p>
        </w:tc>
        <w:tc>
          <w:tcPr>
            <w:tcW w:w="2458" w:type="dxa"/>
          </w:tcPr>
          <w:p w14:paraId="453F780E" w14:textId="77777777" w:rsidR="00564ADD" w:rsidRDefault="00564ADD" w:rsidP="009D1558">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1260" w:type="dxa"/>
          </w:tcPr>
          <w:p w14:paraId="2EED85FB" w14:textId="77777777" w:rsidR="00564ADD" w:rsidRDefault="00564ADD" w:rsidP="009D1558">
            <w:pPr>
              <w:spacing w:beforeAutospacing="1" w:afterAutospacing="1"/>
              <w:jc w:val="center"/>
            </w:pPr>
            <w:r>
              <w:t>487,281</w:t>
            </w:r>
          </w:p>
        </w:tc>
        <w:tc>
          <w:tcPr>
            <w:tcW w:w="990" w:type="dxa"/>
          </w:tcPr>
          <w:p w14:paraId="6939C04E" w14:textId="77777777" w:rsidR="00564ADD" w:rsidRDefault="00564ADD" w:rsidP="009D1558">
            <w:pPr>
              <w:spacing w:beforeAutospacing="1" w:afterAutospacing="1"/>
              <w:jc w:val="center"/>
            </w:pPr>
            <w:r>
              <w:t>0</w:t>
            </w:r>
          </w:p>
        </w:tc>
        <w:tc>
          <w:tcPr>
            <w:tcW w:w="1080" w:type="dxa"/>
          </w:tcPr>
          <w:p w14:paraId="67934D2C" w14:textId="77777777" w:rsidR="00564ADD" w:rsidRDefault="00564ADD" w:rsidP="009D1558">
            <w:pPr>
              <w:spacing w:beforeAutospacing="1" w:afterAutospacing="1"/>
              <w:jc w:val="center"/>
            </w:pPr>
            <w:r>
              <w:t>0</w:t>
            </w:r>
          </w:p>
        </w:tc>
        <w:tc>
          <w:tcPr>
            <w:tcW w:w="1260" w:type="dxa"/>
          </w:tcPr>
          <w:p w14:paraId="19046CD9" w14:textId="77777777" w:rsidR="00564ADD" w:rsidRDefault="00564ADD" w:rsidP="009D1558">
            <w:pPr>
              <w:spacing w:beforeAutospacing="1" w:afterAutospacing="1"/>
              <w:jc w:val="center"/>
            </w:pPr>
            <w:r>
              <w:t>487,281</w:t>
            </w:r>
          </w:p>
        </w:tc>
        <w:tc>
          <w:tcPr>
            <w:tcW w:w="1350" w:type="dxa"/>
          </w:tcPr>
          <w:p w14:paraId="59D08ED5" w14:textId="77777777" w:rsidR="00564ADD" w:rsidRDefault="00564ADD" w:rsidP="009D1558">
            <w:pPr>
              <w:spacing w:beforeAutospacing="1" w:afterAutospacing="1"/>
              <w:jc w:val="center"/>
            </w:pPr>
            <w:r>
              <w:t>1,717,363</w:t>
            </w:r>
          </w:p>
        </w:tc>
        <w:tc>
          <w:tcPr>
            <w:tcW w:w="2180" w:type="dxa"/>
          </w:tcPr>
          <w:p w14:paraId="31045E97" w14:textId="77777777" w:rsidR="00564ADD" w:rsidRDefault="00564ADD" w:rsidP="009D1558">
            <w:pPr>
              <w:spacing w:beforeAutospacing="1" w:afterAutospacing="1"/>
            </w:pPr>
            <w:r>
              <w:rPr>
                <w:color w:val="000000"/>
              </w:rPr>
              <w:t>The expected amount of HOPWA funds made available for the remainder of the ConPlan reflects a 5% deduction from the previous year’s allocation, summed for years 2020-2023.</w:t>
            </w:r>
          </w:p>
        </w:tc>
      </w:tr>
      <w:tr w:rsidR="00564ADD" w14:paraId="321035B9" w14:textId="77777777" w:rsidTr="009D1558">
        <w:trPr>
          <w:cantSplit/>
          <w:tblHeader/>
        </w:trPr>
        <w:tc>
          <w:tcPr>
            <w:tcW w:w="955" w:type="dxa"/>
          </w:tcPr>
          <w:p w14:paraId="12C120ED" w14:textId="77777777" w:rsidR="00564ADD" w:rsidRDefault="00564ADD" w:rsidP="009D1558">
            <w:pPr>
              <w:spacing w:beforeAutospacing="1" w:afterAutospacing="1"/>
            </w:pPr>
            <w:r>
              <w:rPr>
                <w:color w:val="000000"/>
              </w:rPr>
              <w:t>ESG</w:t>
            </w:r>
          </w:p>
        </w:tc>
        <w:tc>
          <w:tcPr>
            <w:tcW w:w="1417" w:type="dxa"/>
          </w:tcPr>
          <w:p w14:paraId="1618DCD2" w14:textId="77777777" w:rsidR="00564ADD" w:rsidRDefault="00564ADD" w:rsidP="009D1558">
            <w:pPr>
              <w:spacing w:beforeAutospacing="1" w:afterAutospacing="1"/>
            </w:pPr>
            <w:r>
              <w:rPr>
                <w:color w:val="000000"/>
              </w:rPr>
              <w:t>public - federal</w:t>
            </w:r>
          </w:p>
        </w:tc>
        <w:tc>
          <w:tcPr>
            <w:tcW w:w="2458" w:type="dxa"/>
          </w:tcPr>
          <w:p w14:paraId="52DC2B05" w14:textId="77777777" w:rsidR="00564ADD" w:rsidRDefault="00564ADD" w:rsidP="009D1558">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1260" w:type="dxa"/>
          </w:tcPr>
          <w:p w14:paraId="636B4AA3" w14:textId="77777777" w:rsidR="00564ADD" w:rsidRDefault="00564ADD" w:rsidP="009D1558">
            <w:pPr>
              <w:spacing w:beforeAutospacing="1" w:afterAutospacing="1"/>
              <w:jc w:val="center"/>
            </w:pPr>
            <w:r>
              <w:t>1,500,000</w:t>
            </w:r>
          </w:p>
        </w:tc>
        <w:tc>
          <w:tcPr>
            <w:tcW w:w="990" w:type="dxa"/>
          </w:tcPr>
          <w:p w14:paraId="261B37AB" w14:textId="77777777" w:rsidR="00564ADD" w:rsidRDefault="00564ADD" w:rsidP="009D1558">
            <w:pPr>
              <w:spacing w:beforeAutospacing="1" w:afterAutospacing="1"/>
              <w:jc w:val="center"/>
            </w:pPr>
            <w:r>
              <w:t>0</w:t>
            </w:r>
          </w:p>
        </w:tc>
        <w:tc>
          <w:tcPr>
            <w:tcW w:w="1080" w:type="dxa"/>
          </w:tcPr>
          <w:p w14:paraId="7D335689" w14:textId="77777777" w:rsidR="00564ADD" w:rsidRDefault="00564ADD" w:rsidP="009D1558">
            <w:pPr>
              <w:spacing w:beforeAutospacing="1" w:afterAutospacing="1"/>
              <w:jc w:val="center"/>
            </w:pPr>
            <w:r>
              <w:t>0</w:t>
            </w:r>
          </w:p>
        </w:tc>
        <w:tc>
          <w:tcPr>
            <w:tcW w:w="1260" w:type="dxa"/>
          </w:tcPr>
          <w:p w14:paraId="358BC78C" w14:textId="77777777" w:rsidR="00564ADD" w:rsidRDefault="00564ADD" w:rsidP="009D1558">
            <w:pPr>
              <w:spacing w:beforeAutospacing="1" w:afterAutospacing="1"/>
              <w:jc w:val="center"/>
            </w:pPr>
            <w:r>
              <w:t>1,500,000</w:t>
            </w:r>
          </w:p>
        </w:tc>
        <w:tc>
          <w:tcPr>
            <w:tcW w:w="1350" w:type="dxa"/>
          </w:tcPr>
          <w:p w14:paraId="4E73106A" w14:textId="77777777" w:rsidR="00564ADD" w:rsidRDefault="00564ADD" w:rsidP="009D1558">
            <w:pPr>
              <w:spacing w:beforeAutospacing="1" w:afterAutospacing="1"/>
              <w:jc w:val="center"/>
            </w:pPr>
            <w:r>
              <w:t>6,000,000</w:t>
            </w:r>
          </w:p>
        </w:tc>
        <w:tc>
          <w:tcPr>
            <w:tcW w:w="2180" w:type="dxa"/>
          </w:tcPr>
          <w:p w14:paraId="2F498215" w14:textId="77777777" w:rsidR="00564ADD" w:rsidRDefault="00564ADD" w:rsidP="009D1558">
            <w:pPr>
              <w:spacing w:beforeAutospacing="1" w:afterAutospacing="1"/>
            </w:pPr>
            <w:r>
              <w:rPr>
                <w:color w:val="000000"/>
              </w:rPr>
              <w:t>The expected amount of ESG funds made available for the remainder of the ConPlan reflects an assumed flat $1,500,000 annual allocation summed for years 2020-2023.</w:t>
            </w:r>
          </w:p>
        </w:tc>
      </w:tr>
      <w:tr w:rsidR="00564ADD" w14:paraId="0B1062C0" w14:textId="77777777" w:rsidTr="009D1558">
        <w:trPr>
          <w:cantSplit/>
          <w:tblHeader/>
        </w:trPr>
        <w:tc>
          <w:tcPr>
            <w:tcW w:w="955" w:type="dxa"/>
          </w:tcPr>
          <w:p w14:paraId="32E9C8BC" w14:textId="77777777" w:rsidR="00564ADD" w:rsidRDefault="00564ADD" w:rsidP="009D1558">
            <w:pPr>
              <w:spacing w:beforeAutospacing="1" w:afterAutospacing="1"/>
            </w:pPr>
            <w:r>
              <w:rPr>
                <w:color w:val="000000"/>
              </w:rPr>
              <w:t>HTF</w:t>
            </w:r>
          </w:p>
        </w:tc>
        <w:tc>
          <w:tcPr>
            <w:tcW w:w="1417" w:type="dxa"/>
          </w:tcPr>
          <w:p w14:paraId="4DC6958F" w14:textId="77777777" w:rsidR="00564ADD" w:rsidRDefault="00564ADD" w:rsidP="009D1558">
            <w:pPr>
              <w:spacing w:beforeAutospacing="1" w:afterAutospacing="1"/>
            </w:pPr>
            <w:r>
              <w:rPr>
                <w:color w:val="000000"/>
              </w:rPr>
              <w:t>public - federal</w:t>
            </w:r>
          </w:p>
        </w:tc>
        <w:tc>
          <w:tcPr>
            <w:tcW w:w="2458" w:type="dxa"/>
          </w:tcPr>
          <w:p w14:paraId="566470CE" w14:textId="77777777" w:rsidR="00564ADD" w:rsidRDefault="00564ADD" w:rsidP="009D1558">
            <w:pPr>
              <w:spacing w:beforeAutospacing="1" w:afterAutospacing="1"/>
            </w:pPr>
            <w:r>
              <w:rPr>
                <w:color w:val="000000"/>
              </w:rPr>
              <w:t>Acquisition</w:t>
            </w:r>
            <w:r>
              <w:rPr>
                <w:color w:val="000000"/>
              </w:rPr>
              <w:br/>
              <w:t>Admin and Planning</w:t>
            </w:r>
            <w:r>
              <w:rPr>
                <w:color w:val="000000"/>
              </w:rPr>
              <w:br/>
              <w:t>Homebuyer assistance</w:t>
            </w:r>
            <w:r>
              <w:rPr>
                <w:color w:val="000000"/>
              </w:rPr>
              <w:br/>
              <w:t>Multifamily rental new construction</w:t>
            </w:r>
            <w:r>
              <w:rPr>
                <w:color w:val="000000"/>
              </w:rPr>
              <w:br/>
              <w:t>Multifamily rental rehab</w:t>
            </w:r>
            <w:r>
              <w:rPr>
                <w:color w:val="000000"/>
              </w:rPr>
              <w:br/>
              <w:t>New construction for ownership</w:t>
            </w:r>
          </w:p>
        </w:tc>
        <w:tc>
          <w:tcPr>
            <w:tcW w:w="1260" w:type="dxa"/>
          </w:tcPr>
          <w:p w14:paraId="66487137" w14:textId="77777777" w:rsidR="00564ADD" w:rsidRDefault="00564ADD" w:rsidP="009D1558">
            <w:pPr>
              <w:spacing w:beforeAutospacing="1" w:afterAutospacing="1"/>
              <w:jc w:val="center"/>
            </w:pPr>
            <w:r>
              <w:t>3,000,000</w:t>
            </w:r>
          </w:p>
        </w:tc>
        <w:tc>
          <w:tcPr>
            <w:tcW w:w="990" w:type="dxa"/>
          </w:tcPr>
          <w:p w14:paraId="042C37C8" w14:textId="77777777" w:rsidR="00564ADD" w:rsidRDefault="00564ADD" w:rsidP="009D1558">
            <w:pPr>
              <w:spacing w:beforeAutospacing="1" w:afterAutospacing="1"/>
              <w:jc w:val="center"/>
            </w:pPr>
            <w:r>
              <w:t>0</w:t>
            </w:r>
          </w:p>
        </w:tc>
        <w:tc>
          <w:tcPr>
            <w:tcW w:w="1080" w:type="dxa"/>
          </w:tcPr>
          <w:p w14:paraId="2F649D3E" w14:textId="77777777" w:rsidR="00564ADD" w:rsidRDefault="00564ADD" w:rsidP="009D1558">
            <w:pPr>
              <w:spacing w:beforeAutospacing="1" w:afterAutospacing="1"/>
              <w:jc w:val="center"/>
            </w:pPr>
            <w:r>
              <w:t>0</w:t>
            </w:r>
          </w:p>
        </w:tc>
        <w:tc>
          <w:tcPr>
            <w:tcW w:w="1260" w:type="dxa"/>
          </w:tcPr>
          <w:p w14:paraId="41F12618" w14:textId="77777777" w:rsidR="00564ADD" w:rsidRDefault="00564ADD" w:rsidP="009D1558">
            <w:pPr>
              <w:spacing w:beforeAutospacing="1" w:afterAutospacing="1"/>
              <w:jc w:val="center"/>
            </w:pPr>
            <w:r>
              <w:t>3,000,000</w:t>
            </w:r>
          </w:p>
        </w:tc>
        <w:tc>
          <w:tcPr>
            <w:tcW w:w="1350" w:type="dxa"/>
          </w:tcPr>
          <w:p w14:paraId="5B4F4700" w14:textId="77777777" w:rsidR="00564ADD" w:rsidRDefault="00564ADD" w:rsidP="009D1558">
            <w:pPr>
              <w:spacing w:beforeAutospacing="1" w:afterAutospacing="1"/>
              <w:jc w:val="center"/>
            </w:pPr>
            <w:r>
              <w:t>12,000,000</w:t>
            </w:r>
          </w:p>
        </w:tc>
        <w:tc>
          <w:tcPr>
            <w:tcW w:w="2180" w:type="dxa"/>
          </w:tcPr>
          <w:p w14:paraId="0B63B481" w14:textId="77777777" w:rsidR="00564ADD" w:rsidRDefault="00564ADD" w:rsidP="009D1558">
            <w:pPr>
              <w:spacing w:beforeAutospacing="1" w:afterAutospacing="1"/>
            </w:pPr>
            <w:r>
              <w:rPr>
                <w:color w:val="000000"/>
              </w:rPr>
              <w:t>HTF is expected to remain at $3,000,000 annual allocation</w:t>
            </w:r>
          </w:p>
        </w:tc>
      </w:tr>
    </w:tbl>
    <w:p w14:paraId="0EA927D6" w14:textId="459BE07F" w:rsidR="00564ADD" w:rsidRDefault="00564ADD" w:rsidP="00564AD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3</w:t>
      </w:r>
      <w:r>
        <w:rPr>
          <w:rFonts w:asciiTheme="minorHAnsi" w:hAnsiTheme="minorHAnsi"/>
        </w:rPr>
        <w:fldChar w:fldCharType="end"/>
      </w:r>
      <w:r>
        <w:rPr>
          <w:rFonts w:asciiTheme="minorHAnsi" w:hAnsiTheme="minorHAnsi"/>
        </w:rPr>
        <w:t xml:space="preserve"> - Expected Resources – Priority Table</w:t>
      </w:r>
    </w:p>
    <w:p w14:paraId="0A69E62E" w14:textId="77777777" w:rsidR="00564ADD" w:rsidRDefault="00564ADD" w:rsidP="00564ADD">
      <w:pPr>
        <w:spacing w:after="0" w:line="240" w:lineRule="auto"/>
        <w:rPr>
          <w:b/>
          <w:sz w:val="24"/>
          <w:szCs w:val="24"/>
        </w:rPr>
      </w:pPr>
    </w:p>
    <w:p w14:paraId="1BB03759" w14:textId="77777777" w:rsidR="00564ADD" w:rsidRDefault="00564ADD" w:rsidP="00564ADD">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5248137E" w14:textId="5487C87A" w:rsidR="00564ADD" w:rsidRDefault="00564ADD" w:rsidP="00564ADD">
      <w:pPr>
        <w:widowControl w:val="0"/>
        <w:rPr>
          <w:color w:val="000000"/>
        </w:rPr>
      </w:pPr>
      <w:r>
        <w:rPr>
          <w:b/>
          <w:sz w:val="24"/>
          <w:szCs w:val="24"/>
        </w:rPr>
        <w:t xml:space="preserve">CDBG - </w:t>
      </w:r>
      <w:r>
        <w:rPr>
          <w:color w:val="000000"/>
        </w:rPr>
        <w:t xml:space="preserve">A minimum of 25% matching funds is required on all CDBG projects except for Urgent need.   Adding to the 2019 HUD CDBG allocation, there are $18 to $20 </w:t>
      </w:r>
      <w:r w:rsidR="002C7A73">
        <w:rPr>
          <w:color w:val="000000"/>
        </w:rPr>
        <w:t>million in</w:t>
      </w:r>
      <w:r>
        <w:rPr>
          <w:color w:val="000000"/>
        </w:rPr>
        <w:t xml:space="preserve"> combined rollover funds and State Revolving Loan Funds. </w:t>
      </w:r>
      <w:r w:rsidRPr="004F674C">
        <w:rPr>
          <w:sz w:val="24"/>
        </w:rPr>
        <w:t>These projects leveraged approximately $16,549,533 in other public and private funds. This le</w:t>
      </w:r>
      <w:r>
        <w:rPr>
          <w:sz w:val="24"/>
        </w:rPr>
        <w:t>veraging will continue in FY 2020-2023</w:t>
      </w:r>
      <w:r w:rsidRPr="004F674C">
        <w:rPr>
          <w:sz w:val="24"/>
        </w:rPr>
        <w:t>.</w:t>
      </w:r>
    </w:p>
    <w:p w14:paraId="3220B186" w14:textId="77777777" w:rsidR="00564ADD" w:rsidRPr="00F937B8" w:rsidRDefault="00564ADD" w:rsidP="00564ADD">
      <w:pPr>
        <w:widowControl w:val="0"/>
        <w:rPr>
          <w:color w:val="000000"/>
          <w:sz w:val="24"/>
        </w:rPr>
      </w:pPr>
      <w:r w:rsidRPr="00F937B8">
        <w:rPr>
          <w:b/>
          <w:color w:val="000000"/>
          <w:sz w:val="24"/>
        </w:rPr>
        <w:t>HOME</w:t>
      </w:r>
      <w:r w:rsidRPr="00F937B8">
        <w:rPr>
          <w:color w:val="000000"/>
          <w:sz w:val="24"/>
        </w:rPr>
        <w:t xml:space="preserve"> - The First Time Homebuyers Program and the HOME Rental Program both require a local match.</w:t>
      </w:r>
      <w:r w:rsidRPr="00A30E77">
        <w:rPr>
          <w:sz w:val="24"/>
        </w:rPr>
        <w:t xml:space="preserve"> </w:t>
      </w:r>
      <w:r w:rsidRPr="004F674C">
        <w:rPr>
          <w:sz w:val="24"/>
        </w:rPr>
        <w:t>Match for the HOME Program will be met through a combination of cash from non-federal sources, foregone fees, bond financing, and donated land and labor.</w:t>
      </w:r>
    </w:p>
    <w:p w14:paraId="2B4738F9" w14:textId="77777777" w:rsidR="00564ADD" w:rsidRPr="00F937B8" w:rsidRDefault="00564ADD" w:rsidP="00564ADD">
      <w:pPr>
        <w:widowControl w:val="0"/>
        <w:rPr>
          <w:color w:val="000000"/>
          <w:sz w:val="24"/>
        </w:rPr>
      </w:pPr>
      <w:r w:rsidRPr="00F937B8">
        <w:rPr>
          <w:b/>
          <w:color w:val="000000"/>
          <w:sz w:val="24"/>
        </w:rPr>
        <w:t>HOPWA</w:t>
      </w:r>
      <w:r w:rsidRPr="00F937B8">
        <w:rPr>
          <w:color w:val="000000"/>
          <w:sz w:val="24"/>
        </w:rPr>
        <w:t xml:space="preserve"> - Kansas HOPWA funds can be matched by receiving communities, especially through pairing funding with local non-profits. While not required, matching HOPWA dollars is encouraged as it better utilizes HOPWA funds.</w:t>
      </w:r>
    </w:p>
    <w:p w14:paraId="66617362" w14:textId="77777777" w:rsidR="00564ADD" w:rsidRDefault="00564ADD" w:rsidP="00564ADD">
      <w:pPr>
        <w:widowControl w:val="0"/>
        <w:rPr>
          <w:color w:val="000000"/>
          <w:sz w:val="24"/>
        </w:rPr>
      </w:pPr>
      <w:r w:rsidRPr="005D5E66">
        <w:rPr>
          <w:b/>
          <w:color w:val="000000"/>
          <w:sz w:val="24"/>
        </w:rPr>
        <w:t xml:space="preserve">ESG - </w:t>
      </w:r>
      <w:r w:rsidRPr="005D5E66">
        <w:rPr>
          <w:color w:val="000000"/>
          <w:sz w:val="24"/>
        </w:rPr>
        <w:t>Kansas ESG funds must be matched dollar-for dollar by the local recipient.  KHRC is awarded these funds annually and makes them available to local units of government of non ESG entitlement communities.</w:t>
      </w:r>
    </w:p>
    <w:p w14:paraId="43946904" w14:textId="77777777" w:rsidR="00564ADD" w:rsidRPr="00A30E77" w:rsidRDefault="00564ADD" w:rsidP="00564ADD">
      <w:pPr>
        <w:widowControl w:val="0"/>
        <w:rPr>
          <w:b/>
          <w:sz w:val="24"/>
          <w:szCs w:val="24"/>
        </w:rPr>
      </w:pPr>
      <w:r w:rsidRPr="005D5E66">
        <w:rPr>
          <w:b/>
          <w:color w:val="000000"/>
          <w:sz w:val="24"/>
          <w:szCs w:val="24"/>
        </w:rPr>
        <w:t xml:space="preserve">HTF - </w:t>
      </w:r>
      <w:r w:rsidRPr="005D5E66">
        <w:rPr>
          <w:color w:val="000000"/>
          <w:sz w:val="24"/>
          <w:szCs w:val="24"/>
        </w:rPr>
        <w:t>The Housing Trust Fund does not require matching funds</w:t>
      </w:r>
      <w:r>
        <w:rPr>
          <w:color w:val="000000"/>
          <w:sz w:val="24"/>
          <w:szCs w:val="24"/>
        </w:rPr>
        <w:t xml:space="preserve">, however HTF </w:t>
      </w:r>
      <w:r w:rsidRPr="004F674C">
        <w:rPr>
          <w:sz w:val="24"/>
        </w:rPr>
        <w:t>funds leverage private mortgages, grants, other federal programs, bond financing, and tax credits. </w:t>
      </w:r>
    </w:p>
    <w:p w14:paraId="2F8DA64E" w14:textId="77777777" w:rsidR="00564ADD" w:rsidRPr="004F674C" w:rsidRDefault="00564ADD" w:rsidP="00564ADD">
      <w:pPr>
        <w:widowControl w:val="0"/>
        <w:rPr>
          <w:sz w:val="28"/>
          <w:szCs w:val="24"/>
        </w:rPr>
        <w:sectPr w:rsidR="00564ADD" w:rsidRPr="004F674C">
          <w:footerReference w:type="default" r:id="rId41"/>
          <w:pgSz w:w="15840" w:h="12240" w:orient="landscape" w:code="1"/>
          <w:pgMar w:top="1440" w:right="1440" w:bottom="1440" w:left="1440" w:header="720" w:footer="720" w:gutter="0"/>
          <w:cols w:space="720"/>
          <w:docGrid w:linePitch="360"/>
        </w:sectPr>
      </w:pPr>
      <w:r w:rsidRPr="004F674C">
        <w:rPr>
          <w:sz w:val="24"/>
        </w:rPr>
        <w:t>For the Low Income Housing Tax Credit (LIHTC) program KHRC will collaborate with cities, counties, and regions of the state to determine high need areas for rental housing. The HOME, HTF, and Low Income Housing Tax Credit staff works closely together to ensure the most efficient use of rental housing funding.</w:t>
      </w:r>
    </w:p>
    <w:p w14:paraId="6831CEBB" w14:textId="77777777" w:rsidR="00564ADD" w:rsidRDefault="00564ADD" w:rsidP="00564ADD">
      <w:pPr>
        <w:widowControl w:val="0"/>
        <w:rPr>
          <w:b/>
          <w:sz w:val="24"/>
          <w:szCs w:val="24"/>
        </w:rPr>
      </w:pPr>
      <w:r>
        <w:rPr>
          <w:b/>
          <w:sz w:val="24"/>
          <w:szCs w:val="24"/>
        </w:rPr>
        <w:t>If appropriate, describe publicly owned land or property located within the jurisdiction that may be used to address the needs identified in the plan</w:t>
      </w:r>
    </w:p>
    <w:p w14:paraId="59D4D850" w14:textId="77777777" w:rsidR="00564ADD" w:rsidRPr="004F674C" w:rsidRDefault="00564ADD" w:rsidP="00564ADD">
      <w:pPr>
        <w:widowControl w:val="0"/>
        <w:rPr>
          <w:sz w:val="24"/>
          <w:szCs w:val="24"/>
        </w:rPr>
      </w:pPr>
      <w:r>
        <w:rPr>
          <w:sz w:val="24"/>
          <w:szCs w:val="24"/>
        </w:rPr>
        <w:t>N/A</w:t>
      </w:r>
    </w:p>
    <w:p w14:paraId="557B62FB" w14:textId="77777777" w:rsidR="00564ADD" w:rsidRDefault="00564ADD" w:rsidP="00564ADD">
      <w:pPr>
        <w:rPr>
          <w:sz w:val="32"/>
          <w:szCs w:val="32"/>
        </w:rPr>
      </w:pPr>
      <w:r>
        <w:rPr>
          <w:b/>
          <w:sz w:val="24"/>
          <w:szCs w:val="24"/>
        </w:rPr>
        <w:t>Discussion</w:t>
      </w:r>
    </w:p>
    <w:p w14:paraId="799122ED" w14:textId="77777777" w:rsidR="00564ADD" w:rsidRDefault="00564ADD" w:rsidP="00564ADD">
      <w:pPr>
        <w:spacing w:beforeAutospacing="1" w:afterAutospacing="1"/>
      </w:pPr>
      <w:r>
        <w:t>Leveraged funds and financial support from outside partners both broaden and deepen the impacts of accomplishments from each program. Despite a substantial increase in funding between 2017 and 2018, the historical trend shows funding reductions among the CDBG and HOME programs. Reduced federal funding makes it more difficult to leverage supplemental resources and provide technical assistance on other resource opportunities. Therefore, federal reductions reduce the amounts that can be leveraged.</w:t>
      </w:r>
    </w:p>
    <w:p w14:paraId="4FF5E5F1" w14:textId="77777777" w:rsidR="00564ADD" w:rsidRPr="00CF4BE8" w:rsidRDefault="00564ADD" w:rsidP="00564ADD">
      <w:pPr>
        <w:sectPr w:rsidR="00564ADD" w:rsidRPr="00CF4BE8">
          <w:pgSz w:w="12240" w:h="15840" w:code="1"/>
          <w:pgMar w:top="1440" w:right="1440" w:bottom="1440" w:left="1440" w:header="720" w:footer="720" w:gutter="0"/>
          <w:cols w:space="720"/>
          <w:docGrid w:linePitch="360"/>
        </w:sectPr>
      </w:pPr>
    </w:p>
    <w:p w14:paraId="6F83010C" w14:textId="77777777" w:rsidR="00564ADD" w:rsidRDefault="00564ADD" w:rsidP="0068663E">
      <w:pPr>
        <w:shd w:val="clear" w:color="auto" w:fill="95B3D7" w:themeFill="accent1" w:themeFillTint="99"/>
        <w:rPr>
          <w:b/>
          <w:sz w:val="28"/>
          <w:szCs w:val="28"/>
        </w:rPr>
      </w:pPr>
      <w:r>
        <w:rPr>
          <w:b/>
          <w:sz w:val="28"/>
          <w:szCs w:val="28"/>
        </w:rPr>
        <w:t>AP-20 Annual Goals and Objectives – 91.320(c)(3)&amp;(e)</w:t>
      </w:r>
    </w:p>
    <w:p w14:paraId="0FCC19AE" w14:textId="77777777" w:rsidR="00564ADD" w:rsidRDefault="00564ADD" w:rsidP="00564ADD">
      <w:pPr>
        <w:widowControl w:val="0"/>
        <w:rPr>
          <w:b/>
          <w:sz w:val="24"/>
          <w:szCs w:val="24"/>
        </w:rPr>
      </w:pPr>
      <w:r>
        <w:rPr>
          <w:b/>
          <w:sz w:val="24"/>
          <w:szCs w:val="24"/>
        </w:rPr>
        <w:t xml:space="preserve">Goals Summary Information </w:t>
      </w:r>
    </w:p>
    <w:p w14:paraId="2401E67A" w14:textId="77777777" w:rsidR="00564ADD" w:rsidRDefault="00564ADD" w:rsidP="00564ADD">
      <w:pPr>
        <w:widowControl w:val="0"/>
        <w:rPr>
          <w:b/>
          <w:sz w:val="24"/>
          <w:szCs w:val="24"/>
        </w:rPr>
      </w:pP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430"/>
        <w:gridCol w:w="703"/>
        <w:gridCol w:w="703"/>
        <w:gridCol w:w="1599"/>
        <w:gridCol w:w="1354"/>
        <w:gridCol w:w="1644"/>
        <w:gridCol w:w="1949"/>
        <w:gridCol w:w="2655"/>
      </w:tblGrid>
      <w:tr w:rsidR="00564ADD" w14:paraId="7D6033D4" w14:textId="77777777" w:rsidTr="009D1558">
        <w:trPr>
          <w:cantSplit/>
          <w:trHeight w:val="486"/>
          <w:tblHeader/>
        </w:trPr>
        <w:tc>
          <w:tcPr>
            <w:tcW w:w="799" w:type="dxa"/>
          </w:tcPr>
          <w:p w14:paraId="77F3ADFC" w14:textId="77777777" w:rsidR="00564ADD" w:rsidRPr="00B05556" w:rsidRDefault="00564ADD" w:rsidP="009D1558">
            <w:pPr>
              <w:widowControl w:val="0"/>
              <w:spacing w:after="0" w:line="240" w:lineRule="auto"/>
              <w:jc w:val="center"/>
              <w:rPr>
                <w:b/>
                <w:sz w:val="24"/>
                <w:szCs w:val="20"/>
              </w:rPr>
            </w:pPr>
            <w:r w:rsidRPr="00B05556">
              <w:rPr>
                <w:b/>
                <w:sz w:val="24"/>
                <w:szCs w:val="20"/>
              </w:rPr>
              <w:t>Sort Order</w:t>
            </w:r>
          </w:p>
        </w:tc>
        <w:tc>
          <w:tcPr>
            <w:tcW w:w="2430" w:type="dxa"/>
          </w:tcPr>
          <w:p w14:paraId="5A668A51" w14:textId="77777777" w:rsidR="00564ADD" w:rsidRPr="00B05556" w:rsidRDefault="00564ADD" w:rsidP="009D1558">
            <w:pPr>
              <w:widowControl w:val="0"/>
              <w:spacing w:after="0" w:line="240" w:lineRule="auto"/>
              <w:jc w:val="center"/>
              <w:rPr>
                <w:b/>
                <w:sz w:val="24"/>
                <w:szCs w:val="20"/>
              </w:rPr>
            </w:pPr>
            <w:r w:rsidRPr="00B05556">
              <w:rPr>
                <w:b/>
                <w:sz w:val="24"/>
                <w:szCs w:val="20"/>
              </w:rPr>
              <w:t>Goal Name</w:t>
            </w:r>
          </w:p>
        </w:tc>
        <w:tc>
          <w:tcPr>
            <w:tcW w:w="703" w:type="dxa"/>
          </w:tcPr>
          <w:p w14:paraId="2AD52350" w14:textId="77777777" w:rsidR="00564ADD" w:rsidRPr="00B05556" w:rsidRDefault="00564ADD" w:rsidP="009D1558">
            <w:pPr>
              <w:widowControl w:val="0"/>
              <w:spacing w:after="0" w:line="240" w:lineRule="auto"/>
              <w:jc w:val="center"/>
              <w:rPr>
                <w:b/>
                <w:sz w:val="24"/>
                <w:szCs w:val="20"/>
              </w:rPr>
            </w:pPr>
            <w:r w:rsidRPr="00B05556">
              <w:rPr>
                <w:b/>
                <w:sz w:val="24"/>
                <w:szCs w:val="20"/>
              </w:rPr>
              <w:t>Start Year</w:t>
            </w:r>
          </w:p>
        </w:tc>
        <w:tc>
          <w:tcPr>
            <w:tcW w:w="703" w:type="dxa"/>
          </w:tcPr>
          <w:p w14:paraId="4DB87E64" w14:textId="77777777" w:rsidR="00564ADD" w:rsidRPr="00B05556" w:rsidRDefault="00564ADD" w:rsidP="009D1558">
            <w:pPr>
              <w:widowControl w:val="0"/>
              <w:spacing w:after="0" w:line="240" w:lineRule="auto"/>
              <w:jc w:val="center"/>
              <w:rPr>
                <w:b/>
                <w:sz w:val="24"/>
                <w:szCs w:val="20"/>
              </w:rPr>
            </w:pPr>
            <w:r w:rsidRPr="00B05556">
              <w:rPr>
                <w:b/>
                <w:sz w:val="24"/>
                <w:szCs w:val="20"/>
              </w:rPr>
              <w:t>End Year</w:t>
            </w:r>
          </w:p>
        </w:tc>
        <w:tc>
          <w:tcPr>
            <w:tcW w:w="1599" w:type="dxa"/>
          </w:tcPr>
          <w:p w14:paraId="39D5A35C" w14:textId="77777777" w:rsidR="00564ADD" w:rsidRPr="00B05556" w:rsidRDefault="00564ADD" w:rsidP="009D1558">
            <w:pPr>
              <w:widowControl w:val="0"/>
              <w:spacing w:after="0" w:line="240" w:lineRule="auto"/>
              <w:jc w:val="center"/>
              <w:rPr>
                <w:b/>
                <w:sz w:val="24"/>
                <w:szCs w:val="20"/>
              </w:rPr>
            </w:pPr>
            <w:r w:rsidRPr="00B05556">
              <w:rPr>
                <w:b/>
                <w:sz w:val="24"/>
                <w:szCs w:val="20"/>
              </w:rPr>
              <w:t>Category</w:t>
            </w:r>
          </w:p>
        </w:tc>
        <w:tc>
          <w:tcPr>
            <w:tcW w:w="1354" w:type="dxa"/>
          </w:tcPr>
          <w:p w14:paraId="53E8E2E0" w14:textId="77777777" w:rsidR="00564ADD" w:rsidRPr="00B05556" w:rsidRDefault="00564ADD" w:rsidP="009D1558">
            <w:pPr>
              <w:widowControl w:val="0"/>
              <w:spacing w:after="0" w:line="240" w:lineRule="auto"/>
              <w:jc w:val="center"/>
              <w:rPr>
                <w:b/>
                <w:sz w:val="24"/>
                <w:szCs w:val="20"/>
              </w:rPr>
            </w:pPr>
            <w:r w:rsidRPr="00B05556">
              <w:rPr>
                <w:b/>
                <w:sz w:val="24"/>
                <w:szCs w:val="20"/>
              </w:rPr>
              <w:t>Geographic Area</w:t>
            </w:r>
          </w:p>
        </w:tc>
        <w:tc>
          <w:tcPr>
            <w:tcW w:w="1644" w:type="dxa"/>
          </w:tcPr>
          <w:p w14:paraId="28549F24" w14:textId="77777777" w:rsidR="00564ADD" w:rsidRPr="00B05556" w:rsidRDefault="00564ADD" w:rsidP="009D1558">
            <w:pPr>
              <w:widowControl w:val="0"/>
              <w:spacing w:after="0" w:line="240" w:lineRule="auto"/>
              <w:jc w:val="center"/>
              <w:rPr>
                <w:b/>
                <w:sz w:val="24"/>
                <w:szCs w:val="20"/>
              </w:rPr>
            </w:pPr>
            <w:r w:rsidRPr="00B05556">
              <w:rPr>
                <w:b/>
                <w:sz w:val="24"/>
                <w:szCs w:val="20"/>
              </w:rPr>
              <w:t>Needs Addressed</w:t>
            </w:r>
          </w:p>
        </w:tc>
        <w:tc>
          <w:tcPr>
            <w:tcW w:w="1949" w:type="dxa"/>
          </w:tcPr>
          <w:p w14:paraId="5169F3E8" w14:textId="77777777" w:rsidR="00564ADD" w:rsidRPr="00B05556" w:rsidRDefault="00564ADD" w:rsidP="009D1558">
            <w:pPr>
              <w:widowControl w:val="0"/>
              <w:spacing w:after="0" w:line="240" w:lineRule="auto"/>
              <w:jc w:val="center"/>
              <w:rPr>
                <w:b/>
                <w:sz w:val="24"/>
                <w:szCs w:val="20"/>
              </w:rPr>
            </w:pPr>
            <w:r w:rsidRPr="00B05556">
              <w:rPr>
                <w:b/>
                <w:sz w:val="24"/>
                <w:szCs w:val="20"/>
              </w:rPr>
              <w:t>Funding</w:t>
            </w:r>
          </w:p>
        </w:tc>
        <w:tc>
          <w:tcPr>
            <w:tcW w:w="2655" w:type="dxa"/>
          </w:tcPr>
          <w:p w14:paraId="68BEDE3A" w14:textId="77777777" w:rsidR="00564ADD" w:rsidRPr="00B05556" w:rsidRDefault="00564ADD" w:rsidP="009D1558">
            <w:pPr>
              <w:widowControl w:val="0"/>
              <w:spacing w:after="0" w:line="240" w:lineRule="auto"/>
              <w:jc w:val="center"/>
              <w:rPr>
                <w:b/>
                <w:sz w:val="24"/>
                <w:szCs w:val="20"/>
              </w:rPr>
            </w:pPr>
            <w:r w:rsidRPr="00B05556">
              <w:rPr>
                <w:b/>
                <w:sz w:val="24"/>
                <w:szCs w:val="20"/>
              </w:rPr>
              <w:t>Goal Outcome Indicator</w:t>
            </w:r>
          </w:p>
        </w:tc>
      </w:tr>
      <w:tr w:rsidR="00564ADD" w14:paraId="01FAB1AA" w14:textId="77777777" w:rsidTr="009D1558">
        <w:trPr>
          <w:cantSplit/>
          <w:trHeight w:val="251"/>
          <w:tblHeader/>
        </w:trPr>
        <w:tc>
          <w:tcPr>
            <w:tcW w:w="799" w:type="dxa"/>
            <w:vMerge w:val="restart"/>
          </w:tcPr>
          <w:p w14:paraId="6EB14745"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1</w:t>
            </w:r>
          </w:p>
        </w:tc>
        <w:tc>
          <w:tcPr>
            <w:tcW w:w="2430" w:type="dxa"/>
          </w:tcPr>
          <w:p w14:paraId="22081AA1"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Water and Sewer Improvements</w:t>
            </w:r>
          </w:p>
        </w:tc>
        <w:tc>
          <w:tcPr>
            <w:tcW w:w="703" w:type="dxa"/>
          </w:tcPr>
          <w:p w14:paraId="2BF25002"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09F41514"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73D94427"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Non-Housing Community Development</w:t>
            </w:r>
          </w:p>
        </w:tc>
        <w:tc>
          <w:tcPr>
            <w:tcW w:w="1354" w:type="dxa"/>
          </w:tcPr>
          <w:p w14:paraId="71188C98"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p>
        </w:tc>
        <w:tc>
          <w:tcPr>
            <w:tcW w:w="1644" w:type="dxa"/>
          </w:tcPr>
          <w:p w14:paraId="55D689F2" w14:textId="77777777" w:rsidR="00564ADD" w:rsidRPr="00B05556" w:rsidRDefault="00564ADD" w:rsidP="009D1558">
            <w:pPr>
              <w:widowControl w:val="0"/>
              <w:spacing w:after="0" w:line="240" w:lineRule="auto"/>
              <w:rPr>
                <w:rFonts w:asciiTheme="minorHAnsi" w:hAnsiTheme="minorHAnsi" w:cstheme="minorHAnsi"/>
                <w:b/>
                <w:sz w:val="24"/>
                <w:szCs w:val="24"/>
              </w:rPr>
            </w:pPr>
            <w:r>
              <w:rPr>
                <w:rFonts w:asciiTheme="minorHAnsi" w:hAnsiTheme="minorHAnsi" w:cstheme="minorHAnsi"/>
                <w:color w:val="000000"/>
                <w:sz w:val="24"/>
                <w:szCs w:val="24"/>
              </w:rPr>
              <w:t xml:space="preserve">Community Development </w:t>
            </w:r>
            <w:r w:rsidRPr="00B05556">
              <w:rPr>
                <w:rFonts w:asciiTheme="minorHAnsi" w:hAnsiTheme="minorHAnsi" w:cstheme="minorHAnsi"/>
                <w:color w:val="000000"/>
                <w:sz w:val="24"/>
                <w:szCs w:val="24"/>
              </w:rPr>
              <w:t>Water and Sewer Improvements</w:t>
            </w:r>
          </w:p>
        </w:tc>
        <w:tc>
          <w:tcPr>
            <w:tcW w:w="1949" w:type="dxa"/>
          </w:tcPr>
          <w:p w14:paraId="2276E3F4"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CDBG: $7,099,641</w:t>
            </w:r>
          </w:p>
        </w:tc>
        <w:tc>
          <w:tcPr>
            <w:tcW w:w="2655" w:type="dxa"/>
            <w:vMerge w:val="restart"/>
          </w:tcPr>
          <w:p w14:paraId="4613D5B7"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Public Facility or Infrastructure Activities other than Low/Moderate Income Housing Benefit: 21,500 Persons Assisted</w:t>
            </w:r>
          </w:p>
        </w:tc>
      </w:tr>
      <w:tr w:rsidR="00564ADD" w14:paraId="08CC4042" w14:textId="77777777" w:rsidTr="009D1558">
        <w:trPr>
          <w:cantSplit/>
          <w:trHeight w:val="251"/>
          <w:tblHeader/>
        </w:trPr>
        <w:tc>
          <w:tcPr>
            <w:tcW w:w="799" w:type="dxa"/>
            <w:vMerge/>
          </w:tcPr>
          <w:p w14:paraId="097E749E" w14:textId="77777777" w:rsidR="00564ADD" w:rsidRPr="00B05556"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534C8B2B" w14:textId="77777777" w:rsidR="00564ADD" w:rsidRPr="00B37962" w:rsidRDefault="00564ADD" w:rsidP="009D1558">
            <w:pPr>
              <w:widowControl w:val="0"/>
              <w:spacing w:after="0" w:line="240" w:lineRule="auto"/>
              <w:rPr>
                <w:rFonts w:asciiTheme="minorHAnsi" w:hAnsiTheme="minorHAnsi" w:cstheme="minorHAnsi"/>
                <w:color w:val="000000"/>
                <w:sz w:val="24"/>
                <w:szCs w:val="24"/>
              </w:rPr>
            </w:pPr>
            <w:r w:rsidRPr="00B37962">
              <w:t>Goal Description</w:t>
            </w:r>
            <w:r>
              <w:t>:</w:t>
            </w:r>
          </w:p>
        </w:tc>
        <w:tc>
          <w:tcPr>
            <w:tcW w:w="7952" w:type="dxa"/>
            <w:gridSpan w:val="6"/>
          </w:tcPr>
          <w:p w14:paraId="3A83E32E" w14:textId="77777777" w:rsidR="00564ADD" w:rsidRDefault="00564ADD" w:rsidP="009D1558">
            <w:pPr>
              <w:widowControl w:val="0"/>
              <w:spacing w:after="0" w:line="240" w:lineRule="auto"/>
              <w:jc w:val="both"/>
              <w:rPr>
                <w:color w:val="000000"/>
              </w:rPr>
            </w:pPr>
            <w:r>
              <w:rPr>
                <w:sz w:val="24"/>
                <w:szCs w:val="24"/>
              </w:rPr>
              <w:t>The Water and Sewer annual competition will be separate from the Community Facilities annual competition, although threshold requirements apply equally to both categories. More specific award criteria for this program will be discussed in the 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 The project grant amount is limited to $2,000 per beneficiary up to a maximum of $500,000. It is estimated that from 25% to 55% of CDBG funds will be expended on water and sewer facilities in any given year, depending on the level of need for public facilities during the five-year period.</w:t>
            </w:r>
          </w:p>
        </w:tc>
        <w:tc>
          <w:tcPr>
            <w:tcW w:w="2655" w:type="dxa"/>
            <w:vMerge/>
          </w:tcPr>
          <w:p w14:paraId="70AF1BD9" w14:textId="77777777" w:rsidR="00564ADD" w:rsidRDefault="00564ADD" w:rsidP="009D1558">
            <w:pPr>
              <w:widowControl w:val="0"/>
              <w:spacing w:after="0" w:line="240" w:lineRule="auto"/>
              <w:rPr>
                <w:color w:val="000000"/>
              </w:rPr>
            </w:pPr>
          </w:p>
        </w:tc>
      </w:tr>
      <w:tr w:rsidR="00564ADD" w14:paraId="3F69D9AD" w14:textId="77777777" w:rsidTr="009D1558">
        <w:trPr>
          <w:cantSplit/>
          <w:trHeight w:val="251"/>
          <w:tblHeader/>
        </w:trPr>
        <w:tc>
          <w:tcPr>
            <w:tcW w:w="13836" w:type="dxa"/>
            <w:gridSpan w:val="9"/>
          </w:tcPr>
          <w:p w14:paraId="1EC9D129" w14:textId="77777777" w:rsidR="00564ADD" w:rsidRDefault="00564ADD" w:rsidP="009D1558">
            <w:pPr>
              <w:widowControl w:val="0"/>
              <w:spacing w:after="0" w:line="240" w:lineRule="auto"/>
              <w:rPr>
                <w:color w:val="000000"/>
              </w:rPr>
            </w:pPr>
          </w:p>
        </w:tc>
      </w:tr>
      <w:tr w:rsidR="00564ADD" w14:paraId="0D4C3596" w14:textId="77777777" w:rsidTr="009D1558">
        <w:trPr>
          <w:cantSplit/>
          <w:trHeight w:val="251"/>
          <w:tblHeader/>
        </w:trPr>
        <w:tc>
          <w:tcPr>
            <w:tcW w:w="799" w:type="dxa"/>
            <w:vMerge w:val="restart"/>
          </w:tcPr>
          <w:p w14:paraId="5AD09C23"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w:t>
            </w:r>
          </w:p>
        </w:tc>
        <w:tc>
          <w:tcPr>
            <w:tcW w:w="2430" w:type="dxa"/>
          </w:tcPr>
          <w:p w14:paraId="1002BFD6"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Increase the quality of affordable housing: CDBG</w:t>
            </w:r>
          </w:p>
        </w:tc>
        <w:tc>
          <w:tcPr>
            <w:tcW w:w="703" w:type="dxa"/>
          </w:tcPr>
          <w:p w14:paraId="54863568"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3BBBA741"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290C459A"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354" w:type="dxa"/>
          </w:tcPr>
          <w:p w14:paraId="56D6E861"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p>
        </w:tc>
        <w:tc>
          <w:tcPr>
            <w:tcW w:w="1644" w:type="dxa"/>
          </w:tcPr>
          <w:p w14:paraId="0D9DBD5D"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77765061"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CDBG: $1,178,540</w:t>
            </w:r>
          </w:p>
        </w:tc>
        <w:tc>
          <w:tcPr>
            <w:tcW w:w="2655" w:type="dxa"/>
            <w:vMerge w:val="restart"/>
          </w:tcPr>
          <w:p w14:paraId="10F690E7" w14:textId="0A5AF713" w:rsidR="00564ADD" w:rsidRDefault="00564ADD" w:rsidP="009D1558">
            <w:pPr>
              <w:widowControl w:val="0"/>
              <w:spacing w:after="0" w:line="240" w:lineRule="auto"/>
              <w:rPr>
                <w:color w:val="000000"/>
              </w:rPr>
            </w:pPr>
            <w:r>
              <w:rPr>
                <w:color w:val="000000"/>
              </w:rPr>
              <w:t xml:space="preserve">Rental units rehabilitated: </w:t>
            </w:r>
            <w:r w:rsidR="002817D8">
              <w:rPr>
                <w:color w:val="000000"/>
              </w:rPr>
              <w:t>10</w:t>
            </w:r>
            <w:r>
              <w:rPr>
                <w:color w:val="000000"/>
              </w:rPr>
              <w:t xml:space="preserve"> Household Housing Unit</w:t>
            </w:r>
            <w:r>
              <w:rPr>
                <w:color w:val="000000"/>
              </w:rPr>
              <w:br/>
            </w:r>
          </w:p>
          <w:p w14:paraId="5E21A48A" w14:textId="77777777" w:rsidR="00564ADD" w:rsidRDefault="00564ADD" w:rsidP="009D1558">
            <w:pPr>
              <w:widowControl w:val="0"/>
              <w:spacing w:after="0" w:line="240" w:lineRule="auto"/>
              <w:rPr>
                <w:color w:val="000000"/>
              </w:rPr>
            </w:pPr>
            <w:r>
              <w:rPr>
                <w:color w:val="000000"/>
              </w:rPr>
              <w:t>Homeowner Housing Rehabilitated: 17 Household Housing Unit</w:t>
            </w:r>
            <w:r>
              <w:rPr>
                <w:color w:val="000000"/>
              </w:rPr>
              <w:br/>
            </w:r>
          </w:p>
          <w:p w14:paraId="4BB22BEE"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Buildings Demolished: 14 Buildings</w:t>
            </w:r>
          </w:p>
        </w:tc>
      </w:tr>
      <w:tr w:rsidR="00564ADD" w14:paraId="3C6EF4D3" w14:textId="77777777" w:rsidTr="009D1558">
        <w:trPr>
          <w:cantSplit/>
          <w:trHeight w:val="251"/>
          <w:tblHeader/>
        </w:trPr>
        <w:tc>
          <w:tcPr>
            <w:tcW w:w="799" w:type="dxa"/>
            <w:vMerge/>
          </w:tcPr>
          <w:p w14:paraId="3FB07317" w14:textId="77777777" w:rsidR="00564ADD" w:rsidRPr="00B05556"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6F3C0AA6" w14:textId="77777777" w:rsidR="00564ADD" w:rsidRPr="00B37962" w:rsidRDefault="00564ADD" w:rsidP="009D1558">
            <w:pPr>
              <w:widowControl w:val="0"/>
              <w:spacing w:after="0" w:line="240" w:lineRule="auto"/>
              <w:rPr>
                <w:rFonts w:asciiTheme="minorHAnsi" w:hAnsiTheme="minorHAnsi" w:cstheme="minorHAnsi"/>
                <w:color w:val="000000"/>
                <w:sz w:val="24"/>
                <w:szCs w:val="24"/>
              </w:rPr>
            </w:pPr>
            <w:r w:rsidRPr="00B37962">
              <w:t>Goal Description</w:t>
            </w:r>
            <w:r>
              <w:t>:</w:t>
            </w:r>
          </w:p>
        </w:tc>
        <w:tc>
          <w:tcPr>
            <w:tcW w:w="7952" w:type="dxa"/>
            <w:gridSpan w:val="6"/>
          </w:tcPr>
          <w:p w14:paraId="6D718594" w14:textId="77777777" w:rsidR="00564ADD" w:rsidRPr="00A017FC" w:rsidRDefault="00564ADD" w:rsidP="009D1558">
            <w:pPr>
              <w:rPr>
                <w:sz w:val="24"/>
                <w:szCs w:val="24"/>
              </w:rPr>
            </w:pPr>
            <w:r w:rsidRPr="00A017FC">
              <w:rPr>
                <w:sz w:val="24"/>
                <w:szCs w:val="24"/>
              </w:rPr>
              <w:t xml:space="preserve">A State Housing Strategy outlined a list of the customer priorities to address housing issues in Kansas: </w:t>
            </w:r>
          </w:p>
          <w:p w14:paraId="371E6199" w14:textId="77777777" w:rsidR="00564ADD" w:rsidRDefault="00564ADD" w:rsidP="00A121EE">
            <w:pPr>
              <w:pStyle w:val="ListParagraph"/>
              <w:numPr>
                <w:ilvl w:val="1"/>
                <w:numId w:val="52"/>
              </w:numPr>
              <w:rPr>
                <w:sz w:val="24"/>
                <w:szCs w:val="24"/>
              </w:rPr>
            </w:pPr>
            <w:r>
              <w:rPr>
                <w:sz w:val="24"/>
                <w:szCs w:val="24"/>
              </w:rPr>
              <w:t>Owners</w:t>
            </w:r>
          </w:p>
          <w:p w14:paraId="2392F48A" w14:textId="77777777" w:rsidR="00564ADD" w:rsidRDefault="00564ADD" w:rsidP="00A121EE">
            <w:pPr>
              <w:pStyle w:val="ListParagraph"/>
              <w:numPr>
                <w:ilvl w:val="1"/>
                <w:numId w:val="52"/>
              </w:numPr>
              <w:rPr>
                <w:sz w:val="24"/>
                <w:szCs w:val="24"/>
              </w:rPr>
            </w:pPr>
            <w:r>
              <w:rPr>
                <w:sz w:val="24"/>
                <w:szCs w:val="24"/>
              </w:rPr>
              <w:t>Renters</w:t>
            </w:r>
          </w:p>
          <w:p w14:paraId="57BC1052" w14:textId="77777777" w:rsidR="00564ADD" w:rsidRDefault="00564ADD" w:rsidP="00A121EE">
            <w:pPr>
              <w:pStyle w:val="ListParagraph"/>
              <w:numPr>
                <w:ilvl w:val="1"/>
                <w:numId w:val="52"/>
              </w:numPr>
              <w:rPr>
                <w:sz w:val="24"/>
                <w:szCs w:val="24"/>
              </w:rPr>
            </w:pPr>
            <w:r>
              <w:rPr>
                <w:sz w:val="24"/>
                <w:szCs w:val="24"/>
              </w:rPr>
              <w:t>Vulnerable populations</w:t>
            </w:r>
          </w:p>
          <w:p w14:paraId="64CB10D9" w14:textId="77777777" w:rsidR="00564ADD" w:rsidRDefault="00564ADD" w:rsidP="00A121EE">
            <w:pPr>
              <w:pStyle w:val="ListParagraph"/>
              <w:numPr>
                <w:ilvl w:val="1"/>
                <w:numId w:val="52"/>
              </w:numPr>
              <w:rPr>
                <w:sz w:val="24"/>
                <w:szCs w:val="24"/>
              </w:rPr>
            </w:pPr>
            <w:r>
              <w:rPr>
                <w:sz w:val="24"/>
                <w:szCs w:val="24"/>
              </w:rPr>
              <w:t>Homeless persons</w:t>
            </w:r>
          </w:p>
          <w:p w14:paraId="5D5246B9" w14:textId="77777777" w:rsidR="00564ADD" w:rsidRDefault="00564ADD" w:rsidP="009D1558">
            <w:pPr>
              <w:widowControl w:val="0"/>
              <w:spacing w:after="0" w:line="240" w:lineRule="auto"/>
              <w:jc w:val="both"/>
              <w:rPr>
                <w:color w:val="000000"/>
              </w:rPr>
            </w:pPr>
            <w:r w:rsidRPr="00A017FC">
              <w:rPr>
                <w:sz w:val="24"/>
                <w:szCs w:val="24"/>
              </w:rPr>
              <w:t>The Strategy stated that Kansas view affordable single-family housing as a priority activity and goal. Top priorities include: First Time Homebuyers, Existing Homeowners, and Renters (unit shortage). CDBG programs include housing rehabilitation, both owner-occupied and renter-occupied.</w:t>
            </w:r>
          </w:p>
        </w:tc>
        <w:tc>
          <w:tcPr>
            <w:tcW w:w="2655" w:type="dxa"/>
            <w:vMerge/>
          </w:tcPr>
          <w:p w14:paraId="387004A5" w14:textId="77777777" w:rsidR="00564ADD" w:rsidRDefault="00564ADD" w:rsidP="009D1558">
            <w:pPr>
              <w:widowControl w:val="0"/>
              <w:spacing w:after="0" w:line="240" w:lineRule="auto"/>
              <w:rPr>
                <w:color w:val="000000"/>
              </w:rPr>
            </w:pPr>
          </w:p>
        </w:tc>
      </w:tr>
      <w:tr w:rsidR="00564ADD" w14:paraId="7C61AA90" w14:textId="77777777" w:rsidTr="009D1558">
        <w:trPr>
          <w:cantSplit/>
          <w:trHeight w:val="251"/>
          <w:tblHeader/>
        </w:trPr>
        <w:tc>
          <w:tcPr>
            <w:tcW w:w="13836" w:type="dxa"/>
            <w:gridSpan w:val="9"/>
          </w:tcPr>
          <w:p w14:paraId="07B3160D" w14:textId="77777777" w:rsidR="00564ADD" w:rsidRDefault="00564ADD" w:rsidP="009D1558">
            <w:pPr>
              <w:widowControl w:val="0"/>
              <w:spacing w:after="0" w:line="240" w:lineRule="auto"/>
              <w:rPr>
                <w:color w:val="000000"/>
              </w:rPr>
            </w:pPr>
          </w:p>
        </w:tc>
      </w:tr>
      <w:tr w:rsidR="00564ADD" w14:paraId="7BCA53DA" w14:textId="77777777" w:rsidTr="009D1558">
        <w:trPr>
          <w:cantSplit/>
          <w:trHeight w:val="251"/>
          <w:tblHeader/>
        </w:trPr>
        <w:tc>
          <w:tcPr>
            <w:tcW w:w="799" w:type="dxa"/>
            <w:vMerge w:val="restart"/>
          </w:tcPr>
          <w:p w14:paraId="49D95F35"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2430" w:type="dxa"/>
          </w:tcPr>
          <w:p w14:paraId="332648B3"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Community Facilities</w:t>
            </w:r>
          </w:p>
        </w:tc>
        <w:tc>
          <w:tcPr>
            <w:tcW w:w="703" w:type="dxa"/>
          </w:tcPr>
          <w:p w14:paraId="5EBFC9B3"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7EA9CD96"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5340F378"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Non-Housing Community Development</w:t>
            </w:r>
          </w:p>
        </w:tc>
        <w:tc>
          <w:tcPr>
            <w:tcW w:w="1354" w:type="dxa"/>
          </w:tcPr>
          <w:p w14:paraId="7DC925B8"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p>
        </w:tc>
        <w:tc>
          <w:tcPr>
            <w:tcW w:w="1644" w:type="dxa"/>
          </w:tcPr>
          <w:p w14:paraId="28B90FF6"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 xml:space="preserve">Community </w:t>
            </w:r>
            <w:r>
              <w:rPr>
                <w:rFonts w:asciiTheme="minorHAnsi" w:hAnsiTheme="minorHAnsi" w:cstheme="minorHAnsi"/>
                <w:color w:val="000000"/>
                <w:sz w:val="24"/>
                <w:szCs w:val="24"/>
              </w:rPr>
              <w:t>Development</w:t>
            </w:r>
          </w:p>
        </w:tc>
        <w:tc>
          <w:tcPr>
            <w:tcW w:w="1949" w:type="dxa"/>
          </w:tcPr>
          <w:p w14:paraId="5EA61D9E"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CDBG: $4,969,748</w:t>
            </w:r>
          </w:p>
        </w:tc>
        <w:tc>
          <w:tcPr>
            <w:tcW w:w="2655" w:type="dxa"/>
            <w:vMerge w:val="restart"/>
          </w:tcPr>
          <w:p w14:paraId="25CB1AA8"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Other: 15 Other</w:t>
            </w:r>
          </w:p>
        </w:tc>
      </w:tr>
      <w:tr w:rsidR="00564ADD" w14:paraId="39CE83AC" w14:textId="77777777" w:rsidTr="009D1558">
        <w:trPr>
          <w:cantSplit/>
          <w:trHeight w:val="251"/>
          <w:tblHeader/>
        </w:trPr>
        <w:tc>
          <w:tcPr>
            <w:tcW w:w="799" w:type="dxa"/>
            <w:vMerge/>
          </w:tcPr>
          <w:p w14:paraId="1BFFD493"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408AC0FA" w14:textId="77777777" w:rsidR="00564ADD" w:rsidRPr="00B37962" w:rsidRDefault="00564ADD" w:rsidP="009D1558">
            <w:pPr>
              <w:widowControl w:val="0"/>
              <w:spacing w:after="0" w:line="240" w:lineRule="auto"/>
              <w:rPr>
                <w:rFonts w:asciiTheme="minorHAnsi" w:hAnsiTheme="minorHAnsi" w:cstheme="minorHAnsi"/>
                <w:color w:val="000000"/>
                <w:sz w:val="24"/>
                <w:szCs w:val="24"/>
              </w:rPr>
            </w:pPr>
            <w:r w:rsidRPr="00B37962">
              <w:rPr>
                <w:rFonts w:asciiTheme="minorHAnsi" w:hAnsiTheme="minorHAnsi" w:cstheme="minorHAnsi"/>
                <w:color w:val="000000"/>
                <w:sz w:val="24"/>
                <w:szCs w:val="24"/>
              </w:rPr>
              <w:t>Goal Description</w:t>
            </w:r>
            <w:r>
              <w:rPr>
                <w:rFonts w:asciiTheme="minorHAnsi" w:hAnsiTheme="minorHAnsi" w:cstheme="minorHAnsi"/>
                <w:color w:val="000000"/>
                <w:sz w:val="24"/>
                <w:szCs w:val="24"/>
              </w:rPr>
              <w:t>:</w:t>
            </w:r>
          </w:p>
        </w:tc>
        <w:tc>
          <w:tcPr>
            <w:tcW w:w="7952" w:type="dxa"/>
            <w:gridSpan w:val="6"/>
          </w:tcPr>
          <w:p w14:paraId="261A0BCA" w14:textId="77777777" w:rsidR="00564ADD" w:rsidRDefault="00564ADD" w:rsidP="009D1558">
            <w:pPr>
              <w:widowControl w:val="0"/>
              <w:spacing w:after="0" w:line="240" w:lineRule="auto"/>
              <w:jc w:val="both"/>
              <w:rPr>
                <w:color w:val="000000"/>
              </w:rPr>
            </w:pPr>
            <w:r w:rsidRPr="00A017FC">
              <w:rPr>
                <w:sz w:val="24"/>
                <w:szCs w:val="24"/>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This project grant amount is limited to $2,000 per beneficiary up to a maximum of $400,000.</w:t>
            </w:r>
          </w:p>
        </w:tc>
        <w:tc>
          <w:tcPr>
            <w:tcW w:w="2655" w:type="dxa"/>
            <w:vMerge/>
          </w:tcPr>
          <w:p w14:paraId="50431D79" w14:textId="77777777" w:rsidR="00564ADD" w:rsidRDefault="00564ADD" w:rsidP="009D1558">
            <w:pPr>
              <w:widowControl w:val="0"/>
              <w:spacing w:after="0" w:line="240" w:lineRule="auto"/>
              <w:rPr>
                <w:color w:val="000000"/>
              </w:rPr>
            </w:pPr>
          </w:p>
        </w:tc>
      </w:tr>
      <w:tr w:rsidR="00564ADD" w14:paraId="4B1938AF" w14:textId="77777777" w:rsidTr="009D1558">
        <w:trPr>
          <w:cantSplit/>
          <w:trHeight w:val="251"/>
          <w:tblHeader/>
        </w:trPr>
        <w:tc>
          <w:tcPr>
            <w:tcW w:w="13836" w:type="dxa"/>
            <w:gridSpan w:val="9"/>
          </w:tcPr>
          <w:p w14:paraId="429E39B9" w14:textId="77777777" w:rsidR="00564ADD" w:rsidRDefault="00564ADD" w:rsidP="009D1558">
            <w:pPr>
              <w:widowControl w:val="0"/>
              <w:spacing w:after="0" w:line="240" w:lineRule="auto"/>
              <w:rPr>
                <w:color w:val="000000"/>
              </w:rPr>
            </w:pPr>
          </w:p>
        </w:tc>
      </w:tr>
      <w:tr w:rsidR="00564ADD" w14:paraId="189A86F7" w14:textId="77777777" w:rsidTr="009D1558">
        <w:trPr>
          <w:cantSplit/>
          <w:trHeight w:val="251"/>
          <w:tblHeader/>
        </w:trPr>
        <w:tc>
          <w:tcPr>
            <w:tcW w:w="799" w:type="dxa"/>
          </w:tcPr>
          <w:p w14:paraId="21A0808C" w14:textId="77777777" w:rsidR="00564ADD"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2430" w:type="dxa"/>
          </w:tcPr>
          <w:p w14:paraId="25702EB6"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Economic Development</w:t>
            </w:r>
          </w:p>
        </w:tc>
        <w:tc>
          <w:tcPr>
            <w:tcW w:w="703" w:type="dxa"/>
          </w:tcPr>
          <w:p w14:paraId="5BBCCA44"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2019</w:t>
            </w:r>
          </w:p>
        </w:tc>
        <w:tc>
          <w:tcPr>
            <w:tcW w:w="703" w:type="dxa"/>
          </w:tcPr>
          <w:p w14:paraId="74A87DD9"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2023</w:t>
            </w:r>
          </w:p>
        </w:tc>
        <w:tc>
          <w:tcPr>
            <w:tcW w:w="1599" w:type="dxa"/>
          </w:tcPr>
          <w:p w14:paraId="7EF0E44A"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Economic Development</w:t>
            </w:r>
          </w:p>
        </w:tc>
        <w:tc>
          <w:tcPr>
            <w:tcW w:w="1354" w:type="dxa"/>
          </w:tcPr>
          <w:p w14:paraId="7A72F1D3" w14:textId="77777777" w:rsidR="00564ADD" w:rsidRPr="00B05556" w:rsidRDefault="00564ADD" w:rsidP="009D1558">
            <w:pPr>
              <w:widowControl w:val="0"/>
              <w:spacing w:after="0" w:line="240" w:lineRule="auto"/>
              <w:jc w:val="center"/>
              <w:rPr>
                <w:rFonts w:asciiTheme="minorHAnsi" w:hAnsiTheme="minorHAnsi" w:cstheme="minorHAnsi"/>
                <w:color w:val="000000"/>
                <w:sz w:val="24"/>
                <w:szCs w:val="24"/>
              </w:rPr>
            </w:pPr>
          </w:p>
        </w:tc>
        <w:tc>
          <w:tcPr>
            <w:tcW w:w="1644" w:type="dxa"/>
          </w:tcPr>
          <w:p w14:paraId="26B4311A"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sidRPr="00B05556">
              <w:rPr>
                <w:rFonts w:asciiTheme="minorHAnsi" w:hAnsiTheme="minorHAnsi" w:cstheme="minorHAnsi"/>
                <w:color w:val="000000"/>
                <w:sz w:val="24"/>
                <w:szCs w:val="24"/>
              </w:rPr>
              <w:t xml:space="preserve">Community </w:t>
            </w:r>
            <w:r>
              <w:rPr>
                <w:rFonts w:asciiTheme="minorHAnsi" w:hAnsiTheme="minorHAnsi" w:cstheme="minorHAnsi"/>
                <w:color w:val="000000"/>
                <w:sz w:val="24"/>
                <w:szCs w:val="24"/>
              </w:rPr>
              <w:t>Development</w:t>
            </w:r>
          </w:p>
        </w:tc>
        <w:tc>
          <w:tcPr>
            <w:tcW w:w="1949" w:type="dxa"/>
          </w:tcPr>
          <w:p w14:paraId="69CC7940" w14:textId="77777777" w:rsidR="00564ADD" w:rsidRDefault="00564ADD" w:rsidP="009D1558">
            <w:pPr>
              <w:widowControl w:val="0"/>
              <w:spacing w:after="0" w:line="240" w:lineRule="auto"/>
              <w:jc w:val="both"/>
              <w:rPr>
                <w:color w:val="000000"/>
              </w:rPr>
            </w:pPr>
            <w:r>
              <w:rPr>
                <w:color w:val="000000"/>
              </w:rPr>
              <w:t>CDBG: $1,126,083</w:t>
            </w:r>
          </w:p>
        </w:tc>
        <w:tc>
          <w:tcPr>
            <w:tcW w:w="2655" w:type="dxa"/>
            <w:vMerge w:val="restart"/>
          </w:tcPr>
          <w:p w14:paraId="64547F0A" w14:textId="77777777" w:rsidR="00564ADD" w:rsidRDefault="00564ADD" w:rsidP="009D1558">
            <w:pPr>
              <w:widowControl w:val="0"/>
              <w:spacing w:after="0" w:line="240" w:lineRule="auto"/>
              <w:rPr>
                <w:color w:val="000000"/>
              </w:rPr>
            </w:pPr>
            <w:r>
              <w:rPr>
                <w:color w:val="000000"/>
              </w:rPr>
              <w:t>Businesses assisted: 5</w:t>
            </w:r>
          </w:p>
        </w:tc>
      </w:tr>
      <w:tr w:rsidR="00564ADD" w14:paraId="713B0DD0" w14:textId="77777777" w:rsidTr="009D1558">
        <w:trPr>
          <w:cantSplit/>
          <w:trHeight w:val="251"/>
          <w:tblHeader/>
        </w:trPr>
        <w:tc>
          <w:tcPr>
            <w:tcW w:w="799" w:type="dxa"/>
          </w:tcPr>
          <w:p w14:paraId="7B386D85"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3ECE8592"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13E70E6E" w14:textId="77777777" w:rsidR="00564ADD" w:rsidRDefault="00564ADD" w:rsidP="009D1558">
            <w:pPr>
              <w:widowControl w:val="0"/>
              <w:spacing w:after="0" w:line="240" w:lineRule="auto"/>
              <w:jc w:val="both"/>
              <w:rPr>
                <w:color w:val="000000"/>
              </w:rPr>
            </w:pPr>
            <w:r>
              <w:rPr>
                <w:sz w:val="24"/>
                <w:szCs w:val="24"/>
              </w:rPr>
              <w:t>Funds may be used by a local unit of government to provide infrastructure or business financing assistance for a new business locating in or an existing business expanding in, a community. The local government may choose to offer assistance to an existing local firm attempting to remain in business. Technical assistance is available from the State during preparation of the application to ensure that the application will meet threshold requirements. Funds are available for PY2019 through an “open window process” starting on January 1</w:t>
            </w:r>
            <w:r w:rsidRPr="008A42A3">
              <w:rPr>
                <w:sz w:val="24"/>
                <w:szCs w:val="24"/>
                <w:vertAlign w:val="superscript"/>
              </w:rPr>
              <w:t>st</w:t>
            </w:r>
            <w:r>
              <w:rPr>
                <w:sz w:val="24"/>
                <w:szCs w:val="24"/>
              </w:rPr>
              <w:t xml:space="preserve"> and closing on December 10</w:t>
            </w:r>
            <w:r w:rsidRPr="008A42A3">
              <w:rPr>
                <w:sz w:val="24"/>
                <w:szCs w:val="24"/>
                <w:vertAlign w:val="superscript"/>
              </w:rPr>
              <w:t>th</w:t>
            </w:r>
            <w:r>
              <w:rPr>
                <w:sz w:val="24"/>
                <w:szCs w:val="24"/>
              </w:rPr>
              <w:t>. The maximum amount that can be applied for is $750,000, and the minimum amount is $100,000. Projects must meet the public benefit of at least 1 full-time job per $35,000 of assistance. All projects must meet the “law-and-moderate income” national objective.</w:t>
            </w:r>
          </w:p>
        </w:tc>
        <w:tc>
          <w:tcPr>
            <w:tcW w:w="2655" w:type="dxa"/>
            <w:vMerge/>
          </w:tcPr>
          <w:p w14:paraId="22214404" w14:textId="77777777" w:rsidR="00564ADD" w:rsidRDefault="00564ADD" w:rsidP="009D1558">
            <w:pPr>
              <w:widowControl w:val="0"/>
              <w:spacing w:after="0" w:line="240" w:lineRule="auto"/>
              <w:rPr>
                <w:color w:val="000000"/>
              </w:rPr>
            </w:pPr>
          </w:p>
        </w:tc>
      </w:tr>
      <w:tr w:rsidR="00564ADD" w14:paraId="03EF70A2" w14:textId="77777777" w:rsidTr="009D1558">
        <w:trPr>
          <w:cantSplit/>
          <w:trHeight w:val="251"/>
          <w:tblHeader/>
        </w:trPr>
        <w:tc>
          <w:tcPr>
            <w:tcW w:w="799" w:type="dxa"/>
          </w:tcPr>
          <w:p w14:paraId="018DE5E5" w14:textId="77777777" w:rsidR="00564ADD"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2430" w:type="dxa"/>
          </w:tcPr>
          <w:p w14:paraId="3BB92316"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Downtown Commercial Rehab</w:t>
            </w:r>
          </w:p>
        </w:tc>
        <w:tc>
          <w:tcPr>
            <w:tcW w:w="703" w:type="dxa"/>
          </w:tcPr>
          <w:p w14:paraId="4883D2DE"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2019</w:t>
            </w:r>
          </w:p>
        </w:tc>
        <w:tc>
          <w:tcPr>
            <w:tcW w:w="703" w:type="dxa"/>
          </w:tcPr>
          <w:p w14:paraId="043D65B8"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2023</w:t>
            </w:r>
          </w:p>
        </w:tc>
        <w:tc>
          <w:tcPr>
            <w:tcW w:w="1599" w:type="dxa"/>
          </w:tcPr>
          <w:p w14:paraId="4273F9DE"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Non-Housing Community Development</w:t>
            </w:r>
          </w:p>
        </w:tc>
        <w:tc>
          <w:tcPr>
            <w:tcW w:w="1354" w:type="dxa"/>
          </w:tcPr>
          <w:p w14:paraId="76459210" w14:textId="77777777" w:rsidR="00564ADD" w:rsidRPr="00B05556" w:rsidRDefault="00564ADD" w:rsidP="009D1558">
            <w:pPr>
              <w:widowControl w:val="0"/>
              <w:spacing w:after="0" w:line="240" w:lineRule="auto"/>
              <w:jc w:val="center"/>
              <w:rPr>
                <w:rFonts w:asciiTheme="minorHAnsi" w:hAnsiTheme="minorHAnsi" w:cstheme="minorHAnsi"/>
                <w:color w:val="000000"/>
                <w:sz w:val="24"/>
                <w:szCs w:val="24"/>
              </w:rPr>
            </w:pPr>
          </w:p>
        </w:tc>
        <w:tc>
          <w:tcPr>
            <w:tcW w:w="1644" w:type="dxa"/>
          </w:tcPr>
          <w:p w14:paraId="6601568A"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Community Development</w:t>
            </w:r>
          </w:p>
        </w:tc>
        <w:tc>
          <w:tcPr>
            <w:tcW w:w="1949" w:type="dxa"/>
          </w:tcPr>
          <w:p w14:paraId="5C61C72B" w14:textId="77777777" w:rsidR="00564ADD" w:rsidRDefault="00564ADD" w:rsidP="009D1558">
            <w:pPr>
              <w:widowControl w:val="0"/>
              <w:spacing w:after="0" w:line="240" w:lineRule="auto"/>
              <w:jc w:val="both"/>
              <w:rPr>
                <w:color w:val="000000"/>
              </w:rPr>
            </w:pPr>
            <w:r>
              <w:rPr>
                <w:color w:val="000000"/>
              </w:rPr>
              <w:t>CDBG: $997,509</w:t>
            </w:r>
          </w:p>
        </w:tc>
        <w:tc>
          <w:tcPr>
            <w:tcW w:w="2655" w:type="dxa"/>
            <w:vMerge w:val="restart"/>
          </w:tcPr>
          <w:p w14:paraId="2E22B110" w14:textId="77777777" w:rsidR="00564ADD" w:rsidRDefault="00564ADD" w:rsidP="009D1558">
            <w:pPr>
              <w:widowControl w:val="0"/>
              <w:spacing w:after="0" w:line="240" w:lineRule="auto"/>
              <w:rPr>
                <w:color w:val="000000"/>
              </w:rPr>
            </w:pPr>
            <w:r>
              <w:rPr>
                <w:color w:val="000000"/>
              </w:rPr>
              <w:t>Businesses assisted: 6</w:t>
            </w:r>
          </w:p>
        </w:tc>
      </w:tr>
      <w:tr w:rsidR="00564ADD" w14:paraId="288810AE" w14:textId="77777777" w:rsidTr="009D1558">
        <w:trPr>
          <w:cantSplit/>
          <w:trHeight w:val="251"/>
          <w:tblHeader/>
        </w:trPr>
        <w:tc>
          <w:tcPr>
            <w:tcW w:w="799" w:type="dxa"/>
          </w:tcPr>
          <w:p w14:paraId="13C0A4B6"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607B93E3"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7FE54706" w14:textId="77777777" w:rsidR="00564ADD" w:rsidRDefault="00564ADD" w:rsidP="009D1558">
            <w:pPr>
              <w:widowControl w:val="0"/>
              <w:spacing w:after="0" w:line="240" w:lineRule="auto"/>
              <w:jc w:val="both"/>
              <w:rPr>
                <w:color w:val="000000"/>
              </w:rPr>
            </w:pPr>
            <w:r w:rsidRPr="008A42A3">
              <w:rPr>
                <w:sz w:val="24"/>
                <w:szCs w:val="24"/>
              </w:rPr>
              <w:t>The purpose of the program is to help communities improve the quality of their downtown commercial districts by assisting private property owners in the rehabilitation of blighted buildings. All projects must meet the “slum and blight” national objective. There will be two application rounds for PY2019</w:t>
            </w:r>
            <w:r>
              <w:rPr>
                <w:sz w:val="24"/>
                <w:szCs w:val="24"/>
              </w:rPr>
              <w:t>. The deadlines will be on February 1</w:t>
            </w:r>
            <w:r w:rsidRPr="008A42A3">
              <w:rPr>
                <w:sz w:val="24"/>
                <w:szCs w:val="24"/>
                <w:vertAlign w:val="superscript"/>
              </w:rPr>
              <w:t>st</w:t>
            </w:r>
            <w:r>
              <w:rPr>
                <w:sz w:val="24"/>
                <w:szCs w:val="24"/>
              </w:rPr>
              <w:t xml:space="preserve"> and August 1</w:t>
            </w:r>
            <w:r w:rsidRPr="008A42A3">
              <w:rPr>
                <w:sz w:val="24"/>
                <w:szCs w:val="24"/>
                <w:vertAlign w:val="superscript"/>
              </w:rPr>
              <w:t>st</w:t>
            </w:r>
            <w:r>
              <w:rPr>
                <w:sz w:val="24"/>
                <w:szCs w:val="24"/>
              </w:rPr>
              <w:t xml:space="preserve"> each year. The maximum grant award is $250,000. A private match of at least 25% will be required.</w:t>
            </w:r>
          </w:p>
        </w:tc>
        <w:tc>
          <w:tcPr>
            <w:tcW w:w="2655" w:type="dxa"/>
            <w:vMerge/>
          </w:tcPr>
          <w:p w14:paraId="19E2B009" w14:textId="77777777" w:rsidR="00564ADD" w:rsidRDefault="00564ADD" w:rsidP="009D1558">
            <w:pPr>
              <w:widowControl w:val="0"/>
              <w:spacing w:after="0" w:line="240" w:lineRule="auto"/>
              <w:rPr>
                <w:color w:val="000000"/>
              </w:rPr>
            </w:pPr>
          </w:p>
        </w:tc>
      </w:tr>
      <w:tr w:rsidR="00564ADD" w14:paraId="5D3F3E1E" w14:textId="77777777" w:rsidTr="009D1558">
        <w:trPr>
          <w:cantSplit/>
          <w:trHeight w:val="251"/>
          <w:tblHeader/>
        </w:trPr>
        <w:tc>
          <w:tcPr>
            <w:tcW w:w="799" w:type="dxa"/>
          </w:tcPr>
          <w:p w14:paraId="06F49AA9"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70DE08C1"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p>
        </w:tc>
        <w:tc>
          <w:tcPr>
            <w:tcW w:w="703" w:type="dxa"/>
          </w:tcPr>
          <w:p w14:paraId="1102B945" w14:textId="77777777" w:rsidR="00564ADD" w:rsidRPr="00B05556" w:rsidRDefault="00564ADD" w:rsidP="009D1558">
            <w:pPr>
              <w:widowControl w:val="0"/>
              <w:spacing w:after="0" w:line="240" w:lineRule="auto"/>
              <w:jc w:val="center"/>
              <w:rPr>
                <w:rFonts w:asciiTheme="minorHAnsi" w:hAnsiTheme="minorHAnsi" w:cstheme="minorHAnsi"/>
                <w:sz w:val="24"/>
                <w:szCs w:val="24"/>
              </w:rPr>
            </w:pPr>
          </w:p>
        </w:tc>
        <w:tc>
          <w:tcPr>
            <w:tcW w:w="703" w:type="dxa"/>
          </w:tcPr>
          <w:p w14:paraId="308A47EF" w14:textId="77777777" w:rsidR="00564ADD" w:rsidRPr="00B05556" w:rsidRDefault="00564ADD" w:rsidP="009D1558">
            <w:pPr>
              <w:widowControl w:val="0"/>
              <w:spacing w:after="0" w:line="240" w:lineRule="auto"/>
              <w:jc w:val="center"/>
              <w:rPr>
                <w:rFonts w:asciiTheme="minorHAnsi" w:hAnsiTheme="minorHAnsi" w:cstheme="minorHAnsi"/>
                <w:sz w:val="24"/>
                <w:szCs w:val="24"/>
              </w:rPr>
            </w:pPr>
          </w:p>
        </w:tc>
        <w:tc>
          <w:tcPr>
            <w:tcW w:w="1599" w:type="dxa"/>
          </w:tcPr>
          <w:p w14:paraId="43F67AAF"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p>
        </w:tc>
        <w:tc>
          <w:tcPr>
            <w:tcW w:w="1354" w:type="dxa"/>
          </w:tcPr>
          <w:p w14:paraId="61CD63C3" w14:textId="77777777" w:rsidR="00564ADD" w:rsidRPr="00B05556" w:rsidRDefault="00564ADD" w:rsidP="009D1558">
            <w:pPr>
              <w:widowControl w:val="0"/>
              <w:spacing w:after="0" w:line="240" w:lineRule="auto"/>
              <w:jc w:val="center"/>
              <w:rPr>
                <w:rFonts w:asciiTheme="minorHAnsi" w:hAnsiTheme="minorHAnsi" w:cstheme="minorHAnsi"/>
                <w:color w:val="000000"/>
                <w:sz w:val="24"/>
                <w:szCs w:val="24"/>
              </w:rPr>
            </w:pPr>
          </w:p>
        </w:tc>
        <w:tc>
          <w:tcPr>
            <w:tcW w:w="1644" w:type="dxa"/>
          </w:tcPr>
          <w:p w14:paraId="1F792807"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p>
        </w:tc>
        <w:tc>
          <w:tcPr>
            <w:tcW w:w="1949" w:type="dxa"/>
          </w:tcPr>
          <w:p w14:paraId="06015582" w14:textId="77777777" w:rsidR="00564ADD" w:rsidRDefault="00564ADD" w:rsidP="009D1558">
            <w:pPr>
              <w:widowControl w:val="0"/>
              <w:spacing w:after="0" w:line="240" w:lineRule="auto"/>
              <w:jc w:val="both"/>
              <w:rPr>
                <w:color w:val="000000"/>
              </w:rPr>
            </w:pPr>
          </w:p>
        </w:tc>
        <w:tc>
          <w:tcPr>
            <w:tcW w:w="2655" w:type="dxa"/>
          </w:tcPr>
          <w:p w14:paraId="7C3A2235" w14:textId="77777777" w:rsidR="00564ADD" w:rsidRDefault="00564ADD" w:rsidP="009D1558">
            <w:pPr>
              <w:widowControl w:val="0"/>
              <w:spacing w:after="0" w:line="240" w:lineRule="auto"/>
              <w:rPr>
                <w:color w:val="000000"/>
              </w:rPr>
            </w:pPr>
          </w:p>
        </w:tc>
      </w:tr>
      <w:tr w:rsidR="00564ADD" w14:paraId="13A5BC06" w14:textId="77777777" w:rsidTr="009D1558">
        <w:trPr>
          <w:cantSplit/>
          <w:trHeight w:val="251"/>
          <w:tblHeader/>
        </w:trPr>
        <w:tc>
          <w:tcPr>
            <w:tcW w:w="799" w:type="dxa"/>
            <w:vMerge w:val="restart"/>
          </w:tcPr>
          <w:p w14:paraId="5E3EF045"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2430" w:type="dxa"/>
          </w:tcPr>
          <w:p w14:paraId="2F946C12"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Urgent Need</w:t>
            </w:r>
          </w:p>
        </w:tc>
        <w:tc>
          <w:tcPr>
            <w:tcW w:w="703" w:type="dxa"/>
          </w:tcPr>
          <w:p w14:paraId="6C02C2AE"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40F38CBD"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5A6B0E7E"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r w:rsidRPr="00B05556">
              <w:rPr>
                <w:rFonts w:asciiTheme="minorHAnsi" w:hAnsiTheme="minorHAnsi" w:cstheme="minorHAnsi"/>
                <w:color w:val="000000"/>
                <w:sz w:val="24"/>
                <w:szCs w:val="24"/>
              </w:rPr>
              <w:br/>
              <w:t>Non-Housing Community Development</w:t>
            </w:r>
          </w:p>
        </w:tc>
        <w:tc>
          <w:tcPr>
            <w:tcW w:w="1354" w:type="dxa"/>
          </w:tcPr>
          <w:p w14:paraId="5817DDD3"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26A5D0A1"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42417652"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CDBG: $425,978</w:t>
            </w:r>
          </w:p>
        </w:tc>
        <w:tc>
          <w:tcPr>
            <w:tcW w:w="2655" w:type="dxa"/>
            <w:vMerge w:val="restart"/>
          </w:tcPr>
          <w:p w14:paraId="64650CB7"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Other: 1 Other</w:t>
            </w:r>
          </w:p>
        </w:tc>
      </w:tr>
      <w:tr w:rsidR="00564ADD" w14:paraId="57A72354" w14:textId="77777777" w:rsidTr="009D1558">
        <w:trPr>
          <w:cantSplit/>
          <w:trHeight w:val="251"/>
          <w:tblHeader/>
        </w:trPr>
        <w:tc>
          <w:tcPr>
            <w:tcW w:w="799" w:type="dxa"/>
            <w:vMerge/>
          </w:tcPr>
          <w:p w14:paraId="582AE91A"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013D69C2"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2C0EECC1" w14:textId="77777777" w:rsidR="00564ADD" w:rsidRDefault="00564ADD" w:rsidP="009D1558">
            <w:pPr>
              <w:widowControl w:val="0"/>
              <w:spacing w:after="0" w:line="240" w:lineRule="auto"/>
              <w:jc w:val="both"/>
              <w:rPr>
                <w:color w:val="000000"/>
              </w:rPr>
            </w:pPr>
            <w:r w:rsidRPr="00A017FC">
              <w:rPr>
                <w:sz w:val="24"/>
                <w:szCs w:val="24"/>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 Water and sewer projects are not included in this category. This project grant amount is limited to $2,000 per beneficiary up to a maximum of $400,000.</w:t>
            </w:r>
          </w:p>
        </w:tc>
        <w:tc>
          <w:tcPr>
            <w:tcW w:w="2655" w:type="dxa"/>
            <w:vMerge/>
          </w:tcPr>
          <w:p w14:paraId="539D6135" w14:textId="77777777" w:rsidR="00564ADD" w:rsidRDefault="00564ADD" w:rsidP="009D1558">
            <w:pPr>
              <w:widowControl w:val="0"/>
              <w:spacing w:after="0" w:line="240" w:lineRule="auto"/>
              <w:rPr>
                <w:color w:val="000000"/>
              </w:rPr>
            </w:pPr>
          </w:p>
        </w:tc>
      </w:tr>
      <w:tr w:rsidR="00564ADD" w14:paraId="0FD86AEA" w14:textId="77777777" w:rsidTr="009D1558">
        <w:trPr>
          <w:cantSplit/>
          <w:trHeight w:val="251"/>
          <w:tblHeader/>
        </w:trPr>
        <w:tc>
          <w:tcPr>
            <w:tcW w:w="13836" w:type="dxa"/>
            <w:gridSpan w:val="9"/>
          </w:tcPr>
          <w:p w14:paraId="4203336B" w14:textId="77777777" w:rsidR="00564ADD" w:rsidRDefault="00564ADD" w:rsidP="009D1558">
            <w:pPr>
              <w:widowControl w:val="0"/>
              <w:spacing w:after="0" w:line="240" w:lineRule="auto"/>
              <w:rPr>
                <w:color w:val="000000"/>
              </w:rPr>
            </w:pPr>
          </w:p>
        </w:tc>
      </w:tr>
      <w:tr w:rsidR="00564ADD" w14:paraId="6BAC45E9" w14:textId="77777777" w:rsidTr="009D1558">
        <w:trPr>
          <w:cantSplit/>
          <w:trHeight w:val="251"/>
          <w:tblHeader/>
        </w:trPr>
        <w:tc>
          <w:tcPr>
            <w:tcW w:w="799" w:type="dxa"/>
            <w:vMerge w:val="restart"/>
          </w:tcPr>
          <w:p w14:paraId="7C8A3AB7"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7</w:t>
            </w:r>
          </w:p>
        </w:tc>
        <w:tc>
          <w:tcPr>
            <w:tcW w:w="2430" w:type="dxa"/>
          </w:tcPr>
          <w:p w14:paraId="5DFB8905"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State Administration and Technical Assistance</w:t>
            </w:r>
          </w:p>
        </w:tc>
        <w:tc>
          <w:tcPr>
            <w:tcW w:w="703" w:type="dxa"/>
          </w:tcPr>
          <w:p w14:paraId="15C47F7A"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2E5B2C0F"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7AB612E3"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r w:rsidRPr="00B05556">
              <w:rPr>
                <w:rFonts w:asciiTheme="minorHAnsi" w:hAnsiTheme="minorHAnsi" w:cstheme="minorHAnsi"/>
                <w:color w:val="000000"/>
                <w:sz w:val="24"/>
                <w:szCs w:val="24"/>
              </w:rPr>
              <w:br/>
              <w:t>Non-Housing Community Development</w:t>
            </w:r>
          </w:p>
        </w:tc>
        <w:tc>
          <w:tcPr>
            <w:tcW w:w="1354" w:type="dxa"/>
          </w:tcPr>
          <w:p w14:paraId="35FF8DB2"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27EBA9A0"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16D72F4D"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CDBG: $525,373</w:t>
            </w:r>
          </w:p>
        </w:tc>
        <w:tc>
          <w:tcPr>
            <w:tcW w:w="2655" w:type="dxa"/>
            <w:vMerge w:val="restart"/>
          </w:tcPr>
          <w:p w14:paraId="583E5E16" w14:textId="77777777" w:rsidR="00564ADD" w:rsidRPr="00B05556" w:rsidRDefault="00564ADD" w:rsidP="009D1558">
            <w:pPr>
              <w:widowControl w:val="0"/>
              <w:spacing w:after="0" w:line="240" w:lineRule="auto"/>
              <w:rPr>
                <w:rFonts w:asciiTheme="minorHAnsi" w:hAnsiTheme="minorHAnsi" w:cstheme="minorHAnsi"/>
                <w:b/>
                <w:sz w:val="24"/>
                <w:szCs w:val="24"/>
              </w:rPr>
            </w:pPr>
          </w:p>
        </w:tc>
      </w:tr>
      <w:tr w:rsidR="00564ADD" w14:paraId="5F123FCA" w14:textId="77777777" w:rsidTr="009D1558">
        <w:trPr>
          <w:cantSplit/>
          <w:trHeight w:val="251"/>
          <w:tblHeader/>
        </w:trPr>
        <w:tc>
          <w:tcPr>
            <w:tcW w:w="799" w:type="dxa"/>
            <w:vMerge/>
          </w:tcPr>
          <w:p w14:paraId="4B02E644"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4948AAD3"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03CE3E9E" w14:textId="7822D8EB" w:rsidR="00564ADD" w:rsidRDefault="00564ADD" w:rsidP="009D1558">
            <w:pPr>
              <w:widowControl w:val="0"/>
              <w:spacing w:after="0" w:line="240" w:lineRule="auto"/>
              <w:jc w:val="both"/>
              <w:rPr>
                <w:color w:val="000000"/>
              </w:rPr>
            </w:pPr>
            <w:r>
              <w:rPr>
                <w:sz w:val="24"/>
                <w:szCs w:val="24"/>
              </w:rPr>
              <w:t xml:space="preserve">The State will use no more than $100,000 plus 3% of the total CDBG grant amount, program income, and revolving loan funds for State administration and technical assistance of the program. Not more than 20% of the total CDBG grant may be used for administrative, planning, and/or technical assistance combined costs from both </w:t>
            </w:r>
            <w:r w:rsidR="00556755">
              <w:rPr>
                <w:sz w:val="24"/>
                <w:szCs w:val="24"/>
              </w:rPr>
              <w:t>state</w:t>
            </w:r>
            <w:r>
              <w:rPr>
                <w:sz w:val="24"/>
                <w:szCs w:val="24"/>
              </w:rPr>
              <w:t xml:space="preserve"> and local levels. Technical assistance is available to businesses and communities from the State during preparation of the business financing/infrastructure loan application process to ensure that the application will meet threshold requirements. In addition, the State provides or will provide technical assistance to units of local government in connection with community development programs.</w:t>
            </w:r>
          </w:p>
        </w:tc>
        <w:tc>
          <w:tcPr>
            <w:tcW w:w="2655" w:type="dxa"/>
            <w:vMerge/>
          </w:tcPr>
          <w:p w14:paraId="1A44DE56" w14:textId="77777777" w:rsidR="00564ADD" w:rsidRPr="00B05556" w:rsidRDefault="00564ADD" w:rsidP="009D1558">
            <w:pPr>
              <w:widowControl w:val="0"/>
              <w:spacing w:after="0" w:line="240" w:lineRule="auto"/>
              <w:rPr>
                <w:rFonts w:asciiTheme="minorHAnsi" w:hAnsiTheme="minorHAnsi" w:cstheme="minorHAnsi"/>
                <w:b/>
                <w:sz w:val="24"/>
                <w:szCs w:val="24"/>
              </w:rPr>
            </w:pPr>
          </w:p>
        </w:tc>
      </w:tr>
      <w:tr w:rsidR="00564ADD" w14:paraId="008906DD" w14:textId="77777777" w:rsidTr="009D1558">
        <w:trPr>
          <w:cantSplit/>
          <w:trHeight w:val="251"/>
          <w:tblHeader/>
        </w:trPr>
        <w:tc>
          <w:tcPr>
            <w:tcW w:w="13836" w:type="dxa"/>
            <w:gridSpan w:val="9"/>
          </w:tcPr>
          <w:p w14:paraId="5A260B36" w14:textId="77777777" w:rsidR="00564ADD" w:rsidRPr="00B05556" w:rsidRDefault="00564ADD" w:rsidP="009D1558">
            <w:pPr>
              <w:widowControl w:val="0"/>
              <w:spacing w:after="0" w:line="240" w:lineRule="auto"/>
              <w:rPr>
                <w:rFonts w:asciiTheme="minorHAnsi" w:hAnsiTheme="minorHAnsi" w:cstheme="minorHAnsi"/>
                <w:b/>
                <w:sz w:val="24"/>
                <w:szCs w:val="24"/>
              </w:rPr>
            </w:pPr>
          </w:p>
        </w:tc>
      </w:tr>
      <w:tr w:rsidR="00564ADD" w14:paraId="41EE7E83" w14:textId="77777777" w:rsidTr="009D1558">
        <w:trPr>
          <w:cantSplit/>
          <w:trHeight w:val="251"/>
          <w:tblHeader/>
        </w:trPr>
        <w:tc>
          <w:tcPr>
            <w:tcW w:w="799" w:type="dxa"/>
            <w:vMerge w:val="restart"/>
          </w:tcPr>
          <w:p w14:paraId="23D90382"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8</w:t>
            </w:r>
          </w:p>
        </w:tc>
        <w:tc>
          <w:tcPr>
            <w:tcW w:w="2430" w:type="dxa"/>
          </w:tcPr>
          <w:p w14:paraId="5768670C"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First-Time Homebuyers</w:t>
            </w:r>
          </w:p>
        </w:tc>
        <w:tc>
          <w:tcPr>
            <w:tcW w:w="703" w:type="dxa"/>
          </w:tcPr>
          <w:p w14:paraId="5B460E03"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299478BC"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3FE89080"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354" w:type="dxa"/>
          </w:tcPr>
          <w:p w14:paraId="57FC4DEC"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05464542"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73DBA561" w14:textId="7DF948A0"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HOME: $1,1</w:t>
            </w:r>
            <w:r w:rsidR="00376EB9">
              <w:rPr>
                <w:color w:val="000000"/>
              </w:rPr>
              <w:t>7</w:t>
            </w:r>
            <w:r>
              <w:rPr>
                <w:color w:val="000000"/>
              </w:rPr>
              <w:t>7,943</w:t>
            </w:r>
          </w:p>
        </w:tc>
        <w:tc>
          <w:tcPr>
            <w:tcW w:w="2655" w:type="dxa"/>
            <w:vMerge w:val="restart"/>
          </w:tcPr>
          <w:p w14:paraId="4C64611D"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Direct Financial Assistance to Homebuyers: 75 Households Assisted</w:t>
            </w:r>
          </w:p>
        </w:tc>
      </w:tr>
      <w:tr w:rsidR="00564ADD" w14:paraId="231AC5E0" w14:textId="77777777" w:rsidTr="009D1558">
        <w:trPr>
          <w:cantSplit/>
          <w:trHeight w:val="251"/>
          <w:tblHeader/>
        </w:trPr>
        <w:tc>
          <w:tcPr>
            <w:tcW w:w="799" w:type="dxa"/>
            <w:vMerge/>
          </w:tcPr>
          <w:p w14:paraId="75782D6C"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1E736D2A"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4D2FB182" w14:textId="721EC8D6" w:rsidR="00564ADD" w:rsidRDefault="00564ADD" w:rsidP="009D1558">
            <w:pPr>
              <w:widowControl w:val="0"/>
              <w:spacing w:after="0" w:line="240" w:lineRule="auto"/>
              <w:jc w:val="both"/>
              <w:rPr>
                <w:color w:val="000000"/>
              </w:rPr>
            </w:pPr>
            <w:r>
              <w:rPr>
                <w:sz w:val="24"/>
                <w:szCs w:val="24"/>
              </w:rPr>
              <w:t>The First-Time Homebuyers program will be administered in partnership with approved lending institutions. The State will enter into written agreements with lenders to provide leveraging of the funds allotted to the program. Assisted households must meet HUD’s definition of low-income, with household income at or below 80% of an area median gross income (AMGI) as published annually by HID. They must qualify as first-time homebuyers as defined in 24 CFR Part 92 and agree to occupy the home purchased as their principal residence for the required affordability period.</w:t>
            </w:r>
          </w:p>
        </w:tc>
        <w:tc>
          <w:tcPr>
            <w:tcW w:w="2655" w:type="dxa"/>
            <w:vMerge/>
          </w:tcPr>
          <w:p w14:paraId="39B9AC7B" w14:textId="77777777" w:rsidR="00564ADD" w:rsidRDefault="00564ADD" w:rsidP="009D1558">
            <w:pPr>
              <w:widowControl w:val="0"/>
              <w:spacing w:after="0" w:line="240" w:lineRule="auto"/>
              <w:rPr>
                <w:color w:val="000000"/>
              </w:rPr>
            </w:pPr>
          </w:p>
        </w:tc>
      </w:tr>
      <w:tr w:rsidR="00564ADD" w14:paraId="27DD3A1E" w14:textId="77777777" w:rsidTr="009D1558">
        <w:trPr>
          <w:cantSplit/>
          <w:trHeight w:val="251"/>
          <w:tblHeader/>
        </w:trPr>
        <w:tc>
          <w:tcPr>
            <w:tcW w:w="13836" w:type="dxa"/>
            <w:gridSpan w:val="9"/>
          </w:tcPr>
          <w:p w14:paraId="5525D806" w14:textId="77777777" w:rsidR="00564ADD" w:rsidRDefault="00564ADD" w:rsidP="009D1558">
            <w:pPr>
              <w:widowControl w:val="0"/>
              <w:spacing w:after="0" w:line="240" w:lineRule="auto"/>
              <w:rPr>
                <w:color w:val="000000"/>
              </w:rPr>
            </w:pPr>
          </w:p>
        </w:tc>
      </w:tr>
      <w:tr w:rsidR="00564ADD" w14:paraId="75FD4845" w14:textId="77777777" w:rsidTr="009D1558">
        <w:trPr>
          <w:cantSplit/>
          <w:trHeight w:val="251"/>
          <w:tblHeader/>
        </w:trPr>
        <w:tc>
          <w:tcPr>
            <w:tcW w:w="799" w:type="dxa"/>
            <w:vMerge w:val="restart"/>
          </w:tcPr>
          <w:p w14:paraId="6D0B65DD"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9</w:t>
            </w:r>
          </w:p>
        </w:tc>
        <w:tc>
          <w:tcPr>
            <w:tcW w:w="2430" w:type="dxa"/>
          </w:tcPr>
          <w:p w14:paraId="694FCEBC"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Tenant Based Rental Assistance (TBRA)</w:t>
            </w:r>
          </w:p>
        </w:tc>
        <w:tc>
          <w:tcPr>
            <w:tcW w:w="703" w:type="dxa"/>
          </w:tcPr>
          <w:p w14:paraId="35BB0173"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62337BFB"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6C2838E7"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r w:rsidRPr="00B05556">
              <w:rPr>
                <w:rFonts w:asciiTheme="minorHAnsi" w:hAnsiTheme="minorHAnsi" w:cstheme="minorHAnsi"/>
                <w:color w:val="000000"/>
                <w:sz w:val="24"/>
                <w:szCs w:val="24"/>
              </w:rPr>
              <w:br/>
              <w:t>Public Housing</w:t>
            </w:r>
          </w:p>
        </w:tc>
        <w:tc>
          <w:tcPr>
            <w:tcW w:w="1354" w:type="dxa"/>
          </w:tcPr>
          <w:p w14:paraId="5E1BE543"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6F37122E"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2EC15C8F" w14:textId="0D886473"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HOME: $2,</w:t>
            </w:r>
            <w:r w:rsidR="00396DBA">
              <w:rPr>
                <w:color w:val="000000"/>
              </w:rPr>
              <w:t>5</w:t>
            </w:r>
            <w:r w:rsidR="00376EB9">
              <w:rPr>
                <w:color w:val="000000"/>
              </w:rPr>
              <w:t>00</w:t>
            </w:r>
            <w:r>
              <w:rPr>
                <w:color w:val="000000"/>
              </w:rPr>
              <w:t>,</w:t>
            </w:r>
            <w:r w:rsidR="00376EB9">
              <w:rPr>
                <w:color w:val="000000"/>
              </w:rPr>
              <w:t>000</w:t>
            </w:r>
          </w:p>
        </w:tc>
        <w:tc>
          <w:tcPr>
            <w:tcW w:w="2655" w:type="dxa"/>
            <w:vMerge w:val="restart"/>
          </w:tcPr>
          <w:p w14:paraId="4B089884" w14:textId="77777777" w:rsidR="00564ADD" w:rsidRDefault="00564ADD" w:rsidP="009D1558">
            <w:pPr>
              <w:widowControl w:val="0"/>
              <w:spacing w:after="0" w:line="240" w:lineRule="auto"/>
              <w:rPr>
                <w:color w:val="000000"/>
              </w:rPr>
            </w:pPr>
          </w:p>
          <w:p w14:paraId="23CFCD22" w14:textId="0A7BEBFE"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 xml:space="preserve">Tenant-based rental assistance / Rapid Rehousing: </w:t>
            </w:r>
            <w:r w:rsidR="00376EB9">
              <w:rPr>
                <w:color w:val="000000"/>
              </w:rPr>
              <w:t>750</w:t>
            </w:r>
            <w:r>
              <w:rPr>
                <w:color w:val="000000"/>
              </w:rPr>
              <w:t xml:space="preserve"> Households Assisted</w:t>
            </w:r>
          </w:p>
        </w:tc>
      </w:tr>
      <w:tr w:rsidR="00564ADD" w14:paraId="35D862F8" w14:textId="77777777" w:rsidTr="009D1558">
        <w:trPr>
          <w:cantSplit/>
          <w:trHeight w:val="251"/>
          <w:tblHeader/>
        </w:trPr>
        <w:tc>
          <w:tcPr>
            <w:tcW w:w="799" w:type="dxa"/>
            <w:vMerge/>
          </w:tcPr>
          <w:p w14:paraId="10CA84BE"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4453224C"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44579D11" w14:textId="77777777" w:rsidR="00564ADD" w:rsidRDefault="00564ADD" w:rsidP="009D1558">
            <w:pPr>
              <w:widowControl w:val="0"/>
              <w:spacing w:after="0" w:line="240" w:lineRule="auto"/>
              <w:jc w:val="both"/>
              <w:rPr>
                <w:color w:val="000000"/>
              </w:rPr>
            </w:pPr>
            <w:r>
              <w:rPr>
                <w:sz w:val="24"/>
                <w:szCs w:val="24"/>
              </w:rPr>
              <w:t>Tenant Based Rental Assistance (TBRA) funding will be allocated under written agreement to local jurisdictions and non-profits that apply as third-party program administrators, referred to as subrecipients, on a competitive basis, after meeting organizational capacity and threshold requirements for administering a rental assistance program in their communities. Funding is distributed monthly through direct deposit to subrecipient agencies. Rental assistance is paid month by month by the recipient directly to the landlord and/or the local utility (electric, gas, water) provider. Program funds are made available for TBRA activities to local housing authorities and other non-profit organizations, throughout the state. Scoring criteria will reflect a preference for activities outside local HOME jurisdictions.</w:t>
            </w:r>
          </w:p>
        </w:tc>
        <w:tc>
          <w:tcPr>
            <w:tcW w:w="2655" w:type="dxa"/>
            <w:vMerge/>
          </w:tcPr>
          <w:p w14:paraId="70317EBF" w14:textId="77777777" w:rsidR="00564ADD" w:rsidRDefault="00564ADD" w:rsidP="009D1558">
            <w:pPr>
              <w:widowControl w:val="0"/>
              <w:spacing w:after="0" w:line="240" w:lineRule="auto"/>
              <w:rPr>
                <w:color w:val="000000"/>
              </w:rPr>
            </w:pPr>
          </w:p>
        </w:tc>
      </w:tr>
      <w:tr w:rsidR="00564ADD" w14:paraId="0AC55143" w14:textId="77777777" w:rsidTr="009D1558">
        <w:trPr>
          <w:cantSplit/>
          <w:trHeight w:val="251"/>
          <w:tblHeader/>
        </w:trPr>
        <w:tc>
          <w:tcPr>
            <w:tcW w:w="13836" w:type="dxa"/>
            <w:gridSpan w:val="9"/>
          </w:tcPr>
          <w:p w14:paraId="4959880E" w14:textId="77777777" w:rsidR="00564ADD" w:rsidRDefault="00564ADD" w:rsidP="009D1558">
            <w:pPr>
              <w:widowControl w:val="0"/>
              <w:spacing w:after="0" w:line="240" w:lineRule="auto"/>
              <w:rPr>
                <w:color w:val="000000"/>
              </w:rPr>
            </w:pPr>
          </w:p>
        </w:tc>
      </w:tr>
      <w:tr w:rsidR="00564ADD" w14:paraId="393584AD" w14:textId="77777777" w:rsidTr="009D1558">
        <w:trPr>
          <w:cantSplit/>
          <w:trHeight w:val="251"/>
          <w:tblHeader/>
        </w:trPr>
        <w:tc>
          <w:tcPr>
            <w:tcW w:w="799" w:type="dxa"/>
            <w:vMerge w:val="restart"/>
          </w:tcPr>
          <w:p w14:paraId="4ECB3874"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10</w:t>
            </w:r>
          </w:p>
        </w:tc>
        <w:tc>
          <w:tcPr>
            <w:tcW w:w="2430" w:type="dxa"/>
          </w:tcPr>
          <w:p w14:paraId="65418E0F"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HOME Rental Development</w:t>
            </w:r>
          </w:p>
        </w:tc>
        <w:tc>
          <w:tcPr>
            <w:tcW w:w="703" w:type="dxa"/>
          </w:tcPr>
          <w:p w14:paraId="1EF3C013"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081C5E97"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4365777C"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354" w:type="dxa"/>
          </w:tcPr>
          <w:p w14:paraId="26A5A578"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3BC9A2C4"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41761F8E" w14:textId="472E7A1D"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HOME: $2,</w:t>
            </w:r>
            <w:r w:rsidR="00396DBA">
              <w:rPr>
                <w:color w:val="000000"/>
              </w:rPr>
              <w:t>900</w:t>
            </w:r>
            <w:r>
              <w:rPr>
                <w:color w:val="000000"/>
              </w:rPr>
              <w:t>,</w:t>
            </w:r>
            <w:r w:rsidR="00396DBA">
              <w:rPr>
                <w:color w:val="000000"/>
              </w:rPr>
              <w:t>000</w:t>
            </w:r>
          </w:p>
        </w:tc>
        <w:tc>
          <w:tcPr>
            <w:tcW w:w="2655" w:type="dxa"/>
            <w:vMerge w:val="restart"/>
          </w:tcPr>
          <w:p w14:paraId="6BA56911" w14:textId="77777777" w:rsidR="00564ADD" w:rsidRDefault="00564ADD" w:rsidP="009D1558">
            <w:pPr>
              <w:widowControl w:val="0"/>
              <w:spacing w:after="0" w:line="240" w:lineRule="auto"/>
              <w:rPr>
                <w:color w:val="000000"/>
              </w:rPr>
            </w:pPr>
            <w:r>
              <w:rPr>
                <w:color w:val="000000"/>
              </w:rPr>
              <w:t>Rental units constructed: 31 Household Housing Unit</w:t>
            </w:r>
            <w:r>
              <w:rPr>
                <w:color w:val="000000"/>
              </w:rPr>
              <w:br/>
            </w:r>
          </w:p>
          <w:p w14:paraId="43BCB340"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Rental units rehabilitated: 4 Household Housing Unit</w:t>
            </w:r>
          </w:p>
        </w:tc>
      </w:tr>
      <w:tr w:rsidR="00564ADD" w14:paraId="11CAEEA8" w14:textId="77777777" w:rsidTr="009D1558">
        <w:trPr>
          <w:cantSplit/>
          <w:trHeight w:val="251"/>
          <w:tblHeader/>
        </w:trPr>
        <w:tc>
          <w:tcPr>
            <w:tcW w:w="799" w:type="dxa"/>
            <w:vMerge/>
          </w:tcPr>
          <w:p w14:paraId="552FC64D"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24D74F91"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73142E1C" w14:textId="77777777" w:rsidR="00564ADD" w:rsidRDefault="00564ADD" w:rsidP="009D1558">
            <w:pPr>
              <w:widowControl w:val="0"/>
              <w:spacing w:after="0" w:line="240" w:lineRule="auto"/>
              <w:jc w:val="both"/>
              <w:rPr>
                <w:color w:val="000000"/>
              </w:rPr>
            </w:pPr>
            <w:r>
              <w:rPr>
                <w:sz w:val="24"/>
                <w:szCs w:val="24"/>
              </w:rPr>
              <w:t>Eligible activities under the HOME Rental Development Program (HOME Rental) will be acquisition and rehabilitation of existing rental housing, and new construction of rental housing. Through partnership with non-profit housing organizations, funding will support the objective of the HOME program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 To satisfy the Community Housing Development Organization (CHDO) set-aside requirements of the HOME program, the KHRC shall reserve at least 15 %, per program year, of the total HOME allocation for CHDOs acting as owner, developer, or sponsor of a housing development.</w:t>
            </w:r>
          </w:p>
        </w:tc>
        <w:tc>
          <w:tcPr>
            <w:tcW w:w="2655" w:type="dxa"/>
            <w:vMerge/>
          </w:tcPr>
          <w:p w14:paraId="6839F077" w14:textId="77777777" w:rsidR="00564ADD" w:rsidRDefault="00564ADD" w:rsidP="009D1558">
            <w:pPr>
              <w:widowControl w:val="0"/>
              <w:spacing w:after="0" w:line="240" w:lineRule="auto"/>
              <w:rPr>
                <w:color w:val="000000"/>
              </w:rPr>
            </w:pPr>
          </w:p>
        </w:tc>
      </w:tr>
      <w:tr w:rsidR="00564ADD" w14:paraId="76720543" w14:textId="77777777" w:rsidTr="009D1558">
        <w:trPr>
          <w:cantSplit/>
          <w:trHeight w:val="251"/>
          <w:tblHeader/>
        </w:trPr>
        <w:tc>
          <w:tcPr>
            <w:tcW w:w="13836" w:type="dxa"/>
            <w:gridSpan w:val="9"/>
          </w:tcPr>
          <w:p w14:paraId="31326C50" w14:textId="77777777" w:rsidR="00564ADD" w:rsidRDefault="00564ADD" w:rsidP="009D1558">
            <w:pPr>
              <w:widowControl w:val="0"/>
              <w:spacing w:after="0" w:line="240" w:lineRule="auto"/>
              <w:rPr>
                <w:color w:val="000000"/>
              </w:rPr>
            </w:pPr>
          </w:p>
        </w:tc>
      </w:tr>
      <w:tr w:rsidR="00564ADD" w14:paraId="1D48F3FF" w14:textId="77777777" w:rsidTr="009D1558">
        <w:trPr>
          <w:cantSplit/>
          <w:trHeight w:val="251"/>
          <w:tblHeader/>
        </w:trPr>
        <w:tc>
          <w:tcPr>
            <w:tcW w:w="799" w:type="dxa"/>
            <w:vMerge w:val="restart"/>
          </w:tcPr>
          <w:p w14:paraId="0F40D121"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11</w:t>
            </w:r>
          </w:p>
        </w:tc>
        <w:tc>
          <w:tcPr>
            <w:tcW w:w="2430" w:type="dxa"/>
          </w:tcPr>
          <w:p w14:paraId="44A3A725"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Housing Trust Fund</w:t>
            </w:r>
          </w:p>
        </w:tc>
        <w:tc>
          <w:tcPr>
            <w:tcW w:w="703" w:type="dxa"/>
          </w:tcPr>
          <w:p w14:paraId="55500D35"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7B179121"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522787E3"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354" w:type="dxa"/>
          </w:tcPr>
          <w:p w14:paraId="5194F4B1"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5A7C1359"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Affordable Housing</w:t>
            </w:r>
          </w:p>
        </w:tc>
        <w:tc>
          <w:tcPr>
            <w:tcW w:w="1949" w:type="dxa"/>
          </w:tcPr>
          <w:p w14:paraId="64FF307F"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 xml:space="preserve"> HTF: $3,000,000</w:t>
            </w:r>
          </w:p>
        </w:tc>
        <w:tc>
          <w:tcPr>
            <w:tcW w:w="2655" w:type="dxa"/>
            <w:vMerge w:val="restart"/>
          </w:tcPr>
          <w:p w14:paraId="2CF458F2" w14:textId="77777777" w:rsidR="00564ADD" w:rsidRDefault="00564ADD" w:rsidP="009D1558">
            <w:pPr>
              <w:widowControl w:val="0"/>
              <w:spacing w:after="0" w:line="240" w:lineRule="auto"/>
              <w:rPr>
                <w:color w:val="000000"/>
              </w:rPr>
            </w:pPr>
            <w:r>
              <w:rPr>
                <w:color w:val="000000"/>
              </w:rPr>
              <w:t>Rental units constructed: 10 Household Housing Unit</w:t>
            </w:r>
            <w:r>
              <w:rPr>
                <w:color w:val="000000"/>
              </w:rPr>
              <w:br/>
            </w:r>
          </w:p>
          <w:p w14:paraId="35050977"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Rental units rehabilitated: 5 Household Housing Unit</w:t>
            </w:r>
          </w:p>
        </w:tc>
      </w:tr>
      <w:tr w:rsidR="00564ADD" w14:paraId="3AF8DEC3" w14:textId="77777777" w:rsidTr="009D1558">
        <w:trPr>
          <w:cantSplit/>
          <w:trHeight w:val="251"/>
          <w:tblHeader/>
        </w:trPr>
        <w:tc>
          <w:tcPr>
            <w:tcW w:w="799" w:type="dxa"/>
            <w:vMerge/>
          </w:tcPr>
          <w:p w14:paraId="12C54858"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35750F1E"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Goal Description: </w:t>
            </w:r>
          </w:p>
        </w:tc>
        <w:tc>
          <w:tcPr>
            <w:tcW w:w="7952" w:type="dxa"/>
            <w:gridSpan w:val="6"/>
          </w:tcPr>
          <w:p w14:paraId="66D1BFBF" w14:textId="77777777" w:rsidR="00564ADD" w:rsidRDefault="00564ADD" w:rsidP="009D1558">
            <w:pPr>
              <w:widowControl w:val="0"/>
              <w:spacing w:after="0" w:line="240" w:lineRule="auto"/>
              <w:jc w:val="both"/>
              <w:rPr>
                <w:color w:val="000000"/>
              </w:rPr>
            </w:pPr>
            <w:r w:rsidRPr="00A017FC">
              <w:rPr>
                <w:sz w:val="24"/>
                <w:szCs w:val="24"/>
              </w:rPr>
              <w:t>The Housing Trust Fund program will provide grants to increase and preserve the supply of rental housing for extremely low- and very low-income families, including homeless families.</w:t>
            </w:r>
          </w:p>
        </w:tc>
        <w:tc>
          <w:tcPr>
            <w:tcW w:w="2655" w:type="dxa"/>
            <w:vMerge/>
          </w:tcPr>
          <w:p w14:paraId="17B5F807" w14:textId="77777777" w:rsidR="00564ADD" w:rsidRDefault="00564ADD" w:rsidP="009D1558">
            <w:pPr>
              <w:widowControl w:val="0"/>
              <w:spacing w:after="0" w:line="240" w:lineRule="auto"/>
              <w:rPr>
                <w:color w:val="000000"/>
              </w:rPr>
            </w:pPr>
          </w:p>
        </w:tc>
      </w:tr>
      <w:tr w:rsidR="00564ADD" w14:paraId="642E13F5" w14:textId="77777777" w:rsidTr="009D1558">
        <w:trPr>
          <w:cantSplit/>
          <w:trHeight w:val="251"/>
          <w:tblHeader/>
        </w:trPr>
        <w:tc>
          <w:tcPr>
            <w:tcW w:w="13836" w:type="dxa"/>
            <w:gridSpan w:val="9"/>
          </w:tcPr>
          <w:p w14:paraId="7886BDD9" w14:textId="77777777" w:rsidR="00564ADD" w:rsidRDefault="00564ADD" w:rsidP="009D1558">
            <w:pPr>
              <w:widowControl w:val="0"/>
              <w:spacing w:after="0" w:line="240" w:lineRule="auto"/>
              <w:rPr>
                <w:color w:val="000000"/>
              </w:rPr>
            </w:pPr>
          </w:p>
        </w:tc>
      </w:tr>
      <w:tr w:rsidR="00564ADD" w14:paraId="06F56441" w14:textId="77777777" w:rsidTr="009D1558">
        <w:trPr>
          <w:cantSplit/>
          <w:trHeight w:val="251"/>
          <w:tblHeader/>
        </w:trPr>
        <w:tc>
          <w:tcPr>
            <w:tcW w:w="799" w:type="dxa"/>
            <w:vMerge w:val="restart"/>
          </w:tcPr>
          <w:p w14:paraId="56C08E05"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1</w:t>
            </w:r>
            <w:r>
              <w:rPr>
                <w:rFonts w:asciiTheme="minorHAnsi" w:hAnsiTheme="minorHAnsi" w:cstheme="minorHAnsi"/>
                <w:sz w:val="24"/>
                <w:szCs w:val="24"/>
              </w:rPr>
              <w:t>2</w:t>
            </w:r>
          </w:p>
        </w:tc>
        <w:tc>
          <w:tcPr>
            <w:tcW w:w="2430" w:type="dxa"/>
          </w:tcPr>
          <w:p w14:paraId="341544DC"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Emergency Solutions Grant (ESG) Program</w:t>
            </w:r>
          </w:p>
        </w:tc>
        <w:tc>
          <w:tcPr>
            <w:tcW w:w="703" w:type="dxa"/>
          </w:tcPr>
          <w:p w14:paraId="2EFF8D1B"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1CD50ED7"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34A71344"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Homeless</w:t>
            </w:r>
            <w:r>
              <w:rPr>
                <w:rFonts w:asciiTheme="minorHAnsi" w:hAnsiTheme="minorHAnsi" w:cstheme="minorHAnsi"/>
                <w:color w:val="000000"/>
                <w:sz w:val="24"/>
                <w:szCs w:val="24"/>
              </w:rPr>
              <w:t>ness</w:t>
            </w:r>
          </w:p>
        </w:tc>
        <w:tc>
          <w:tcPr>
            <w:tcW w:w="1354" w:type="dxa"/>
          </w:tcPr>
          <w:p w14:paraId="089AE449"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39346A0F"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Homeless Prevention and Housing</w:t>
            </w:r>
          </w:p>
        </w:tc>
        <w:tc>
          <w:tcPr>
            <w:tcW w:w="1949" w:type="dxa"/>
          </w:tcPr>
          <w:p w14:paraId="2AD59B5D"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ESG: $1,500,000</w:t>
            </w:r>
          </w:p>
        </w:tc>
        <w:tc>
          <w:tcPr>
            <w:tcW w:w="2655" w:type="dxa"/>
            <w:vMerge w:val="restart"/>
          </w:tcPr>
          <w:p w14:paraId="5FB6176C" w14:textId="2AA09764" w:rsidR="00564ADD" w:rsidRDefault="00AA56E2" w:rsidP="009D1558">
            <w:pPr>
              <w:widowControl w:val="0"/>
              <w:spacing w:after="0" w:line="240" w:lineRule="auto"/>
              <w:rPr>
                <w:color w:val="000000"/>
              </w:rPr>
            </w:pPr>
            <w:r>
              <w:rPr>
                <w:color w:val="000000"/>
              </w:rPr>
              <w:t>Homelessness Prevention: 200</w:t>
            </w:r>
            <w:r w:rsidR="00564ADD">
              <w:rPr>
                <w:color w:val="000000"/>
              </w:rPr>
              <w:t xml:space="preserve"> Persons Assisted</w:t>
            </w:r>
            <w:r w:rsidR="00564ADD">
              <w:rPr>
                <w:color w:val="000000"/>
              </w:rPr>
              <w:br/>
            </w:r>
          </w:p>
          <w:p w14:paraId="6437BE33" w14:textId="77777777" w:rsidR="00564ADD" w:rsidRDefault="00564ADD" w:rsidP="009D1558">
            <w:pPr>
              <w:widowControl w:val="0"/>
              <w:spacing w:after="0" w:line="240" w:lineRule="auto"/>
              <w:rPr>
                <w:color w:val="000000"/>
              </w:rPr>
            </w:pPr>
            <w:r>
              <w:rPr>
                <w:color w:val="000000"/>
              </w:rPr>
              <w:t>Housing for Homeless added: 3</w:t>
            </w:r>
            <w:r w:rsidR="000922ED">
              <w:rPr>
                <w:color w:val="000000"/>
              </w:rPr>
              <w:t>,</w:t>
            </w:r>
            <w:r>
              <w:rPr>
                <w:color w:val="000000"/>
              </w:rPr>
              <w:t>375 Household Housing Unit</w:t>
            </w:r>
          </w:p>
          <w:p w14:paraId="1A865F8F" w14:textId="77777777" w:rsidR="00AA56E2" w:rsidRDefault="00AA56E2" w:rsidP="009D1558">
            <w:pPr>
              <w:widowControl w:val="0"/>
              <w:spacing w:after="0" w:line="240" w:lineRule="auto"/>
              <w:rPr>
                <w:color w:val="000000"/>
              </w:rPr>
            </w:pPr>
          </w:p>
          <w:p w14:paraId="67AD85DD" w14:textId="31923B65" w:rsidR="00AA56E2" w:rsidRPr="00B05556" w:rsidRDefault="00AA56E2" w:rsidP="009D1558">
            <w:pPr>
              <w:widowControl w:val="0"/>
              <w:spacing w:after="0" w:line="240" w:lineRule="auto"/>
              <w:rPr>
                <w:rFonts w:asciiTheme="minorHAnsi" w:hAnsiTheme="minorHAnsi" w:cstheme="minorHAnsi"/>
                <w:b/>
                <w:sz w:val="24"/>
                <w:szCs w:val="24"/>
              </w:rPr>
            </w:pPr>
          </w:p>
        </w:tc>
      </w:tr>
      <w:tr w:rsidR="00564ADD" w14:paraId="319B009C" w14:textId="77777777" w:rsidTr="009D1558">
        <w:trPr>
          <w:cantSplit/>
          <w:trHeight w:val="251"/>
          <w:tblHeader/>
        </w:trPr>
        <w:tc>
          <w:tcPr>
            <w:tcW w:w="799" w:type="dxa"/>
            <w:vMerge/>
          </w:tcPr>
          <w:p w14:paraId="0F13B37C" w14:textId="77777777" w:rsidR="00564ADD" w:rsidRPr="00B05556"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01D9536C"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Goal Description:</w:t>
            </w:r>
          </w:p>
        </w:tc>
        <w:tc>
          <w:tcPr>
            <w:tcW w:w="7952" w:type="dxa"/>
            <w:gridSpan w:val="6"/>
          </w:tcPr>
          <w:p w14:paraId="096212A1" w14:textId="6BE89F16" w:rsidR="00564ADD" w:rsidRDefault="00564ADD" w:rsidP="009D1558">
            <w:pPr>
              <w:spacing w:before="100" w:after="0"/>
              <w:rPr>
                <w:sz w:val="24"/>
                <w:szCs w:val="24"/>
              </w:rPr>
            </w:pPr>
            <w:r>
              <w:rPr>
                <w:sz w:val="24"/>
                <w:szCs w:val="24"/>
              </w:rPr>
              <w:t xml:space="preserve">The Kansas Housing Resources Corporation (KHRC) administers the Emergency Solutions Grant (ESG) for the State. ESG is allocated to the </w:t>
            </w:r>
            <w:r w:rsidR="00556755">
              <w:rPr>
                <w:sz w:val="24"/>
                <w:szCs w:val="24"/>
              </w:rPr>
              <w:t>state</w:t>
            </w:r>
            <w:r>
              <w:rPr>
                <w:sz w:val="24"/>
                <w:szCs w:val="24"/>
              </w:rPr>
              <w:t xml:space="preserve"> through a formula-funded program by the Department of Housing and Urban Development. KHRC is awarded these funds annually and makes them available for application to local units of government of non-ESG entitlement communities of Kansas. The State of Kansas supports a Continuum of Care (CoC) approach among State ESG recipients. KHRC collaborates on a recurring basis with the Balance of State CoC and the Johnson County CoC. </w:t>
            </w:r>
          </w:p>
          <w:p w14:paraId="12716D68" w14:textId="77777777" w:rsidR="00564ADD" w:rsidRDefault="00564ADD" w:rsidP="009D1558">
            <w:pPr>
              <w:widowControl w:val="0"/>
              <w:spacing w:after="0" w:line="240" w:lineRule="auto"/>
              <w:jc w:val="both"/>
              <w:rPr>
                <w:color w:val="000000"/>
              </w:rPr>
            </w:pPr>
            <w:r>
              <w:rPr>
                <w:sz w:val="24"/>
                <w:szCs w:val="24"/>
              </w:rPr>
              <w:t>All funds from the State’s ESG funding are made available to the non-ESG entitlement continuums. CoC components include affordable, accessible, and integrated permanent housing and homeless services that enable individuals and families to reach the maximum degree of self-sufficiency possible. ESG funds must be matched dollar-for-dollar by the local recipient. KHRC will require all sub-recipients to make matching contributions to supplement the ESG program in an amount that equals the amount of ESG funds provided by KHRC. The subrecipient must identify the source of match at the time of applying for ESG. Matching contributions may be obtained from any source, including any Federal source other than the ESG program, as well as state, local, and private sources.</w:t>
            </w:r>
          </w:p>
        </w:tc>
        <w:tc>
          <w:tcPr>
            <w:tcW w:w="2655" w:type="dxa"/>
            <w:vMerge/>
          </w:tcPr>
          <w:p w14:paraId="247EDAC2" w14:textId="77777777" w:rsidR="00564ADD" w:rsidRDefault="00564ADD" w:rsidP="009D1558">
            <w:pPr>
              <w:widowControl w:val="0"/>
              <w:spacing w:after="0" w:line="240" w:lineRule="auto"/>
              <w:rPr>
                <w:color w:val="000000"/>
              </w:rPr>
            </w:pPr>
          </w:p>
        </w:tc>
      </w:tr>
      <w:tr w:rsidR="00564ADD" w14:paraId="356125D3" w14:textId="77777777" w:rsidTr="009D1558">
        <w:trPr>
          <w:cantSplit/>
          <w:trHeight w:val="251"/>
          <w:tblHeader/>
        </w:trPr>
        <w:tc>
          <w:tcPr>
            <w:tcW w:w="13836" w:type="dxa"/>
            <w:gridSpan w:val="9"/>
          </w:tcPr>
          <w:p w14:paraId="22731E61" w14:textId="77777777" w:rsidR="00564ADD" w:rsidRDefault="00564ADD" w:rsidP="009D1558">
            <w:pPr>
              <w:widowControl w:val="0"/>
              <w:spacing w:after="0" w:line="240" w:lineRule="auto"/>
              <w:rPr>
                <w:color w:val="000000"/>
              </w:rPr>
            </w:pPr>
          </w:p>
        </w:tc>
      </w:tr>
      <w:tr w:rsidR="00564ADD" w14:paraId="467626BA" w14:textId="77777777" w:rsidTr="009D1558">
        <w:trPr>
          <w:cantSplit/>
          <w:trHeight w:val="251"/>
          <w:tblHeader/>
        </w:trPr>
        <w:tc>
          <w:tcPr>
            <w:tcW w:w="799" w:type="dxa"/>
            <w:vMerge w:val="restart"/>
          </w:tcPr>
          <w:p w14:paraId="6AF4E2C8"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Pr>
                <w:rFonts w:asciiTheme="minorHAnsi" w:hAnsiTheme="minorHAnsi" w:cstheme="minorHAnsi"/>
                <w:sz w:val="24"/>
                <w:szCs w:val="24"/>
              </w:rPr>
              <w:t>13</w:t>
            </w:r>
          </w:p>
        </w:tc>
        <w:tc>
          <w:tcPr>
            <w:tcW w:w="2430" w:type="dxa"/>
          </w:tcPr>
          <w:p w14:paraId="4FAD1405"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Housing Opportunities for Persons with AIDS(HOPWA)</w:t>
            </w:r>
          </w:p>
        </w:tc>
        <w:tc>
          <w:tcPr>
            <w:tcW w:w="703" w:type="dxa"/>
          </w:tcPr>
          <w:p w14:paraId="3DE5E1B4"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2019</w:t>
            </w:r>
          </w:p>
        </w:tc>
        <w:tc>
          <w:tcPr>
            <w:tcW w:w="703" w:type="dxa"/>
          </w:tcPr>
          <w:p w14:paraId="371080B8" w14:textId="77777777" w:rsidR="00564ADD" w:rsidRPr="00B05556" w:rsidRDefault="00564ADD" w:rsidP="009D1558">
            <w:pPr>
              <w:widowControl w:val="0"/>
              <w:spacing w:after="0" w:line="240" w:lineRule="auto"/>
              <w:jc w:val="center"/>
              <w:rPr>
                <w:rFonts w:asciiTheme="minorHAnsi" w:hAnsiTheme="minorHAnsi" w:cstheme="minorHAnsi"/>
                <w:sz w:val="24"/>
                <w:szCs w:val="24"/>
              </w:rPr>
            </w:pPr>
            <w:r w:rsidRPr="00B05556">
              <w:rPr>
                <w:rFonts w:asciiTheme="minorHAnsi" w:hAnsiTheme="minorHAnsi" w:cstheme="minorHAnsi"/>
                <w:sz w:val="24"/>
                <w:szCs w:val="24"/>
              </w:rPr>
              <w:t>2023</w:t>
            </w:r>
          </w:p>
        </w:tc>
        <w:tc>
          <w:tcPr>
            <w:tcW w:w="1599" w:type="dxa"/>
          </w:tcPr>
          <w:p w14:paraId="0F26F3E1"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Persons with HIV</w:t>
            </w:r>
          </w:p>
        </w:tc>
        <w:tc>
          <w:tcPr>
            <w:tcW w:w="1354" w:type="dxa"/>
          </w:tcPr>
          <w:p w14:paraId="6466BAD4" w14:textId="77777777" w:rsidR="00564ADD" w:rsidRPr="00B05556" w:rsidRDefault="00564ADD" w:rsidP="009D1558">
            <w:pPr>
              <w:widowControl w:val="0"/>
              <w:spacing w:after="0" w:line="240" w:lineRule="auto"/>
              <w:jc w:val="center"/>
              <w:rPr>
                <w:rFonts w:asciiTheme="minorHAnsi" w:hAnsiTheme="minorHAnsi" w:cstheme="minorHAnsi"/>
                <w:b/>
                <w:sz w:val="24"/>
                <w:szCs w:val="24"/>
              </w:rPr>
            </w:pPr>
            <w:r w:rsidRPr="00B05556">
              <w:rPr>
                <w:rFonts w:asciiTheme="minorHAnsi" w:hAnsiTheme="minorHAnsi" w:cstheme="minorHAnsi"/>
                <w:color w:val="000000"/>
                <w:sz w:val="24"/>
                <w:szCs w:val="24"/>
              </w:rPr>
              <w:t xml:space="preserve"> </w:t>
            </w:r>
          </w:p>
        </w:tc>
        <w:tc>
          <w:tcPr>
            <w:tcW w:w="1644" w:type="dxa"/>
          </w:tcPr>
          <w:p w14:paraId="541A4AC7" w14:textId="77777777" w:rsidR="00564ADD" w:rsidRPr="00B05556" w:rsidRDefault="00564ADD" w:rsidP="009D1558">
            <w:pPr>
              <w:widowControl w:val="0"/>
              <w:spacing w:after="0" w:line="240" w:lineRule="auto"/>
              <w:rPr>
                <w:rFonts w:asciiTheme="minorHAnsi" w:hAnsiTheme="minorHAnsi" w:cstheme="minorHAnsi"/>
                <w:b/>
                <w:sz w:val="24"/>
                <w:szCs w:val="24"/>
              </w:rPr>
            </w:pPr>
            <w:r w:rsidRPr="00B05556">
              <w:rPr>
                <w:rFonts w:asciiTheme="minorHAnsi" w:hAnsiTheme="minorHAnsi" w:cstheme="minorHAnsi"/>
                <w:color w:val="000000"/>
                <w:sz w:val="24"/>
                <w:szCs w:val="24"/>
              </w:rPr>
              <w:t>Housing Opportunities for Persons with AIDS</w:t>
            </w:r>
          </w:p>
        </w:tc>
        <w:tc>
          <w:tcPr>
            <w:tcW w:w="1949" w:type="dxa"/>
          </w:tcPr>
          <w:p w14:paraId="0FB3A67D" w14:textId="77777777" w:rsidR="00564ADD" w:rsidRPr="00B05556" w:rsidRDefault="00564ADD" w:rsidP="009D1558">
            <w:pPr>
              <w:widowControl w:val="0"/>
              <w:spacing w:after="0" w:line="240" w:lineRule="auto"/>
              <w:jc w:val="both"/>
              <w:rPr>
                <w:rFonts w:asciiTheme="minorHAnsi" w:hAnsiTheme="minorHAnsi" w:cstheme="minorHAnsi"/>
                <w:b/>
                <w:sz w:val="24"/>
                <w:szCs w:val="24"/>
              </w:rPr>
            </w:pPr>
            <w:r>
              <w:rPr>
                <w:color w:val="000000"/>
              </w:rPr>
              <w:t>HOPWA: $487,281</w:t>
            </w:r>
          </w:p>
        </w:tc>
        <w:tc>
          <w:tcPr>
            <w:tcW w:w="2655" w:type="dxa"/>
            <w:vMerge w:val="restart"/>
          </w:tcPr>
          <w:p w14:paraId="7A06B5FD" w14:textId="77777777" w:rsidR="00564ADD" w:rsidRDefault="00564ADD" w:rsidP="009D1558">
            <w:pPr>
              <w:widowControl w:val="0"/>
              <w:spacing w:after="0" w:line="240" w:lineRule="auto"/>
              <w:rPr>
                <w:color w:val="000000"/>
              </w:rPr>
            </w:pPr>
            <w:r>
              <w:rPr>
                <w:color w:val="000000"/>
              </w:rPr>
              <w:t>Homelessness Prevention: 150 Persons Assisted</w:t>
            </w:r>
            <w:r>
              <w:rPr>
                <w:color w:val="000000"/>
              </w:rPr>
              <w:br/>
            </w:r>
          </w:p>
          <w:p w14:paraId="6E80AE08" w14:textId="77777777" w:rsidR="00564ADD" w:rsidRDefault="00564ADD" w:rsidP="009D1558">
            <w:pPr>
              <w:widowControl w:val="0"/>
              <w:spacing w:after="0" w:line="240" w:lineRule="auto"/>
              <w:rPr>
                <w:color w:val="000000"/>
              </w:rPr>
            </w:pPr>
            <w:r>
              <w:rPr>
                <w:color w:val="000000"/>
              </w:rPr>
              <w:t>Housing for People with HIV/AIDS added: 1,350 Household Housing Unit</w:t>
            </w:r>
            <w:r>
              <w:rPr>
                <w:color w:val="000000"/>
              </w:rPr>
              <w:br/>
            </w:r>
          </w:p>
          <w:p w14:paraId="59A16450" w14:textId="77777777" w:rsidR="00564ADD" w:rsidRDefault="00564ADD" w:rsidP="009D1558">
            <w:pPr>
              <w:widowControl w:val="0"/>
              <w:spacing w:after="0" w:line="240" w:lineRule="auto"/>
              <w:rPr>
                <w:color w:val="000000"/>
              </w:rPr>
            </w:pPr>
            <w:r>
              <w:rPr>
                <w:color w:val="000000"/>
              </w:rPr>
              <w:t>HIV/AIDS Housing Operations: 500 Household Housing Unit</w:t>
            </w:r>
            <w:r>
              <w:rPr>
                <w:color w:val="000000"/>
              </w:rPr>
              <w:br/>
            </w:r>
          </w:p>
          <w:p w14:paraId="1F923133" w14:textId="77777777" w:rsidR="00564ADD" w:rsidRPr="00B05556" w:rsidRDefault="00564ADD" w:rsidP="009D1558">
            <w:pPr>
              <w:widowControl w:val="0"/>
              <w:spacing w:after="0" w:line="240" w:lineRule="auto"/>
              <w:rPr>
                <w:rFonts w:asciiTheme="minorHAnsi" w:hAnsiTheme="minorHAnsi" w:cstheme="minorHAnsi"/>
                <w:b/>
                <w:sz w:val="24"/>
                <w:szCs w:val="24"/>
              </w:rPr>
            </w:pPr>
            <w:r>
              <w:rPr>
                <w:color w:val="000000"/>
              </w:rPr>
              <w:t>Other: 250 Other</w:t>
            </w:r>
          </w:p>
        </w:tc>
      </w:tr>
      <w:tr w:rsidR="00564ADD" w14:paraId="1E199995" w14:textId="77777777" w:rsidTr="009D1558">
        <w:trPr>
          <w:cantSplit/>
          <w:trHeight w:val="251"/>
          <w:tblHeader/>
        </w:trPr>
        <w:tc>
          <w:tcPr>
            <w:tcW w:w="799" w:type="dxa"/>
            <w:vMerge/>
          </w:tcPr>
          <w:p w14:paraId="3DB88610" w14:textId="77777777" w:rsidR="00564ADD" w:rsidRDefault="00564ADD" w:rsidP="009D1558">
            <w:pPr>
              <w:widowControl w:val="0"/>
              <w:spacing w:after="0" w:line="240" w:lineRule="auto"/>
              <w:jc w:val="center"/>
              <w:rPr>
                <w:rFonts w:asciiTheme="minorHAnsi" w:hAnsiTheme="minorHAnsi" w:cstheme="minorHAnsi"/>
                <w:sz w:val="24"/>
                <w:szCs w:val="24"/>
              </w:rPr>
            </w:pPr>
          </w:p>
        </w:tc>
        <w:tc>
          <w:tcPr>
            <w:tcW w:w="2430" w:type="dxa"/>
          </w:tcPr>
          <w:p w14:paraId="6AFBDB24" w14:textId="77777777" w:rsidR="00564ADD" w:rsidRPr="00B05556" w:rsidRDefault="00564ADD" w:rsidP="009D1558">
            <w:pPr>
              <w:widowControl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Goal Description: </w:t>
            </w:r>
          </w:p>
        </w:tc>
        <w:tc>
          <w:tcPr>
            <w:tcW w:w="7952" w:type="dxa"/>
            <w:gridSpan w:val="6"/>
          </w:tcPr>
          <w:p w14:paraId="5B12F148" w14:textId="77777777" w:rsidR="00564ADD" w:rsidRPr="00A017FC" w:rsidRDefault="00564ADD" w:rsidP="009D1558">
            <w:pPr>
              <w:rPr>
                <w:b/>
                <w:sz w:val="24"/>
                <w:szCs w:val="24"/>
              </w:rPr>
            </w:pPr>
            <w:r w:rsidRPr="00A017FC">
              <w:rPr>
                <w:sz w:val="24"/>
                <w:szCs w:val="24"/>
              </w:rPr>
              <w:t>The State’s primary housing activities under HOPWA will consists of:</w:t>
            </w:r>
          </w:p>
          <w:p w14:paraId="00BF4515" w14:textId="77777777" w:rsidR="00564ADD" w:rsidRPr="008A42A3" w:rsidRDefault="00564ADD" w:rsidP="00A121EE">
            <w:pPr>
              <w:pStyle w:val="ListParagraph"/>
              <w:numPr>
                <w:ilvl w:val="1"/>
                <w:numId w:val="55"/>
              </w:numPr>
              <w:rPr>
                <w:b/>
                <w:sz w:val="24"/>
                <w:szCs w:val="24"/>
              </w:rPr>
            </w:pPr>
            <w:r>
              <w:rPr>
                <w:sz w:val="24"/>
                <w:szCs w:val="24"/>
              </w:rPr>
              <w:t>Tenant-based rental assistance</w:t>
            </w:r>
          </w:p>
          <w:p w14:paraId="44C9D5A6" w14:textId="77777777" w:rsidR="00564ADD" w:rsidRPr="008A42A3" w:rsidRDefault="00564ADD" w:rsidP="00A121EE">
            <w:pPr>
              <w:pStyle w:val="ListParagraph"/>
              <w:numPr>
                <w:ilvl w:val="1"/>
                <w:numId w:val="55"/>
              </w:numPr>
              <w:rPr>
                <w:b/>
                <w:sz w:val="24"/>
                <w:szCs w:val="24"/>
              </w:rPr>
            </w:pPr>
            <w:r>
              <w:rPr>
                <w:sz w:val="24"/>
                <w:szCs w:val="24"/>
              </w:rPr>
              <w:t>Short-term rent, mortgage, and utilities assistance</w:t>
            </w:r>
          </w:p>
          <w:p w14:paraId="0E1622CA" w14:textId="77777777" w:rsidR="00564ADD" w:rsidRPr="008A42A3" w:rsidRDefault="00564ADD" w:rsidP="00A121EE">
            <w:pPr>
              <w:pStyle w:val="ListParagraph"/>
              <w:numPr>
                <w:ilvl w:val="1"/>
                <w:numId w:val="55"/>
              </w:numPr>
              <w:rPr>
                <w:b/>
                <w:sz w:val="24"/>
                <w:szCs w:val="24"/>
              </w:rPr>
            </w:pPr>
            <w:r>
              <w:rPr>
                <w:sz w:val="24"/>
                <w:szCs w:val="24"/>
              </w:rPr>
              <w:t>Transitional/emergency housing</w:t>
            </w:r>
          </w:p>
          <w:p w14:paraId="02416A64" w14:textId="77777777" w:rsidR="00564ADD" w:rsidRPr="008A42A3" w:rsidRDefault="00564ADD" w:rsidP="00A121EE">
            <w:pPr>
              <w:pStyle w:val="ListParagraph"/>
              <w:numPr>
                <w:ilvl w:val="1"/>
                <w:numId w:val="55"/>
              </w:numPr>
              <w:rPr>
                <w:b/>
                <w:sz w:val="24"/>
                <w:szCs w:val="24"/>
              </w:rPr>
            </w:pPr>
            <w:r>
              <w:rPr>
                <w:sz w:val="24"/>
                <w:szCs w:val="24"/>
              </w:rPr>
              <w:t>Housing coordination</w:t>
            </w:r>
          </w:p>
          <w:p w14:paraId="229B2AFD" w14:textId="77777777" w:rsidR="00564ADD" w:rsidRPr="008A42A3" w:rsidRDefault="00564ADD" w:rsidP="00A121EE">
            <w:pPr>
              <w:pStyle w:val="ListParagraph"/>
              <w:numPr>
                <w:ilvl w:val="1"/>
                <w:numId w:val="55"/>
              </w:numPr>
              <w:rPr>
                <w:b/>
                <w:sz w:val="24"/>
                <w:szCs w:val="24"/>
              </w:rPr>
            </w:pPr>
            <w:r>
              <w:rPr>
                <w:sz w:val="24"/>
                <w:szCs w:val="24"/>
              </w:rPr>
              <w:t>Technical assistance</w:t>
            </w:r>
          </w:p>
          <w:p w14:paraId="35CCE948" w14:textId="77777777" w:rsidR="00564ADD" w:rsidRDefault="00564ADD" w:rsidP="009D1558">
            <w:pPr>
              <w:rPr>
                <w:sz w:val="24"/>
                <w:szCs w:val="24"/>
              </w:rPr>
            </w:pPr>
            <w:r>
              <w:rPr>
                <w:sz w:val="24"/>
                <w:szCs w:val="24"/>
              </w:rPr>
              <w:t xml:space="preserve">The supportive service that will be available include: </w:t>
            </w:r>
          </w:p>
          <w:p w14:paraId="111E3092" w14:textId="77777777" w:rsidR="00564ADD" w:rsidRDefault="00564ADD" w:rsidP="00A121EE">
            <w:pPr>
              <w:pStyle w:val="ListParagraph"/>
              <w:numPr>
                <w:ilvl w:val="0"/>
                <w:numId w:val="53"/>
              </w:numPr>
              <w:rPr>
                <w:sz w:val="24"/>
                <w:szCs w:val="24"/>
              </w:rPr>
            </w:pPr>
            <w:r>
              <w:rPr>
                <w:sz w:val="24"/>
                <w:szCs w:val="24"/>
              </w:rPr>
              <w:t>Nutritional supplements</w:t>
            </w:r>
          </w:p>
          <w:p w14:paraId="4E3A1A78" w14:textId="77777777" w:rsidR="00564ADD" w:rsidRDefault="00564ADD" w:rsidP="00A121EE">
            <w:pPr>
              <w:pStyle w:val="ListParagraph"/>
              <w:numPr>
                <w:ilvl w:val="0"/>
                <w:numId w:val="53"/>
              </w:numPr>
              <w:rPr>
                <w:sz w:val="24"/>
                <w:szCs w:val="24"/>
              </w:rPr>
            </w:pPr>
            <w:r>
              <w:rPr>
                <w:sz w:val="24"/>
                <w:szCs w:val="24"/>
              </w:rPr>
              <w:t>Mental health, drug and alcohol counseling and treatment</w:t>
            </w:r>
          </w:p>
          <w:p w14:paraId="261647BC" w14:textId="77777777" w:rsidR="00564ADD" w:rsidRDefault="00564ADD" w:rsidP="00A121EE">
            <w:pPr>
              <w:pStyle w:val="ListParagraph"/>
              <w:numPr>
                <w:ilvl w:val="0"/>
                <w:numId w:val="53"/>
              </w:numPr>
              <w:rPr>
                <w:sz w:val="24"/>
                <w:szCs w:val="24"/>
              </w:rPr>
            </w:pPr>
            <w:r>
              <w:rPr>
                <w:sz w:val="24"/>
                <w:szCs w:val="24"/>
              </w:rPr>
              <w:t>Transportation</w:t>
            </w:r>
          </w:p>
          <w:p w14:paraId="3FCABE7B" w14:textId="77777777" w:rsidR="00564ADD" w:rsidRDefault="00564ADD" w:rsidP="009D1558">
            <w:pPr>
              <w:widowControl w:val="0"/>
              <w:spacing w:after="0" w:line="240" w:lineRule="auto"/>
              <w:jc w:val="both"/>
              <w:rPr>
                <w:color w:val="000000"/>
              </w:rPr>
            </w:pPr>
          </w:p>
        </w:tc>
        <w:tc>
          <w:tcPr>
            <w:tcW w:w="2655" w:type="dxa"/>
            <w:vMerge/>
          </w:tcPr>
          <w:p w14:paraId="5FFA3D96" w14:textId="77777777" w:rsidR="00564ADD" w:rsidRDefault="00564ADD" w:rsidP="009D1558">
            <w:pPr>
              <w:widowControl w:val="0"/>
              <w:spacing w:after="0" w:line="240" w:lineRule="auto"/>
              <w:rPr>
                <w:color w:val="000000"/>
              </w:rPr>
            </w:pPr>
          </w:p>
        </w:tc>
      </w:tr>
    </w:tbl>
    <w:p w14:paraId="5725A6CB" w14:textId="5152B722" w:rsidR="00564ADD" w:rsidRDefault="00564ADD" w:rsidP="00564AD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4</w:t>
      </w:r>
      <w:r>
        <w:rPr>
          <w:rFonts w:asciiTheme="minorHAnsi" w:hAnsiTheme="minorHAnsi"/>
        </w:rPr>
        <w:fldChar w:fldCharType="end"/>
      </w:r>
      <w:r>
        <w:rPr>
          <w:rFonts w:asciiTheme="minorHAnsi" w:hAnsiTheme="minorHAnsi"/>
        </w:rPr>
        <w:t xml:space="preserve"> – Goals Summary</w:t>
      </w:r>
    </w:p>
    <w:p w14:paraId="5A7CA664" w14:textId="77777777" w:rsidR="00564ADD" w:rsidRDefault="00564ADD" w:rsidP="00564ADD">
      <w:pPr>
        <w:rPr>
          <w:b/>
          <w:sz w:val="24"/>
          <w:szCs w:val="24"/>
        </w:rPr>
      </w:pPr>
    </w:p>
    <w:p w14:paraId="7B0832B3" w14:textId="77777777" w:rsidR="00564ADD" w:rsidRDefault="00564ADD" w:rsidP="00564ADD">
      <w:pPr>
        <w:widowControl w:val="0"/>
      </w:pPr>
    </w:p>
    <w:p w14:paraId="048DFE35" w14:textId="77777777" w:rsidR="00564ADD" w:rsidRDefault="00564ADD" w:rsidP="00564ADD">
      <w:pPr>
        <w:sectPr w:rsidR="00564ADD">
          <w:pgSz w:w="15840" w:h="12240" w:orient="landscape" w:code="1"/>
          <w:pgMar w:top="1440" w:right="1440" w:bottom="1440" w:left="1440" w:header="720" w:footer="720" w:gutter="0"/>
          <w:cols w:space="720"/>
          <w:docGrid w:linePitch="360"/>
        </w:sectPr>
      </w:pPr>
    </w:p>
    <w:p w14:paraId="565DF06C" w14:textId="77777777" w:rsidR="00564ADD" w:rsidRDefault="00564ADD" w:rsidP="0068663E">
      <w:pPr>
        <w:pStyle w:val="Heading2"/>
        <w:keepNext w:val="0"/>
        <w:shd w:val="clear" w:color="auto" w:fill="95B3D7" w:themeFill="accent1" w:themeFillTint="99"/>
        <w:rPr>
          <w:rFonts w:ascii="Calibri" w:hAnsi="Calibri"/>
          <w:i w:val="0"/>
        </w:rPr>
      </w:pPr>
      <w:bookmarkStart w:id="61" w:name="_Toc524603044"/>
      <w:r>
        <w:rPr>
          <w:rFonts w:ascii="Calibri" w:hAnsi="Calibri"/>
          <w:i w:val="0"/>
        </w:rPr>
        <w:t>AP-25 Allocation Priorities – 91.320(d)</w:t>
      </w:r>
      <w:bookmarkEnd w:id="61"/>
    </w:p>
    <w:p w14:paraId="6CDD4FC6" w14:textId="77777777" w:rsidR="00564ADD" w:rsidRDefault="00564ADD" w:rsidP="00564ADD">
      <w:pPr>
        <w:widowControl w:val="0"/>
        <w:spacing w:line="204" w:lineRule="auto"/>
        <w:rPr>
          <w:b/>
          <w:sz w:val="24"/>
          <w:szCs w:val="24"/>
        </w:rPr>
      </w:pPr>
      <w:r>
        <w:rPr>
          <w:b/>
          <w:sz w:val="24"/>
          <w:szCs w:val="24"/>
        </w:rPr>
        <w:t xml:space="preserve">Introduction: </w:t>
      </w:r>
    </w:p>
    <w:p w14:paraId="014A5865" w14:textId="562C089A" w:rsidR="00564ADD" w:rsidRPr="004A16E2" w:rsidRDefault="00564ADD" w:rsidP="00564ADD">
      <w:pPr>
        <w:keepNext/>
        <w:widowControl w:val="0"/>
        <w:spacing w:beforeAutospacing="1" w:afterAutospacing="1"/>
        <w:rPr>
          <w:rFonts w:asciiTheme="minorHAnsi" w:hAnsiTheme="minorHAnsi" w:cstheme="minorHAnsi"/>
          <w:b/>
          <w:sz w:val="24"/>
          <w:szCs w:val="24"/>
        </w:rPr>
      </w:pPr>
      <w:r w:rsidRPr="004A16E2">
        <w:rPr>
          <w:rFonts w:asciiTheme="minorHAnsi" w:hAnsiTheme="minorHAnsi" w:cstheme="minorHAnsi"/>
          <w:sz w:val="24"/>
          <w:szCs w:val="24"/>
        </w:rPr>
        <w:t xml:space="preserve">The State of Kansas will distribute development resources in proportion to development needs in the </w:t>
      </w:r>
      <w:r w:rsidR="00556755">
        <w:rPr>
          <w:rFonts w:asciiTheme="minorHAnsi" w:hAnsiTheme="minorHAnsi" w:cstheme="minorHAnsi"/>
          <w:sz w:val="24"/>
          <w:szCs w:val="24"/>
        </w:rPr>
        <w:t>state</w:t>
      </w:r>
      <w:r w:rsidRPr="004A16E2">
        <w:rPr>
          <w:rFonts w:asciiTheme="minorHAnsi" w:hAnsiTheme="minorHAnsi" w:cstheme="minorHAnsi"/>
          <w:sz w:val="24"/>
          <w:szCs w:val="24"/>
        </w:rPr>
        <w:t>. In general, the Kansas Department of Commerce (Commerce), the Kansas Housing Resources Corporation (KHRC), and the Kansas Department of Health and Environment (KDHE) will approve funding for development projects which satisfy one or more of the following criteria:</w:t>
      </w:r>
    </w:p>
    <w:p w14:paraId="1C2DB8BD" w14:textId="7252CE4A" w:rsidR="00564ADD" w:rsidRPr="004A16E2" w:rsidRDefault="00564ADD" w:rsidP="00A121EE">
      <w:pPr>
        <w:keepNext/>
        <w:widowControl w:val="0"/>
        <w:numPr>
          <w:ilvl w:val="0"/>
          <w:numId w:val="10"/>
        </w:numPr>
        <w:spacing w:beforeAutospacing="1" w:afterAutospacing="1"/>
        <w:rPr>
          <w:rFonts w:asciiTheme="minorHAnsi" w:hAnsiTheme="minorHAnsi" w:cstheme="minorHAnsi"/>
          <w:b/>
          <w:sz w:val="24"/>
          <w:szCs w:val="24"/>
        </w:rPr>
      </w:pPr>
      <w:r w:rsidRPr="004A16E2">
        <w:rPr>
          <w:rFonts w:asciiTheme="minorHAnsi" w:hAnsiTheme="minorHAnsi" w:cstheme="minorHAnsi"/>
          <w:b/>
          <w:sz w:val="24"/>
          <w:szCs w:val="24"/>
        </w:rPr>
        <w:t xml:space="preserve">Community Need </w:t>
      </w:r>
      <w:r w:rsidRPr="004A16E2">
        <w:rPr>
          <w:rFonts w:asciiTheme="minorHAnsi" w:hAnsiTheme="minorHAnsi" w:cstheme="minorHAnsi"/>
          <w:sz w:val="24"/>
          <w:szCs w:val="24"/>
        </w:rPr>
        <w:t xml:space="preserve">- Comparison of development needs between cities, counties, and regions of the </w:t>
      </w:r>
      <w:r w:rsidR="00556755">
        <w:rPr>
          <w:rFonts w:asciiTheme="minorHAnsi" w:hAnsiTheme="minorHAnsi" w:cstheme="minorHAnsi"/>
          <w:sz w:val="24"/>
          <w:szCs w:val="24"/>
        </w:rPr>
        <w:t>state</w:t>
      </w:r>
      <w:r w:rsidRPr="004A16E2">
        <w:rPr>
          <w:rFonts w:asciiTheme="minorHAnsi" w:hAnsiTheme="minorHAnsi" w:cstheme="minorHAnsi"/>
          <w:sz w:val="24"/>
          <w:szCs w:val="24"/>
        </w:rPr>
        <w:t>. Development resources will be allocated to areas of greatest need, i.e., unmet need.</w:t>
      </w:r>
    </w:p>
    <w:p w14:paraId="2114FE49" w14:textId="6DC0DE9F" w:rsidR="00564ADD" w:rsidRPr="004A16E2" w:rsidRDefault="00564ADD" w:rsidP="00A121EE">
      <w:pPr>
        <w:keepNext/>
        <w:widowControl w:val="0"/>
        <w:numPr>
          <w:ilvl w:val="0"/>
          <w:numId w:val="10"/>
        </w:numPr>
        <w:spacing w:beforeAutospacing="1" w:afterAutospacing="1"/>
        <w:rPr>
          <w:rFonts w:asciiTheme="minorHAnsi" w:hAnsiTheme="minorHAnsi" w:cstheme="minorHAnsi"/>
          <w:b/>
          <w:sz w:val="24"/>
          <w:szCs w:val="24"/>
        </w:rPr>
      </w:pPr>
      <w:r w:rsidRPr="004A16E2">
        <w:rPr>
          <w:rFonts w:asciiTheme="minorHAnsi" w:hAnsiTheme="minorHAnsi" w:cstheme="minorHAnsi"/>
          <w:b/>
          <w:sz w:val="24"/>
          <w:szCs w:val="24"/>
        </w:rPr>
        <w:t xml:space="preserve">Community Effort </w:t>
      </w:r>
      <w:r w:rsidRPr="004A16E2">
        <w:rPr>
          <w:rFonts w:asciiTheme="minorHAnsi" w:hAnsiTheme="minorHAnsi" w:cstheme="minorHAnsi"/>
          <w:sz w:val="24"/>
          <w:szCs w:val="24"/>
        </w:rPr>
        <w:t xml:space="preserve">- Comparison of the shares of assisted development between cities, counties, and regions of the </w:t>
      </w:r>
      <w:r w:rsidR="00556755">
        <w:rPr>
          <w:rFonts w:asciiTheme="minorHAnsi" w:hAnsiTheme="minorHAnsi" w:cstheme="minorHAnsi"/>
          <w:sz w:val="24"/>
          <w:szCs w:val="24"/>
        </w:rPr>
        <w:t>state</w:t>
      </w:r>
      <w:r w:rsidRPr="004A16E2">
        <w:rPr>
          <w:rFonts w:asciiTheme="minorHAnsi" w:hAnsiTheme="minorHAnsi" w:cstheme="minorHAnsi"/>
          <w:sz w:val="24"/>
          <w:szCs w:val="24"/>
        </w:rPr>
        <w:t>. Areas with low shares of assisted development will be encouraged to seek a fair share of development resources.</w:t>
      </w:r>
    </w:p>
    <w:p w14:paraId="3D6BEA68" w14:textId="1B296FC7" w:rsidR="00564ADD" w:rsidRPr="004A16E2" w:rsidRDefault="00564ADD" w:rsidP="00A121EE">
      <w:pPr>
        <w:keepNext/>
        <w:widowControl w:val="0"/>
        <w:numPr>
          <w:ilvl w:val="0"/>
          <w:numId w:val="10"/>
        </w:numPr>
        <w:spacing w:beforeAutospacing="1" w:afterAutospacing="1"/>
        <w:rPr>
          <w:rFonts w:asciiTheme="minorHAnsi" w:hAnsiTheme="minorHAnsi" w:cstheme="minorHAnsi"/>
          <w:b/>
          <w:sz w:val="24"/>
          <w:szCs w:val="24"/>
        </w:rPr>
      </w:pPr>
      <w:r w:rsidRPr="004A16E2">
        <w:rPr>
          <w:rFonts w:asciiTheme="minorHAnsi" w:hAnsiTheme="minorHAnsi" w:cstheme="minorHAnsi"/>
          <w:b/>
          <w:sz w:val="24"/>
          <w:szCs w:val="24"/>
        </w:rPr>
        <w:t xml:space="preserve">Resident Need </w:t>
      </w:r>
      <w:r w:rsidRPr="004A16E2">
        <w:rPr>
          <w:rFonts w:asciiTheme="minorHAnsi" w:hAnsiTheme="minorHAnsi" w:cstheme="minorHAnsi"/>
          <w:sz w:val="24"/>
          <w:szCs w:val="24"/>
        </w:rPr>
        <w:t xml:space="preserve">- Comparison of income eligible persons within cities, counties, and regions of the </w:t>
      </w:r>
      <w:r w:rsidR="00556755">
        <w:rPr>
          <w:rFonts w:asciiTheme="minorHAnsi" w:hAnsiTheme="minorHAnsi" w:cstheme="minorHAnsi"/>
          <w:sz w:val="24"/>
          <w:szCs w:val="24"/>
        </w:rPr>
        <w:t>state</w:t>
      </w:r>
      <w:r w:rsidRPr="004A16E2">
        <w:rPr>
          <w:rFonts w:asciiTheme="minorHAnsi" w:hAnsiTheme="minorHAnsi" w:cstheme="minorHAnsi"/>
          <w:sz w:val="24"/>
          <w:szCs w:val="24"/>
        </w:rPr>
        <w:t>. Development resources will be allocated first to the lowest income eligible persons within an area.</w:t>
      </w:r>
    </w:p>
    <w:p w14:paraId="700C7C98" w14:textId="1FB1DC11" w:rsidR="00564ADD" w:rsidRPr="004A16E2" w:rsidRDefault="00564ADD" w:rsidP="00A121EE">
      <w:pPr>
        <w:keepNext/>
        <w:widowControl w:val="0"/>
        <w:numPr>
          <w:ilvl w:val="0"/>
          <w:numId w:val="10"/>
        </w:numPr>
        <w:spacing w:beforeAutospacing="1" w:afterAutospacing="1"/>
        <w:rPr>
          <w:rFonts w:asciiTheme="minorHAnsi" w:hAnsiTheme="minorHAnsi" w:cstheme="minorHAnsi"/>
          <w:b/>
          <w:sz w:val="24"/>
          <w:szCs w:val="24"/>
        </w:rPr>
      </w:pPr>
      <w:r w:rsidRPr="004A16E2">
        <w:rPr>
          <w:rFonts w:asciiTheme="minorHAnsi" w:hAnsiTheme="minorHAnsi" w:cstheme="minorHAnsi"/>
          <w:b/>
          <w:sz w:val="24"/>
          <w:szCs w:val="24"/>
        </w:rPr>
        <w:t xml:space="preserve">Resident Risk </w:t>
      </w:r>
      <w:r w:rsidRPr="004A16E2">
        <w:rPr>
          <w:rFonts w:asciiTheme="minorHAnsi" w:hAnsiTheme="minorHAnsi" w:cstheme="minorHAnsi"/>
          <w:sz w:val="24"/>
          <w:szCs w:val="24"/>
        </w:rPr>
        <w:t xml:space="preserve">- Comparison of persons with multiple risks versus single risks, within cities, counties, and regions of the </w:t>
      </w:r>
      <w:r w:rsidR="00556755">
        <w:rPr>
          <w:rFonts w:asciiTheme="minorHAnsi" w:hAnsiTheme="minorHAnsi" w:cstheme="minorHAnsi"/>
          <w:sz w:val="24"/>
          <w:szCs w:val="24"/>
        </w:rPr>
        <w:t>state</w:t>
      </w:r>
      <w:r w:rsidRPr="004A16E2">
        <w:rPr>
          <w:rFonts w:asciiTheme="minorHAnsi" w:hAnsiTheme="minorHAnsi" w:cstheme="minorHAnsi"/>
          <w:sz w:val="24"/>
          <w:szCs w:val="24"/>
        </w:rPr>
        <w:t>, i.e., unemployment, cost burden, racial minority, single parent, physical disability, etc. Development resources will be allocated first to persons with multiple risks within an area.</w:t>
      </w:r>
    </w:p>
    <w:p w14:paraId="2A14CF74" w14:textId="0554498D" w:rsidR="00564ADD" w:rsidRPr="004A16E2" w:rsidRDefault="00564ADD" w:rsidP="00A121EE">
      <w:pPr>
        <w:keepNext/>
        <w:widowControl w:val="0"/>
        <w:numPr>
          <w:ilvl w:val="0"/>
          <w:numId w:val="10"/>
        </w:numPr>
        <w:spacing w:beforeAutospacing="1" w:afterAutospacing="1"/>
        <w:rPr>
          <w:rFonts w:asciiTheme="minorHAnsi" w:hAnsiTheme="minorHAnsi" w:cstheme="minorHAnsi"/>
          <w:b/>
          <w:sz w:val="24"/>
          <w:szCs w:val="24"/>
        </w:rPr>
      </w:pPr>
      <w:r w:rsidRPr="004A16E2">
        <w:rPr>
          <w:rFonts w:asciiTheme="minorHAnsi" w:hAnsiTheme="minorHAnsi" w:cstheme="minorHAnsi"/>
          <w:b/>
          <w:sz w:val="24"/>
          <w:szCs w:val="24"/>
        </w:rPr>
        <w:t xml:space="preserve">Preventive Action </w:t>
      </w:r>
      <w:r w:rsidRPr="004A16E2">
        <w:rPr>
          <w:rFonts w:asciiTheme="minorHAnsi" w:hAnsiTheme="minorHAnsi" w:cstheme="minorHAnsi"/>
          <w:sz w:val="24"/>
          <w:szCs w:val="24"/>
        </w:rPr>
        <w:t xml:space="preserve">- Preventing shortages of development resources within cities, counties, and regions of the </w:t>
      </w:r>
      <w:r w:rsidR="00556755">
        <w:rPr>
          <w:rFonts w:asciiTheme="minorHAnsi" w:hAnsiTheme="minorHAnsi" w:cstheme="minorHAnsi"/>
          <w:sz w:val="24"/>
          <w:szCs w:val="24"/>
        </w:rPr>
        <w:t>state</w:t>
      </w:r>
      <w:r w:rsidRPr="004A16E2">
        <w:rPr>
          <w:rFonts w:asciiTheme="minorHAnsi" w:hAnsiTheme="minorHAnsi" w:cstheme="minorHAnsi"/>
          <w:sz w:val="24"/>
          <w:szCs w:val="24"/>
        </w:rPr>
        <w:t>. Development resources will be allocated early to areas undergoing economic development and/or deinstitutionalization of persons with disabilities. </w:t>
      </w:r>
    </w:p>
    <w:p w14:paraId="7B674EE8" w14:textId="77777777" w:rsidR="00564ADD" w:rsidRDefault="00564ADD" w:rsidP="00564ADD">
      <w:pPr>
        <w:widowControl w:val="0"/>
        <w:rPr>
          <w:rFonts w:asciiTheme="minorHAnsi" w:hAnsiTheme="minorHAnsi" w:cstheme="minorHAnsi"/>
          <w:sz w:val="24"/>
          <w:szCs w:val="24"/>
        </w:rPr>
      </w:pPr>
      <w:r w:rsidRPr="004A16E2">
        <w:rPr>
          <w:rFonts w:asciiTheme="minorHAnsi" w:hAnsiTheme="minorHAnsi" w:cstheme="minorHAnsi"/>
          <w:sz w:val="24"/>
          <w:szCs w:val="24"/>
        </w:rPr>
        <w:t>Note that in the table below the amount for Participating Jurisdiction Administrative Reserve and CHDO Operating Reserve Set-aside is not in the table.  Both of these are funded under the HOME program.  The percentage for the Participating Jurisdiction Administrative Reserve is 10% and the CHDO Operating Reserve Set-aside is 3%. This would equal 100% of HOME funds. For HTF, the 10% allowed for administration is not in the table, and when added to the 90% for rental development, equals 100%.</w:t>
      </w:r>
    </w:p>
    <w:p w14:paraId="454B1C35" w14:textId="77777777" w:rsidR="00564ADD" w:rsidRDefault="00564ADD" w:rsidP="00564ADD">
      <w:pPr>
        <w:widowControl w:val="0"/>
        <w:rPr>
          <w:rFonts w:asciiTheme="minorHAnsi" w:hAnsiTheme="minorHAnsi" w:cstheme="minorHAnsi"/>
          <w:sz w:val="24"/>
          <w:szCs w:val="24"/>
        </w:rPr>
      </w:pPr>
    </w:p>
    <w:p w14:paraId="6D85F5E4" w14:textId="77777777" w:rsidR="00564ADD" w:rsidRPr="004A16E2" w:rsidRDefault="00564ADD" w:rsidP="00564ADD">
      <w:pPr>
        <w:widowControl w:val="0"/>
        <w:rPr>
          <w:rFonts w:asciiTheme="minorHAnsi" w:hAnsiTheme="minorHAnsi" w:cstheme="minorHAnsi"/>
          <w:sz w:val="24"/>
          <w:szCs w:val="24"/>
        </w:rPr>
      </w:pPr>
    </w:p>
    <w:p w14:paraId="47372776" w14:textId="77777777" w:rsidR="00564ADD" w:rsidRDefault="00564ADD" w:rsidP="00564ADD">
      <w:pPr>
        <w:widowControl w:val="0"/>
        <w:rPr>
          <w:rFonts w:cs="Arial"/>
          <w:b/>
          <w:sz w:val="24"/>
          <w:szCs w:val="24"/>
        </w:rPr>
      </w:pPr>
      <w:r>
        <w:rPr>
          <w:rFonts w:cs="Arial"/>
          <w:b/>
          <w:sz w:val="24"/>
          <w:szCs w:val="24"/>
        </w:rPr>
        <w:t>Funding Allocation Priorities (%)</w:t>
      </w:r>
    </w:p>
    <w:tbl>
      <w:tblPr>
        <w:tblW w:w="57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1525"/>
        <w:gridCol w:w="1145"/>
        <w:gridCol w:w="1256"/>
        <w:gridCol w:w="837"/>
        <w:gridCol w:w="1549"/>
        <w:gridCol w:w="1358"/>
        <w:gridCol w:w="1150"/>
        <w:gridCol w:w="1427"/>
        <w:gridCol w:w="941"/>
        <w:gridCol w:w="1207"/>
        <w:gridCol w:w="1488"/>
      </w:tblGrid>
      <w:tr w:rsidR="00564ADD" w14:paraId="3AB939C0" w14:textId="77777777" w:rsidTr="009D1558">
        <w:trPr>
          <w:cantSplit/>
          <w:trHeight w:val="544"/>
          <w:tblHeader/>
        </w:trPr>
        <w:tc>
          <w:tcPr>
            <w:tcW w:w="984" w:type="dxa"/>
          </w:tcPr>
          <w:p w14:paraId="29F1A89E" w14:textId="77777777" w:rsidR="00564ADD" w:rsidRDefault="00564ADD" w:rsidP="009D1558">
            <w:pPr>
              <w:widowControl w:val="0"/>
              <w:spacing w:after="0" w:line="240" w:lineRule="auto"/>
              <w:rPr>
                <w:rFonts w:cs="Arial"/>
              </w:rPr>
            </w:pPr>
            <w:r>
              <w:rPr>
                <w:rFonts w:cs="Arial"/>
              </w:rPr>
              <w:t>Program</w:t>
            </w:r>
          </w:p>
        </w:tc>
        <w:tc>
          <w:tcPr>
            <w:tcW w:w="1525" w:type="dxa"/>
          </w:tcPr>
          <w:p w14:paraId="36DE8B91" w14:textId="77777777" w:rsidR="00564ADD" w:rsidRPr="004A16E2" w:rsidRDefault="00564ADD" w:rsidP="009D1558">
            <w:pPr>
              <w:spacing w:after="0" w:line="240" w:lineRule="auto"/>
              <w:rPr>
                <w:rFonts w:cs="Calibri"/>
                <w:color w:val="000000"/>
                <w:sz w:val="20"/>
              </w:rPr>
            </w:pPr>
            <w:r w:rsidRPr="004A16E2">
              <w:rPr>
                <w:rFonts w:cs="Calibri"/>
                <w:color w:val="000000"/>
                <w:sz w:val="20"/>
              </w:rPr>
              <w:t>Water and Sewer Improvements</w:t>
            </w:r>
          </w:p>
        </w:tc>
        <w:tc>
          <w:tcPr>
            <w:tcW w:w="1145" w:type="dxa"/>
          </w:tcPr>
          <w:p w14:paraId="129D0F2C" w14:textId="77777777" w:rsidR="00564ADD" w:rsidRPr="004A16E2" w:rsidRDefault="00564ADD" w:rsidP="009D1558">
            <w:pPr>
              <w:spacing w:after="0" w:line="240" w:lineRule="auto"/>
              <w:rPr>
                <w:rFonts w:cs="Calibri"/>
                <w:color w:val="000000"/>
                <w:sz w:val="20"/>
              </w:rPr>
            </w:pPr>
            <w:r w:rsidRPr="004A16E2">
              <w:rPr>
                <w:rFonts w:cs="Calibri"/>
                <w:color w:val="000000"/>
                <w:sz w:val="20"/>
              </w:rPr>
              <w:t>Increase the quality of affordable housing: CDBG</w:t>
            </w:r>
          </w:p>
        </w:tc>
        <w:tc>
          <w:tcPr>
            <w:tcW w:w="1256" w:type="dxa"/>
          </w:tcPr>
          <w:p w14:paraId="2E5BC821" w14:textId="77777777" w:rsidR="00564ADD" w:rsidRPr="004A16E2" w:rsidRDefault="00564ADD" w:rsidP="009D1558">
            <w:pPr>
              <w:spacing w:after="0" w:line="240" w:lineRule="auto"/>
              <w:rPr>
                <w:rFonts w:cs="Calibri"/>
                <w:color w:val="000000"/>
                <w:sz w:val="20"/>
              </w:rPr>
            </w:pPr>
            <w:r w:rsidRPr="004A16E2">
              <w:rPr>
                <w:rFonts w:cs="Calibri"/>
                <w:color w:val="000000"/>
                <w:sz w:val="20"/>
              </w:rPr>
              <w:t>Community Facilities</w:t>
            </w:r>
          </w:p>
        </w:tc>
        <w:tc>
          <w:tcPr>
            <w:tcW w:w="837" w:type="dxa"/>
          </w:tcPr>
          <w:p w14:paraId="121955DC" w14:textId="77777777" w:rsidR="00564ADD" w:rsidRPr="004A16E2" w:rsidRDefault="00564ADD" w:rsidP="009D1558">
            <w:pPr>
              <w:spacing w:after="0" w:line="240" w:lineRule="auto"/>
              <w:rPr>
                <w:rFonts w:cs="Calibri"/>
                <w:color w:val="000000"/>
                <w:sz w:val="20"/>
              </w:rPr>
            </w:pPr>
            <w:r w:rsidRPr="004A16E2">
              <w:rPr>
                <w:rFonts w:cs="Calibri"/>
                <w:color w:val="000000"/>
                <w:sz w:val="20"/>
              </w:rPr>
              <w:t>Urgent Need</w:t>
            </w:r>
          </w:p>
        </w:tc>
        <w:tc>
          <w:tcPr>
            <w:tcW w:w="1549" w:type="dxa"/>
          </w:tcPr>
          <w:p w14:paraId="70FF916A" w14:textId="77777777" w:rsidR="00564ADD" w:rsidRPr="004A16E2" w:rsidRDefault="00564ADD" w:rsidP="009D1558">
            <w:pPr>
              <w:spacing w:after="0" w:line="240" w:lineRule="auto"/>
              <w:rPr>
                <w:rFonts w:cs="Calibri"/>
                <w:color w:val="000000"/>
                <w:sz w:val="20"/>
              </w:rPr>
            </w:pPr>
            <w:r w:rsidRPr="004A16E2">
              <w:rPr>
                <w:rFonts w:cs="Calibri"/>
                <w:color w:val="000000"/>
                <w:sz w:val="20"/>
              </w:rPr>
              <w:t>State Administration and Technical Assistance</w:t>
            </w:r>
          </w:p>
          <w:p w14:paraId="177A8E11" w14:textId="77777777" w:rsidR="00564ADD" w:rsidRPr="004A16E2" w:rsidRDefault="00564ADD" w:rsidP="009D1558">
            <w:pPr>
              <w:spacing w:after="0" w:line="240" w:lineRule="auto"/>
              <w:rPr>
                <w:rFonts w:cs="Calibri"/>
                <w:color w:val="000000"/>
                <w:sz w:val="20"/>
              </w:rPr>
            </w:pPr>
          </w:p>
        </w:tc>
        <w:tc>
          <w:tcPr>
            <w:tcW w:w="1358" w:type="dxa"/>
          </w:tcPr>
          <w:p w14:paraId="53A8CDB5" w14:textId="77777777" w:rsidR="00564ADD" w:rsidRPr="004A16E2" w:rsidRDefault="00564ADD" w:rsidP="009D1558">
            <w:pPr>
              <w:spacing w:after="0" w:line="240" w:lineRule="auto"/>
              <w:rPr>
                <w:rFonts w:cs="Calibri"/>
                <w:color w:val="000000"/>
                <w:sz w:val="20"/>
              </w:rPr>
            </w:pPr>
            <w:r w:rsidRPr="004A16E2">
              <w:rPr>
                <w:rFonts w:cs="Calibri"/>
                <w:color w:val="000000"/>
                <w:sz w:val="20"/>
              </w:rPr>
              <w:t>First-Time Homebuyers</w:t>
            </w:r>
          </w:p>
          <w:p w14:paraId="0DE8870D" w14:textId="77777777" w:rsidR="00564ADD" w:rsidRPr="004A16E2" w:rsidRDefault="00564ADD" w:rsidP="009D1558">
            <w:pPr>
              <w:spacing w:after="0" w:line="240" w:lineRule="auto"/>
              <w:rPr>
                <w:rFonts w:cs="Calibri"/>
                <w:color w:val="000000"/>
                <w:sz w:val="20"/>
              </w:rPr>
            </w:pPr>
          </w:p>
        </w:tc>
        <w:tc>
          <w:tcPr>
            <w:tcW w:w="1150" w:type="dxa"/>
          </w:tcPr>
          <w:p w14:paraId="2C91BF96" w14:textId="77777777" w:rsidR="00564ADD" w:rsidRPr="004A16E2" w:rsidRDefault="00564ADD" w:rsidP="009D1558">
            <w:pPr>
              <w:spacing w:after="0" w:line="240" w:lineRule="auto"/>
              <w:rPr>
                <w:rFonts w:cs="Calibri"/>
                <w:color w:val="000000"/>
                <w:sz w:val="20"/>
              </w:rPr>
            </w:pPr>
            <w:r w:rsidRPr="004A16E2">
              <w:rPr>
                <w:rFonts w:cs="Calibri"/>
                <w:color w:val="000000"/>
                <w:sz w:val="20"/>
              </w:rPr>
              <w:t>Tenant Based Rental Assistance (TBRA)</w:t>
            </w:r>
          </w:p>
          <w:p w14:paraId="6E6FAA5E" w14:textId="77777777" w:rsidR="00564ADD" w:rsidRPr="004A16E2" w:rsidRDefault="00564ADD" w:rsidP="009D1558">
            <w:pPr>
              <w:spacing w:after="0" w:line="240" w:lineRule="auto"/>
              <w:rPr>
                <w:rFonts w:cs="Calibri"/>
                <w:color w:val="000000"/>
                <w:sz w:val="20"/>
              </w:rPr>
            </w:pPr>
          </w:p>
        </w:tc>
        <w:tc>
          <w:tcPr>
            <w:tcW w:w="1427" w:type="dxa"/>
          </w:tcPr>
          <w:p w14:paraId="4CE7BFEC" w14:textId="77777777" w:rsidR="00564ADD" w:rsidRPr="004A16E2" w:rsidRDefault="00564ADD" w:rsidP="009D1558">
            <w:pPr>
              <w:spacing w:after="0" w:line="240" w:lineRule="auto"/>
              <w:rPr>
                <w:rFonts w:cs="Calibri"/>
                <w:color w:val="000000"/>
                <w:sz w:val="20"/>
              </w:rPr>
            </w:pPr>
            <w:r w:rsidRPr="004A16E2">
              <w:rPr>
                <w:rFonts w:cs="Calibri"/>
                <w:color w:val="000000"/>
                <w:sz w:val="20"/>
              </w:rPr>
              <w:t>HOME Rental Development</w:t>
            </w:r>
          </w:p>
          <w:p w14:paraId="71BAB099" w14:textId="77777777" w:rsidR="00564ADD" w:rsidRPr="004A16E2" w:rsidRDefault="00564ADD" w:rsidP="009D1558">
            <w:pPr>
              <w:spacing w:after="0" w:line="240" w:lineRule="auto"/>
              <w:rPr>
                <w:rFonts w:cs="Calibri"/>
                <w:color w:val="000000"/>
                <w:sz w:val="20"/>
              </w:rPr>
            </w:pPr>
          </w:p>
        </w:tc>
        <w:tc>
          <w:tcPr>
            <w:tcW w:w="941" w:type="dxa"/>
          </w:tcPr>
          <w:p w14:paraId="2215E50E" w14:textId="77777777" w:rsidR="00564ADD" w:rsidRPr="004A16E2" w:rsidRDefault="00564ADD" w:rsidP="009D1558">
            <w:pPr>
              <w:spacing w:after="0" w:line="240" w:lineRule="auto"/>
              <w:rPr>
                <w:rFonts w:cs="Calibri"/>
                <w:color w:val="000000"/>
                <w:sz w:val="20"/>
              </w:rPr>
            </w:pPr>
            <w:r w:rsidRPr="004A16E2">
              <w:rPr>
                <w:rFonts w:cs="Calibri"/>
                <w:color w:val="000000"/>
                <w:sz w:val="20"/>
              </w:rPr>
              <w:t>Housing Trust Fund</w:t>
            </w:r>
          </w:p>
          <w:p w14:paraId="3D010D26" w14:textId="77777777" w:rsidR="00564ADD" w:rsidRPr="004A16E2" w:rsidRDefault="00564ADD" w:rsidP="009D1558">
            <w:pPr>
              <w:spacing w:after="0" w:line="240" w:lineRule="auto"/>
              <w:rPr>
                <w:rFonts w:cs="Calibri"/>
                <w:color w:val="000000"/>
                <w:sz w:val="20"/>
              </w:rPr>
            </w:pPr>
          </w:p>
        </w:tc>
        <w:tc>
          <w:tcPr>
            <w:tcW w:w="1207" w:type="dxa"/>
          </w:tcPr>
          <w:p w14:paraId="6C623415" w14:textId="77777777" w:rsidR="00564ADD" w:rsidRPr="004A16E2" w:rsidRDefault="00564ADD" w:rsidP="009D1558">
            <w:pPr>
              <w:spacing w:after="0" w:line="240" w:lineRule="auto"/>
              <w:rPr>
                <w:rFonts w:cs="Calibri"/>
                <w:color w:val="000000"/>
                <w:sz w:val="20"/>
              </w:rPr>
            </w:pPr>
            <w:r w:rsidRPr="004A16E2">
              <w:rPr>
                <w:rFonts w:cs="Calibri"/>
                <w:color w:val="000000"/>
                <w:sz w:val="20"/>
              </w:rPr>
              <w:t>Emergency Solutions Grant (ESG) Program</w:t>
            </w:r>
          </w:p>
          <w:p w14:paraId="0E74FC33" w14:textId="77777777" w:rsidR="00564ADD" w:rsidRPr="004A16E2" w:rsidRDefault="00564ADD" w:rsidP="009D1558">
            <w:pPr>
              <w:spacing w:after="0" w:line="240" w:lineRule="auto"/>
              <w:rPr>
                <w:rFonts w:cs="Calibri"/>
                <w:color w:val="000000"/>
                <w:sz w:val="20"/>
              </w:rPr>
            </w:pPr>
          </w:p>
        </w:tc>
        <w:tc>
          <w:tcPr>
            <w:tcW w:w="1488" w:type="dxa"/>
          </w:tcPr>
          <w:p w14:paraId="38FBD9AA" w14:textId="77777777" w:rsidR="00564ADD" w:rsidRPr="004A16E2" w:rsidRDefault="00564ADD" w:rsidP="009D1558">
            <w:pPr>
              <w:spacing w:after="0" w:line="240" w:lineRule="auto"/>
              <w:rPr>
                <w:rFonts w:cs="Calibri"/>
                <w:color w:val="000000"/>
                <w:sz w:val="20"/>
              </w:rPr>
            </w:pPr>
            <w:r w:rsidRPr="004A16E2">
              <w:rPr>
                <w:rFonts w:cs="Calibri"/>
                <w:color w:val="000000"/>
                <w:sz w:val="20"/>
              </w:rPr>
              <w:t>Housing Opportunities for Persons with AIDS(HOPWA)</w:t>
            </w:r>
          </w:p>
          <w:p w14:paraId="30DA1DE2" w14:textId="77777777" w:rsidR="00564ADD" w:rsidRPr="004A16E2" w:rsidRDefault="00564ADD" w:rsidP="009D1558">
            <w:pPr>
              <w:spacing w:after="0" w:line="240" w:lineRule="auto"/>
              <w:rPr>
                <w:rFonts w:cs="Calibri"/>
                <w:color w:val="000000"/>
                <w:sz w:val="20"/>
              </w:rPr>
            </w:pPr>
          </w:p>
        </w:tc>
      </w:tr>
      <w:tr w:rsidR="00564ADD" w14:paraId="3E35113D" w14:textId="77777777" w:rsidTr="009D1558">
        <w:trPr>
          <w:cantSplit/>
          <w:trHeight w:val="279"/>
          <w:tblHeader/>
        </w:trPr>
        <w:tc>
          <w:tcPr>
            <w:tcW w:w="984" w:type="dxa"/>
          </w:tcPr>
          <w:p w14:paraId="6EE93BA3" w14:textId="77777777" w:rsidR="00564ADD" w:rsidRPr="004A16E2" w:rsidRDefault="00564ADD" w:rsidP="009D1558">
            <w:pPr>
              <w:widowControl w:val="0"/>
              <w:spacing w:after="0" w:line="240" w:lineRule="auto"/>
              <w:rPr>
                <w:rFonts w:cs="Arial"/>
                <w:b/>
              </w:rPr>
            </w:pPr>
            <w:r w:rsidRPr="004A16E2">
              <w:rPr>
                <w:rFonts w:cs="Arial"/>
                <w:b/>
              </w:rPr>
              <w:t>CDBG</w:t>
            </w:r>
          </w:p>
        </w:tc>
        <w:tc>
          <w:tcPr>
            <w:tcW w:w="1525" w:type="dxa"/>
          </w:tcPr>
          <w:p w14:paraId="04A1C199" w14:textId="77777777" w:rsidR="00564ADD" w:rsidRDefault="00564ADD" w:rsidP="009D1558">
            <w:pPr>
              <w:widowControl w:val="0"/>
              <w:spacing w:after="0" w:line="240" w:lineRule="auto"/>
              <w:rPr>
                <w:rFonts w:cs="Arial"/>
              </w:rPr>
            </w:pPr>
            <w:r>
              <w:rPr>
                <w:rFonts w:cs="Arial"/>
              </w:rPr>
              <w:t>50.0</w:t>
            </w:r>
          </w:p>
        </w:tc>
        <w:tc>
          <w:tcPr>
            <w:tcW w:w="1145" w:type="dxa"/>
          </w:tcPr>
          <w:p w14:paraId="4C8CB4EB" w14:textId="77777777" w:rsidR="00564ADD" w:rsidRDefault="00564ADD" w:rsidP="009D1558">
            <w:pPr>
              <w:widowControl w:val="0"/>
              <w:spacing w:after="0" w:line="240" w:lineRule="auto"/>
              <w:rPr>
                <w:rFonts w:cs="Arial"/>
              </w:rPr>
            </w:pPr>
            <w:r>
              <w:rPr>
                <w:rFonts w:cs="Arial"/>
              </w:rPr>
              <w:t>8.3</w:t>
            </w:r>
          </w:p>
        </w:tc>
        <w:tc>
          <w:tcPr>
            <w:tcW w:w="1256" w:type="dxa"/>
          </w:tcPr>
          <w:p w14:paraId="4D0566E6" w14:textId="77777777" w:rsidR="00564ADD" w:rsidRDefault="00564ADD" w:rsidP="009D1558">
            <w:pPr>
              <w:widowControl w:val="0"/>
              <w:spacing w:after="0" w:line="240" w:lineRule="auto"/>
              <w:rPr>
                <w:rFonts w:cs="Arial"/>
              </w:rPr>
            </w:pPr>
            <w:r>
              <w:rPr>
                <w:rFonts w:cs="Arial"/>
              </w:rPr>
              <w:t>35.0</w:t>
            </w:r>
          </w:p>
        </w:tc>
        <w:tc>
          <w:tcPr>
            <w:tcW w:w="837" w:type="dxa"/>
          </w:tcPr>
          <w:p w14:paraId="634962FD" w14:textId="77777777" w:rsidR="00564ADD" w:rsidRDefault="00564ADD" w:rsidP="009D1558">
            <w:pPr>
              <w:widowControl w:val="0"/>
              <w:spacing w:after="0" w:line="240" w:lineRule="auto"/>
              <w:rPr>
                <w:rFonts w:cs="Arial"/>
              </w:rPr>
            </w:pPr>
            <w:r>
              <w:rPr>
                <w:rFonts w:cs="Arial"/>
              </w:rPr>
              <w:t>3.0</w:t>
            </w:r>
          </w:p>
        </w:tc>
        <w:tc>
          <w:tcPr>
            <w:tcW w:w="1549" w:type="dxa"/>
          </w:tcPr>
          <w:p w14:paraId="11677129" w14:textId="77777777" w:rsidR="00564ADD" w:rsidRDefault="00564ADD" w:rsidP="009D1558">
            <w:pPr>
              <w:widowControl w:val="0"/>
              <w:spacing w:after="0" w:line="240" w:lineRule="auto"/>
              <w:rPr>
                <w:rFonts w:cs="Arial"/>
              </w:rPr>
            </w:pPr>
            <w:r>
              <w:rPr>
                <w:rFonts w:cs="Arial"/>
              </w:rPr>
              <w:t>3.7</w:t>
            </w:r>
          </w:p>
        </w:tc>
        <w:tc>
          <w:tcPr>
            <w:tcW w:w="1358" w:type="dxa"/>
          </w:tcPr>
          <w:p w14:paraId="486CDEED" w14:textId="77777777" w:rsidR="00564ADD" w:rsidRDefault="00564ADD" w:rsidP="009D1558">
            <w:pPr>
              <w:widowControl w:val="0"/>
              <w:spacing w:after="0" w:line="240" w:lineRule="auto"/>
              <w:rPr>
                <w:rFonts w:cs="Arial"/>
              </w:rPr>
            </w:pPr>
          </w:p>
        </w:tc>
        <w:tc>
          <w:tcPr>
            <w:tcW w:w="1150" w:type="dxa"/>
          </w:tcPr>
          <w:p w14:paraId="13B10A4F" w14:textId="77777777" w:rsidR="00564ADD" w:rsidRDefault="00564ADD" w:rsidP="009D1558">
            <w:pPr>
              <w:widowControl w:val="0"/>
              <w:spacing w:after="0" w:line="240" w:lineRule="auto"/>
              <w:rPr>
                <w:rFonts w:cs="Arial"/>
              </w:rPr>
            </w:pPr>
          </w:p>
        </w:tc>
        <w:tc>
          <w:tcPr>
            <w:tcW w:w="1427" w:type="dxa"/>
          </w:tcPr>
          <w:p w14:paraId="09E534DF" w14:textId="77777777" w:rsidR="00564ADD" w:rsidRDefault="00564ADD" w:rsidP="009D1558">
            <w:pPr>
              <w:widowControl w:val="0"/>
              <w:spacing w:after="0" w:line="240" w:lineRule="auto"/>
              <w:rPr>
                <w:rFonts w:cs="Arial"/>
              </w:rPr>
            </w:pPr>
          </w:p>
        </w:tc>
        <w:tc>
          <w:tcPr>
            <w:tcW w:w="941" w:type="dxa"/>
          </w:tcPr>
          <w:p w14:paraId="3929FD05" w14:textId="77777777" w:rsidR="00564ADD" w:rsidRDefault="00564ADD" w:rsidP="009D1558">
            <w:pPr>
              <w:widowControl w:val="0"/>
              <w:spacing w:after="0" w:line="240" w:lineRule="auto"/>
              <w:rPr>
                <w:rFonts w:cs="Arial"/>
              </w:rPr>
            </w:pPr>
          </w:p>
        </w:tc>
        <w:tc>
          <w:tcPr>
            <w:tcW w:w="1207" w:type="dxa"/>
          </w:tcPr>
          <w:p w14:paraId="1ADC7086" w14:textId="77777777" w:rsidR="00564ADD" w:rsidRDefault="00564ADD" w:rsidP="009D1558">
            <w:pPr>
              <w:widowControl w:val="0"/>
              <w:spacing w:after="0" w:line="240" w:lineRule="auto"/>
              <w:rPr>
                <w:rFonts w:cs="Arial"/>
              </w:rPr>
            </w:pPr>
          </w:p>
        </w:tc>
        <w:tc>
          <w:tcPr>
            <w:tcW w:w="1488" w:type="dxa"/>
          </w:tcPr>
          <w:p w14:paraId="15D59801" w14:textId="77777777" w:rsidR="00564ADD" w:rsidRDefault="00564ADD" w:rsidP="009D1558">
            <w:pPr>
              <w:widowControl w:val="0"/>
              <w:spacing w:after="0" w:line="240" w:lineRule="auto"/>
              <w:rPr>
                <w:rFonts w:cs="Arial"/>
              </w:rPr>
            </w:pPr>
          </w:p>
        </w:tc>
      </w:tr>
      <w:tr w:rsidR="00564ADD" w14:paraId="2E633A62" w14:textId="77777777" w:rsidTr="009D1558">
        <w:trPr>
          <w:cantSplit/>
          <w:trHeight w:val="279"/>
          <w:tblHeader/>
        </w:trPr>
        <w:tc>
          <w:tcPr>
            <w:tcW w:w="984" w:type="dxa"/>
          </w:tcPr>
          <w:p w14:paraId="14E337D1" w14:textId="77777777" w:rsidR="00564ADD" w:rsidRPr="004A16E2" w:rsidRDefault="00564ADD" w:rsidP="009D1558">
            <w:pPr>
              <w:widowControl w:val="0"/>
              <w:spacing w:after="0" w:line="240" w:lineRule="auto"/>
              <w:rPr>
                <w:rFonts w:cs="Arial"/>
                <w:b/>
              </w:rPr>
            </w:pPr>
            <w:r w:rsidRPr="004A16E2">
              <w:rPr>
                <w:rFonts w:cs="Arial"/>
                <w:b/>
              </w:rPr>
              <w:t>HOME</w:t>
            </w:r>
          </w:p>
        </w:tc>
        <w:tc>
          <w:tcPr>
            <w:tcW w:w="1525" w:type="dxa"/>
          </w:tcPr>
          <w:p w14:paraId="6BE0FA8E" w14:textId="77777777" w:rsidR="00564ADD" w:rsidRDefault="00564ADD" w:rsidP="009D1558">
            <w:pPr>
              <w:widowControl w:val="0"/>
              <w:spacing w:after="0" w:line="240" w:lineRule="auto"/>
              <w:rPr>
                <w:rFonts w:cs="Arial"/>
              </w:rPr>
            </w:pPr>
          </w:p>
        </w:tc>
        <w:tc>
          <w:tcPr>
            <w:tcW w:w="1145" w:type="dxa"/>
          </w:tcPr>
          <w:p w14:paraId="30F90B2E" w14:textId="77777777" w:rsidR="00564ADD" w:rsidRDefault="00564ADD" w:rsidP="009D1558">
            <w:pPr>
              <w:widowControl w:val="0"/>
              <w:spacing w:after="0" w:line="240" w:lineRule="auto"/>
              <w:rPr>
                <w:rFonts w:cs="Arial"/>
              </w:rPr>
            </w:pPr>
          </w:p>
        </w:tc>
        <w:tc>
          <w:tcPr>
            <w:tcW w:w="1256" w:type="dxa"/>
          </w:tcPr>
          <w:p w14:paraId="5D2EA546" w14:textId="77777777" w:rsidR="00564ADD" w:rsidRDefault="00564ADD" w:rsidP="009D1558">
            <w:pPr>
              <w:widowControl w:val="0"/>
              <w:spacing w:after="0" w:line="240" w:lineRule="auto"/>
              <w:rPr>
                <w:rFonts w:cs="Arial"/>
              </w:rPr>
            </w:pPr>
          </w:p>
        </w:tc>
        <w:tc>
          <w:tcPr>
            <w:tcW w:w="837" w:type="dxa"/>
          </w:tcPr>
          <w:p w14:paraId="618745CB" w14:textId="77777777" w:rsidR="00564ADD" w:rsidRDefault="00564ADD" w:rsidP="009D1558">
            <w:pPr>
              <w:widowControl w:val="0"/>
              <w:spacing w:after="0" w:line="240" w:lineRule="auto"/>
              <w:rPr>
                <w:rFonts w:cs="Arial"/>
              </w:rPr>
            </w:pPr>
          </w:p>
        </w:tc>
        <w:tc>
          <w:tcPr>
            <w:tcW w:w="1549" w:type="dxa"/>
          </w:tcPr>
          <w:p w14:paraId="1D8D7502" w14:textId="77777777" w:rsidR="00564ADD" w:rsidRDefault="00564ADD" w:rsidP="009D1558">
            <w:pPr>
              <w:widowControl w:val="0"/>
              <w:spacing w:after="0" w:line="240" w:lineRule="auto"/>
              <w:rPr>
                <w:rFonts w:cs="Arial"/>
              </w:rPr>
            </w:pPr>
          </w:p>
        </w:tc>
        <w:tc>
          <w:tcPr>
            <w:tcW w:w="1358" w:type="dxa"/>
          </w:tcPr>
          <w:p w14:paraId="56CE95A8" w14:textId="77777777" w:rsidR="00564ADD" w:rsidRDefault="00564ADD" w:rsidP="009D1558">
            <w:pPr>
              <w:widowControl w:val="0"/>
              <w:spacing w:after="0" w:line="240" w:lineRule="auto"/>
              <w:rPr>
                <w:rFonts w:cs="Arial"/>
              </w:rPr>
            </w:pPr>
            <w:r>
              <w:rPr>
                <w:rFonts w:cs="Arial"/>
              </w:rPr>
              <w:t>16.3</w:t>
            </w:r>
          </w:p>
        </w:tc>
        <w:tc>
          <w:tcPr>
            <w:tcW w:w="1150" w:type="dxa"/>
          </w:tcPr>
          <w:p w14:paraId="4E503642" w14:textId="77777777" w:rsidR="00564ADD" w:rsidRDefault="00564ADD" w:rsidP="009D1558">
            <w:pPr>
              <w:widowControl w:val="0"/>
              <w:spacing w:after="0" w:line="240" w:lineRule="auto"/>
              <w:rPr>
                <w:rFonts w:cs="Arial"/>
              </w:rPr>
            </w:pPr>
            <w:r>
              <w:rPr>
                <w:rFonts w:cs="Arial"/>
              </w:rPr>
              <w:t>37.3</w:t>
            </w:r>
          </w:p>
        </w:tc>
        <w:tc>
          <w:tcPr>
            <w:tcW w:w="1427" w:type="dxa"/>
          </w:tcPr>
          <w:p w14:paraId="763E4EDA" w14:textId="77777777" w:rsidR="00564ADD" w:rsidRDefault="00564ADD" w:rsidP="009D1558">
            <w:pPr>
              <w:widowControl w:val="0"/>
              <w:spacing w:after="0" w:line="240" w:lineRule="auto"/>
              <w:rPr>
                <w:rFonts w:cs="Arial"/>
              </w:rPr>
            </w:pPr>
            <w:r>
              <w:rPr>
                <w:rFonts w:cs="Arial"/>
              </w:rPr>
              <w:t>46.4</w:t>
            </w:r>
          </w:p>
        </w:tc>
        <w:tc>
          <w:tcPr>
            <w:tcW w:w="941" w:type="dxa"/>
          </w:tcPr>
          <w:p w14:paraId="4F63E8F8" w14:textId="77777777" w:rsidR="00564ADD" w:rsidRDefault="00564ADD" w:rsidP="009D1558">
            <w:pPr>
              <w:widowControl w:val="0"/>
              <w:spacing w:after="0" w:line="240" w:lineRule="auto"/>
              <w:rPr>
                <w:rFonts w:cs="Arial"/>
              </w:rPr>
            </w:pPr>
          </w:p>
        </w:tc>
        <w:tc>
          <w:tcPr>
            <w:tcW w:w="1207" w:type="dxa"/>
          </w:tcPr>
          <w:p w14:paraId="46ED61F6" w14:textId="77777777" w:rsidR="00564ADD" w:rsidRDefault="00564ADD" w:rsidP="009D1558">
            <w:pPr>
              <w:widowControl w:val="0"/>
              <w:spacing w:after="0" w:line="240" w:lineRule="auto"/>
              <w:rPr>
                <w:rFonts w:cs="Arial"/>
              </w:rPr>
            </w:pPr>
          </w:p>
        </w:tc>
        <w:tc>
          <w:tcPr>
            <w:tcW w:w="1488" w:type="dxa"/>
          </w:tcPr>
          <w:p w14:paraId="1BD3FB7A" w14:textId="77777777" w:rsidR="00564ADD" w:rsidRDefault="00564ADD" w:rsidP="009D1558">
            <w:pPr>
              <w:widowControl w:val="0"/>
              <w:spacing w:after="0" w:line="240" w:lineRule="auto"/>
              <w:rPr>
                <w:rFonts w:cs="Arial"/>
              </w:rPr>
            </w:pPr>
          </w:p>
        </w:tc>
      </w:tr>
      <w:tr w:rsidR="00564ADD" w14:paraId="0613D672" w14:textId="77777777" w:rsidTr="009D1558">
        <w:trPr>
          <w:cantSplit/>
          <w:trHeight w:val="264"/>
          <w:tblHeader/>
        </w:trPr>
        <w:tc>
          <w:tcPr>
            <w:tcW w:w="984" w:type="dxa"/>
          </w:tcPr>
          <w:p w14:paraId="2FC38AE2" w14:textId="77777777" w:rsidR="00564ADD" w:rsidRPr="004A16E2" w:rsidRDefault="00564ADD" w:rsidP="009D1558">
            <w:pPr>
              <w:widowControl w:val="0"/>
              <w:spacing w:after="0" w:line="240" w:lineRule="auto"/>
              <w:rPr>
                <w:rFonts w:cs="Arial"/>
                <w:b/>
              </w:rPr>
            </w:pPr>
            <w:r w:rsidRPr="004A16E2">
              <w:rPr>
                <w:rFonts w:cs="Arial"/>
                <w:b/>
              </w:rPr>
              <w:t>HOPWA</w:t>
            </w:r>
          </w:p>
        </w:tc>
        <w:tc>
          <w:tcPr>
            <w:tcW w:w="1525" w:type="dxa"/>
          </w:tcPr>
          <w:p w14:paraId="7BB3CC4D" w14:textId="77777777" w:rsidR="00564ADD" w:rsidRDefault="00564ADD" w:rsidP="009D1558">
            <w:pPr>
              <w:widowControl w:val="0"/>
              <w:spacing w:after="0" w:line="240" w:lineRule="auto"/>
              <w:rPr>
                <w:rFonts w:cs="Arial"/>
              </w:rPr>
            </w:pPr>
          </w:p>
        </w:tc>
        <w:tc>
          <w:tcPr>
            <w:tcW w:w="1145" w:type="dxa"/>
          </w:tcPr>
          <w:p w14:paraId="3BB19BC3" w14:textId="77777777" w:rsidR="00564ADD" w:rsidRDefault="00564ADD" w:rsidP="009D1558">
            <w:pPr>
              <w:widowControl w:val="0"/>
              <w:spacing w:after="0" w:line="240" w:lineRule="auto"/>
              <w:rPr>
                <w:rFonts w:cs="Arial"/>
              </w:rPr>
            </w:pPr>
          </w:p>
        </w:tc>
        <w:tc>
          <w:tcPr>
            <w:tcW w:w="1256" w:type="dxa"/>
          </w:tcPr>
          <w:p w14:paraId="27B14FFF" w14:textId="77777777" w:rsidR="00564ADD" w:rsidRDefault="00564ADD" w:rsidP="009D1558">
            <w:pPr>
              <w:widowControl w:val="0"/>
              <w:spacing w:after="0" w:line="240" w:lineRule="auto"/>
              <w:rPr>
                <w:rFonts w:cs="Arial"/>
              </w:rPr>
            </w:pPr>
          </w:p>
        </w:tc>
        <w:tc>
          <w:tcPr>
            <w:tcW w:w="837" w:type="dxa"/>
          </w:tcPr>
          <w:p w14:paraId="5856C067" w14:textId="77777777" w:rsidR="00564ADD" w:rsidRDefault="00564ADD" w:rsidP="009D1558">
            <w:pPr>
              <w:widowControl w:val="0"/>
              <w:spacing w:after="0" w:line="240" w:lineRule="auto"/>
              <w:rPr>
                <w:rFonts w:cs="Arial"/>
              </w:rPr>
            </w:pPr>
          </w:p>
        </w:tc>
        <w:tc>
          <w:tcPr>
            <w:tcW w:w="1549" w:type="dxa"/>
          </w:tcPr>
          <w:p w14:paraId="1320164C" w14:textId="77777777" w:rsidR="00564ADD" w:rsidRDefault="00564ADD" w:rsidP="009D1558">
            <w:pPr>
              <w:widowControl w:val="0"/>
              <w:spacing w:after="0" w:line="240" w:lineRule="auto"/>
              <w:rPr>
                <w:rFonts w:cs="Arial"/>
              </w:rPr>
            </w:pPr>
          </w:p>
        </w:tc>
        <w:tc>
          <w:tcPr>
            <w:tcW w:w="1358" w:type="dxa"/>
          </w:tcPr>
          <w:p w14:paraId="51042425" w14:textId="77777777" w:rsidR="00564ADD" w:rsidRDefault="00564ADD" w:rsidP="009D1558">
            <w:pPr>
              <w:widowControl w:val="0"/>
              <w:spacing w:after="0" w:line="240" w:lineRule="auto"/>
              <w:rPr>
                <w:rFonts w:cs="Arial"/>
              </w:rPr>
            </w:pPr>
          </w:p>
        </w:tc>
        <w:tc>
          <w:tcPr>
            <w:tcW w:w="1150" w:type="dxa"/>
          </w:tcPr>
          <w:p w14:paraId="26EB84AC" w14:textId="77777777" w:rsidR="00564ADD" w:rsidRDefault="00564ADD" w:rsidP="009D1558">
            <w:pPr>
              <w:widowControl w:val="0"/>
              <w:spacing w:after="0" w:line="240" w:lineRule="auto"/>
              <w:rPr>
                <w:rFonts w:cs="Arial"/>
              </w:rPr>
            </w:pPr>
          </w:p>
        </w:tc>
        <w:tc>
          <w:tcPr>
            <w:tcW w:w="1427" w:type="dxa"/>
          </w:tcPr>
          <w:p w14:paraId="344D7D2C" w14:textId="77777777" w:rsidR="00564ADD" w:rsidRDefault="00564ADD" w:rsidP="009D1558">
            <w:pPr>
              <w:widowControl w:val="0"/>
              <w:spacing w:after="0" w:line="240" w:lineRule="auto"/>
              <w:rPr>
                <w:rFonts w:cs="Arial"/>
              </w:rPr>
            </w:pPr>
          </w:p>
        </w:tc>
        <w:tc>
          <w:tcPr>
            <w:tcW w:w="941" w:type="dxa"/>
          </w:tcPr>
          <w:p w14:paraId="1BC7CDCA" w14:textId="77777777" w:rsidR="00564ADD" w:rsidRDefault="00564ADD" w:rsidP="009D1558">
            <w:pPr>
              <w:widowControl w:val="0"/>
              <w:spacing w:after="0" w:line="240" w:lineRule="auto"/>
              <w:rPr>
                <w:rFonts w:cs="Arial"/>
              </w:rPr>
            </w:pPr>
          </w:p>
        </w:tc>
        <w:tc>
          <w:tcPr>
            <w:tcW w:w="1207" w:type="dxa"/>
          </w:tcPr>
          <w:p w14:paraId="5B2E78D3" w14:textId="77777777" w:rsidR="00564ADD" w:rsidRDefault="00564ADD" w:rsidP="009D1558">
            <w:pPr>
              <w:widowControl w:val="0"/>
              <w:spacing w:after="0" w:line="240" w:lineRule="auto"/>
              <w:rPr>
                <w:rFonts w:cs="Arial"/>
              </w:rPr>
            </w:pPr>
          </w:p>
        </w:tc>
        <w:tc>
          <w:tcPr>
            <w:tcW w:w="1488" w:type="dxa"/>
          </w:tcPr>
          <w:p w14:paraId="20DE2A92" w14:textId="77777777" w:rsidR="00564ADD" w:rsidRDefault="00564ADD" w:rsidP="009D1558">
            <w:pPr>
              <w:widowControl w:val="0"/>
              <w:spacing w:after="0" w:line="240" w:lineRule="auto"/>
              <w:rPr>
                <w:rFonts w:cs="Arial"/>
              </w:rPr>
            </w:pPr>
            <w:r>
              <w:rPr>
                <w:rFonts w:cs="Arial"/>
              </w:rPr>
              <w:t>100</w:t>
            </w:r>
          </w:p>
        </w:tc>
      </w:tr>
      <w:tr w:rsidR="00564ADD" w14:paraId="5BCD2893" w14:textId="77777777" w:rsidTr="009D1558">
        <w:trPr>
          <w:cantSplit/>
          <w:trHeight w:val="264"/>
          <w:tblHeader/>
        </w:trPr>
        <w:tc>
          <w:tcPr>
            <w:tcW w:w="984" w:type="dxa"/>
          </w:tcPr>
          <w:p w14:paraId="421677C1" w14:textId="77777777" w:rsidR="00564ADD" w:rsidRPr="004A16E2" w:rsidRDefault="00564ADD" w:rsidP="009D1558">
            <w:pPr>
              <w:widowControl w:val="0"/>
              <w:spacing w:after="0" w:line="240" w:lineRule="auto"/>
              <w:rPr>
                <w:rFonts w:cs="Arial"/>
                <w:b/>
              </w:rPr>
            </w:pPr>
            <w:r w:rsidRPr="004A16E2">
              <w:rPr>
                <w:rFonts w:cs="Arial"/>
                <w:b/>
              </w:rPr>
              <w:t>ESG</w:t>
            </w:r>
          </w:p>
        </w:tc>
        <w:tc>
          <w:tcPr>
            <w:tcW w:w="1525" w:type="dxa"/>
          </w:tcPr>
          <w:p w14:paraId="72FD049F" w14:textId="77777777" w:rsidR="00564ADD" w:rsidRDefault="00564ADD" w:rsidP="009D1558">
            <w:pPr>
              <w:widowControl w:val="0"/>
              <w:spacing w:after="0" w:line="240" w:lineRule="auto"/>
              <w:ind w:firstLine="720"/>
              <w:rPr>
                <w:rFonts w:cs="Arial"/>
              </w:rPr>
            </w:pPr>
          </w:p>
        </w:tc>
        <w:tc>
          <w:tcPr>
            <w:tcW w:w="1145" w:type="dxa"/>
          </w:tcPr>
          <w:p w14:paraId="6FA73BF9" w14:textId="77777777" w:rsidR="00564ADD" w:rsidRDefault="00564ADD" w:rsidP="009D1558">
            <w:pPr>
              <w:widowControl w:val="0"/>
              <w:spacing w:after="0" w:line="240" w:lineRule="auto"/>
              <w:rPr>
                <w:rFonts w:cs="Arial"/>
              </w:rPr>
            </w:pPr>
          </w:p>
        </w:tc>
        <w:tc>
          <w:tcPr>
            <w:tcW w:w="1256" w:type="dxa"/>
          </w:tcPr>
          <w:p w14:paraId="7DB4B52A" w14:textId="77777777" w:rsidR="00564ADD" w:rsidRDefault="00564ADD" w:rsidP="009D1558">
            <w:pPr>
              <w:widowControl w:val="0"/>
              <w:spacing w:after="0" w:line="240" w:lineRule="auto"/>
              <w:rPr>
                <w:rFonts w:cs="Arial"/>
              </w:rPr>
            </w:pPr>
          </w:p>
        </w:tc>
        <w:tc>
          <w:tcPr>
            <w:tcW w:w="837" w:type="dxa"/>
          </w:tcPr>
          <w:p w14:paraId="18971A40" w14:textId="77777777" w:rsidR="00564ADD" w:rsidRDefault="00564ADD" w:rsidP="009D1558">
            <w:pPr>
              <w:widowControl w:val="0"/>
              <w:spacing w:after="0" w:line="240" w:lineRule="auto"/>
              <w:rPr>
                <w:rFonts w:cs="Arial"/>
              </w:rPr>
            </w:pPr>
          </w:p>
        </w:tc>
        <w:tc>
          <w:tcPr>
            <w:tcW w:w="1549" w:type="dxa"/>
          </w:tcPr>
          <w:p w14:paraId="77D6C4D1" w14:textId="77777777" w:rsidR="00564ADD" w:rsidRDefault="00564ADD" w:rsidP="009D1558">
            <w:pPr>
              <w:widowControl w:val="0"/>
              <w:spacing w:after="0" w:line="240" w:lineRule="auto"/>
              <w:rPr>
                <w:rFonts w:cs="Arial"/>
              </w:rPr>
            </w:pPr>
          </w:p>
        </w:tc>
        <w:tc>
          <w:tcPr>
            <w:tcW w:w="1358" w:type="dxa"/>
          </w:tcPr>
          <w:p w14:paraId="05496F47" w14:textId="77777777" w:rsidR="00564ADD" w:rsidRDefault="00564ADD" w:rsidP="009D1558">
            <w:pPr>
              <w:widowControl w:val="0"/>
              <w:spacing w:after="0" w:line="240" w:lineRule="auto"/>
              <w:rPr>
                <w:rFonts w:cs="Arial"/>
              </w:rPr>
            </w:pPr>
          </w:p>
        </w:tc>
        <w:tc>
          <w:tcPr>
            <w:tcW w:w="1150" w:type="dxa"/>
          </w:tcPr>
          <w:p w14:paraId="6D3EB940" w14:textId="77777777" w:rsidR="00564ADD" w:rsidRDefault="00564ADD" w:rsidP="009D1558">
            <w:pPr>
              <w:widowControl w:val="0"/>
              <w:spacing w:after="0" w:line="240" w:lineRule="auto"/>
              <w:rPr>
                <w:rFonts w:cs="Arial"/>
              </w:rPr>
            </w:pPr>
          </w:p>
        </w:tc>
        <w:tc>
          <w:tcPr>
            <w:tcW w:w="1427" w:type="dxa"/>
          </w:tcPr>
          <w:p w14:paraId="1A55D0E0" w14:textId="77777777" w:rsidR="00564ADD" w:rsidRDefault="00564ADD" w:rsidP="009D1558">
            <w:pPr>
              <w:widowControl w:val="0"/>
              <w:spacing w:after="0" w:line="240" w:lineRule="auto"/>
              <w:rPr>
                <w:rFonts w:cs="Arial"/>
              </w:rPr>
            </w:pPr>
          </w:p>
        </w:tc>
        <w:tc>
          <w:tcPr>
            <w:tcW w:w="941" w:type="dxa"/>
          </w:tcPr>
          <w:p w14:paraId="693AE854" w14:textId="77777777" w:rsidR="00564ADD" w:rsidRDefault="00564ADD" w:rsidP="009D1558">
            <w:pPr>
              <w:widowControl w:val="0"/>
              <w:spacing w:after="0" w:line="240" w:lineRule="auto"/>
              <w:rPr>
                <w:rFonts w:cs="Arial"/>
              </w:rPr>
            </w:pPr>
          </w:p>
        </w:tc>
        <w:tc>
          <w:tcPr>
            <w:tcW w:w="1207" w:type="dxa"/>
          </w:tcPr>
          <w:p w14:paraId="13EFDF3F" w14:textId="77777777" w:rsidR="00564ADD" w:rsidRDefault="00564ADD" w:rsidP="009D1558">
            <w:pPr>
              <w:widowControl w:val="0"/>
              <w:spacing w:after="0" w:line="240" w:lineRule="auto"/>
              <w:rPr>
                <w:rFonts w:cs="Arial"/>
              </w:rPr>
            </w:pPr>
            <w:r>
              <w:rPr>
                <w:rFonts w:cs="Arial"/>
              </w:rPr>
              <w:t>100</w:t>
            </w:r>
          </w:p>
        </w:tc>
        <w:tc>
          <w:tcPr>
            <w:tcW w:w="1488" w:type="dxa"/>
          </w:tcPr>
          <w:p w14:paraId="7454299C" w14:textId="77777777" w:rsidR="00564ADD" w:rsidRDefault="00564ADD" w:rsidP="009D1558">
            <w:pPr>
              <w:widowControl w:val="0"/>
              <w:spacing w:after="0" w:line="240" w:lineRule="auto"/>
              <w:rPr>
                <w:rFonts w:cs="Arial"/>
              </w:rPr>
            </w:pPr>
          </w:p>
        </w:tc>
      </w:tr>
      <w:tr w:rsidR="00564ADD" w14:paraId="654CC323" w14:textId="77777777" w:rsidTr="009D1558">
        <w:trPr>
          <w:cantSplit/>
          <w:trHeight w:val="264"/>
          <w:tblHeader/>
        </w:trPr>
        <w:tc>
          <w:tcPr>
            <w:tcW w:w="984" w:type="dxa"/>
          </w:tcPr>
          <w:p w14:paraId="689A869C" w14:textId="77777777" w:rsidR="00564ADD" w:rsidRPr="004A16E2" w:rsidRDefault="00564ADD" w:rsidP="009D1558">
            <w:pPr>
              <w:widowControl w:val="0"/>
              <w:spacing w:after="0" w:line="240" w:lineRule="auto"/>
              <w:rPr>
                <w:rFonts w:cs="Arial"/>
                <w:b/>
              </w:rPr>
            </w:pPr>
            <w:r w:rsidRPr="004A16E2">
              <w:rPr>
                <w:rFonts w:cs="Arial"/>
                <w:b/>
              </w:rPr>
              <w:t>HTF</w:t>
            </w:r>
          </w:p>
        </w:tc>
        <w:tc>
          <w:tcPr>
            <w:tcW w:w="1525" w:type="dxa"/>
          </w:tcPr>
          <w:p w14:paraId="0B2B0E81" w14:textId="77777777" w:rsidR="00564ADD" w:rsidRDefault="00564ADD" w:rsidP="009D1558">
            <w:pPr>
              <w:widowControl w:val="0"/>
              <w:spacing w:after="0" w:line="240" w:lineRule="auto"/>
              <w:ind w:firstLine="720"/>
              <w:rPr>
                <w:rFonts w:cs="Arial"/>
              </w:rPr>
            </w:pPr>
          </w:p>
        </w:tc>
        <w:tc>
          <w:tcPr>
            <w:tcW w:w="1145" w:type="dxa"/>
          </w:tcPr>
          <w:p w14:paraId="0DD819B2" w14:textId="77777777" w:rsidR="00564ADD" w:rsidRDefault="00564ADD" w:rsidP="009D1558">
            <w:pPr>
              <w:widowControl w:val="0"/>
              <w:spacing w:after="0" w:line="240" w:lineRule="auto"/>
              <w:rPr>
                <w:rFonts w:cs="Arial"/>
              </w:rPr>
            </w:pPr>
          </w:p>
        </w:tc>
        <w:tc>
          <w:tcPr>
            <w:tcW w:w="1256" w:type="dxa"/>
          </w:tcPr>
          <w:p w14:paraId="365E894C" w14:textId="77777777" w:rsidR="00564ADD" w:rsidRDefault="00564ADD" w:rsidP="009D1558">
            <w:pPr>
              <w:widowControl w:val="0"/>
              <w:spacing w:after="0" w:line="240" w:lineRule="auto"/>
              <w:rPr>
                <w:rFonts w:cs="Arial"/>
              </w:rPr>
            </w:pPr>
          </w:p>
        </w:tc>
        <w:tc>
          <w:tcPr>
            <w:tcW w:w="837" w:type="dxa"/>
          </w:tcPr>
          <w:p w14:paraId="63C5F4F6" w14:textId="77777777" w:rsidR="00564ADD" w:rsidRDefault="00564ADD" w:rsidP="009D1558">
            <w:pPr>
              <w:widowControl w:val="0"/>
              <w:spacing w:after="0" w:line="240" w:lineRule="auto"/>
              <w:rPr>
                <w:rFonts w:cs="Arial"/>
              </w:rPr>
            </w:pPr>
          </w:p>
        </w:tc>
        <w:tc>
          <w:tcPr>
            <w:tcW w:w="1549" w:type="dxa"/>
          </w:tcPr>
          <w:p w14:paraId="3C535EBA" w14:textId="77777777" w:rsidR="00564ADD" w:rsidRDefault="00564ADD" w:rsidP="009D1558">
            <w:pPr>
              <w:widowControl w:val="0"/>
              <w:spacing w:after="0" w:line="240" w:lineRule="auto"/>
              <w:rPr>
                <w:rFonts w:cs="Arial"/>
              </w:rPr>
            </w:pPr>
          </w:p>
        </w:tc>
        <w:tc>
          <w:tcPr>
            <w:tcW w:w="1358" w:type="dxa"/>
          </w:tcPr>
          <w:p w14:paraId="6565EBD8" w14:textId="77777777" w:rsidR="00564ADD" w:rsidRDefault="00564ADD" w:rsidP="009D1558">
            <w:pPr>
              <w:widowControl w:val="0"/>
              <w:spacing w:after="0" w:line="240" w:lineRule="auto"/>
              <w:rPr>
                <w:rFonts w:cs="Arial"/>
              </w:rPr>
            </w:pPr>
          </w:p>
        </w:tc>
        <w:tc>
          <w:tcPr>
            <w:tcW w:w="1150" w:type="dxa"/>
          </w:tcPr>
          <w:p w14:paraId="1215BB5A" w14:textId="77777777" w:rsidR="00564ADD" w:rsidRDefault="00564ADD" w:rsidP="009D1558">
            <w:pPr>
              <w:widowControl w:val="0"/>
              <w:spacing w:after="0" w:line="240" w:lineRule="auto"/>
              <w:rPr>
                <w:rFonts w:cs="Arial"/>
              </w:rPr>
            </w:pPr>
          </w:p>
        </w:tc>
        <w:tc>
          <w:tcPr>
            <w:tcW w:w="1427" w:type="dxa"/>
          </w:tcPr>
          <w:p w14:paraId="66C1252A" w14:textId="77777777" w:rsidR="00564ADD" w:rsidRDefault="00564ADD" w:rsidP="009D1558">
            <w:pPr>
              <w:widowControl w:val="0"/>
              <w:spacing w:after="0" w:line="240" w:lineRule="auto"/>
              <w:rPr>
                <w:rFonts w:cs="Arial"/>
              </w:rPr>
            </w:pPr>
          </w:p>
        </w:tc>
        <w:tc>
          <w:tcPr>
            <w:tcW w:w="941" w:type="dxa"/>
          </w:tcPr>
          <w:p w14:paraId="1ABBA250" w14:textId="77777777" w:rsidR="00564ADD" w:rsidRDefault="00564ADD" w:rsidP="009D1558">
            <w:pPr>
              <w:widowControl w:val="0"/>
              <w:spacing w:after="0" w:line="240" w:lineRule="auto"/>
              <w:rPr>
                <w:rFonts w:cs="Arial"/>
              </w:rPr>
            </w:pPr>
            <w:r>
              <w:rPr>
                <w:rFonts w:cs="Arial"/>
              </w:rPr>
              <w:t>100</w:t>
            </w:r>
          </w:p>
        </w:tc>
        <w:tc>
          <w:tcPr>
            <w:tcW w:w="1207" w:type="dxa"/>
          </w:tcPr>
          <w:p w14:paraId="2B4E99AD" w14:textId="77777777" w:rsidR="00564ADD" w:rsidRDefault="00564ADD" w:rsidP="009D1558">
            <w:pPr>
              <w:widowControl w:val="0"/>
              <w:spacing w:after="0" w:line="240" w:lineRule="auto"/>
              <w:rPr>
                <w:rFonts w:cs="Arial"/>
              </w:rPr>
            </w:pPr>
          </w:p>
        </w:tc>
        <w:tc>
          <w:tcPr>
            <w:tcW w:w="1488" w:type="dxa"/>
          </w:tcPr>
          <w:p w14:paraId="016A47AF" w14:textId="77777777" w:rsidR="00564ADD" w:rsidRDefault="00564ADD" w:rsidP="009D1558">
            <w:pPr>
              <w:widowControl w:val="0"/>
              <w:spacing w:after="0" w:line="240" w:lineRule="auto"/>
              <w:rPr>
                <w:rFonts w:cs="Arial"/>
              </w:rPr>
            </w:pPr>
          </w:p>
        </w:tc>
      </w:tr>
    </w:tbl>
    <w:p w14:paraId="4CE70941" w14:textId="594E654C" w:rsidR="00564ADD" w:rsidRDefault="00564ADD" w:rsidP="00564AD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5</w:t>
      </w:r>
      <w:r>
        <w:rPr>
          <w:rFonts w:asciiTheme="minorHAnsi" w:hAnsiTheme="minorHAnsi"/>
        </w:rPr>
        <w:fldChar w:fldCharType="end"/>
      </w:r>
      <w:r>
        <w:rPr>
          <w:rFonts w:asciiTheme="minorHAnsi" w:hAnsiTheme="minorHAnsi"/>
        </w:rPr>
        <w:t xml:space="preserve"> – Funding Allocation Priorities</w:t>
      </w:r>
    </w:p>
    <w:p w14:paraId="565AEB5D" w14:textId="77777777" w:rsidR="00564ADD" w:rsidRDefault="00564ADD" w:rsidP="00564ADD">
      <w:pPr>
        <w:spacing w:after="0" w:line="240" w:lineRule="auto"/>
        <w:rPr>
          <w:b/>
          <w:sz w:val="24"/>
          <w:szCs w:val="24"/>
        </w:rPr>
      </w:pPr>
    </w:p>
    <w:p w14:paraId="79042613" w14:textId="77777777" w:rsidR="00564ADD" w:rsidRDefault="00564ADD" w:rsidP="00564ADD">
      <w:pPr>
        <w:widowControl w:val="0"/>
        <w:rPr>
          <w:b/>
          <w:sz w:val="24"/>
          <w:szCs w:val="24"/>
        </w:rPr>
      </w:pPr>
      <w:r>
        <w:rPr>
          <w:b/>
          <w:sz w:val="24"/>
          <w:szCs w:val="24"/>
        </w:rPr>
        <w:t>Reason for Allocation Priorities</w:t>
      </w:r>
    </w:p>
    <w:p w14:paraId="2F359832" w14:textId="77777777" w:rsidR="00564ADD" w:rsidRDefault="00564ADD" w:rsidP="00564ADD">
      <w:pPr>
        <w:widowControl w:val="0"/>
        <w:rPr>
          <w:b/>
          <w:sz w:val="24"/>
          <w:szCs w:val="24"/>
        </w:rPr>
      </w:pPr>
      <w:r>
        <w:rPr>
          <w:b/>
          <w:sz w:val="24"/>
          <w:szCs w:val="24"/>
        </w:rPr>
        <w:t>How will the proposed distribution of funds will address the priority needs and specific objectives described in the Consolidated Plan?</w:t>
      </w:r>
    </w:p>
    <w:p w14:paraId="361C8238" w14:textId="77777777" w:rsidR="00564ADD" w:rsidRDefault="00564ADD" w:rsidP="00564ADD">
      <w:pPr>
        <w:pStyle w:val="Heading2"/>
        <w:keepNext w:val="0"/>
        <w:pageBreakBefore/>
        <w:rPr>
          <w:rFonts w:ascii="Calibri" w:hAnsi="Calibri"/>
          <w:i w:val="0"/>
        </w:rPr>
      </w:pPr>
      <w:bookmarkStart w:id="62" w:name="_Toc524603045"/>
      <w:r>
        <w:rPr>
          <w:rFonts w:ascii="Calibri" w:hAnsi="Calibri"/>
          <w:i w:val="0"/>
        </w:rPr>
        <w:t>AP-30 Methods of Distribution – 91.320(d)&amp;(k)</w:t>
      </w:r>
      <w:bookmarkEnd w:id="62"/>
    </w:p>
    <w:p w14:paraId="7EBC5FD4" w14:textId="77777777" w:rsidR="00564ADD" w:rsidRDefault="00564ADD" w:rsidP="00564ADD">
      <w:pPr>
        <w:widowControl w:val="0"/>
        <w:spacing w:line="204" w:lineRule="auto"/>
        <w:rPr>
          <w:b/>
          <w:sz w:val="24"/>
          <w:szCs w:val="24"/>
        </w:rPr>
      </w:pPr>
      <w:r>
        <w:rPr>
          <w:b/>
          <w:sz w:val="24"/>
          <w:szCs w:val="24"/>
        </w:rPr>
        <w:t xml:space="preserve">Introduction: </w:t>
      </w:r>
    </w:p>
    <w:p w14:paraId="1BB53EC8" w14:textId="77777777" w:rsidR="00564ADD" w:rsidRDefault="00564ADD" w:rsidP="00564ADD">
      <w:pPr>
        <w:widowControl w:val="0"/>
        <w:rPr>
          <w:rFonts w:cs="Arial"/>
          <w:b/>
          <w:sz w:val="24"/>
          <w:szCs w:val="24"/>
        </w:rPr>
      </w:pPr>
      <w:r>
        <w:rPr>
          <w:rFonts w:cs="Arial"/>
          <w:b/>
          <w:sz w:val="24"/>
          <w:szCs w:val="24"/>
        </w:rPr>
        <w:t>Distribution Methods</w:t>
      </w:r>
    </w:p>
    <w:p w14:paraId="13362E63" w14:textId="2CDFC73D" w:rsidR="00564ADD" w:rsidRDefault="00564ADD" w:rsidP="00564AD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6</w:t>
      </w:r>
      <w:r>
        <w:rPr>
          <w:rFonts w:asciiTheme="minorHAnsi" w:hAnsiTheme="minorHAnsi"/>
        </w:rPr>
        <w:fldChar w:fldCharType="end"/>
      </w:r>
      <w:r>
        <w:rPr>
          <w:rFonts w:asciiTheme="minorHAnsi" w:hAnsiTheme="minorHAnsi"/>
        </w:rPr>
        <w:t xml:space="preserve"> - Distribution Methods by State Program</w:t>
      </w:r>
    </w:p>
    <w:p w14:paraId="209E5A7E" w14:textId="77777777" w:rsidR="00564ADD" w:rsidRDefault="00564ADD" w:rsidP="00564ADD">
      <w:pPr>
        <w:spacing w:after="0" w:line="240" w:lineRule="auto"/>
        <w:rPr>
          <w:rFonts w:asciiTheme="minorHAnsi" w:hAnsiTheme="minorHAnsi"/>
          <w:b/>
          <w:sz w:val="24"/>
          <w:szCs w:val="24"/>
        </w:rPr>
      </w:pPr>
    </w:p>
    <w:p w14:paraId="76025508" w14:textId="77777777" w:rsidR="00564ADD" w:rsidRDefault="00564ADD" w:rsidP="00564ADD">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050"/>
        <w:gridCol w:w="9460"/>
      </w:tblGrid>
      <w:tr w:rsidR="00564ADD" w14:paraId="0B02D9A1" w14:textId="77777777" w:rsidTr="009D1558">
        <w:trPr>
          <w:cantSplit/>
        </w:trPr>
        <w:tc>
          <w:tcPr>
            <w:tcW w:w="0" w:type="auto"/>
            <w:vMerge w:val="restart"/>
          </w:tcPr>
          <w:p w14:paraId="52851C20" w14:textId="77777777" w:rsidR="00564ADD" w:rsidRDefault="00564ADD" w:rsidP="009D1558">
            <w:r>
              <w:rPr>
                <w:b/>
              </w:rPr>
              <w:t>1</w:t>
            </w:r>
          </w:p>
        </w:tc>
        <w:tc>
          <w:tcPr>
            <w:tcW w:w="0" w:type="auto"/>
          </w:tcPr>
          <w:p w14:paraId="5794DA28"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048204E8" w14:textId="77777777" w:rsidR="00564ADD" w:rsidRDefault="00564ADD" w:rsidP="009D1558">
            <w:pPr>
              <w:spacing w:before="100" w:after="0"/>
            </w:pPr>
            <w:r>
              <w:rPr>
                <w:color w:val="000000"/>
              </w:rPr>
              <w:t>Water and Sewer Improvements</w:t>
            </w:r>
          </w:p>
        </w:tc>
      </w:tr>
      <w:tr w:rsidR="00564ADD" w14:paraId="0FC63EC9" w14:textId="77777777" w:rsidTr="009D1558">
        <w:trPr>
          <w:cantSplit/>
        </w:trPr>
        <w:tc>
          <w:tcPr>
            <w:tcW w:w="0" w:type="auto"/>
            <w:vMerge/>
          </w:tcPr>
          <w:p w14:paraId="0763A273" w14:textId="77777777" w:rsidR="00564ADD" w:rsidRDefault="00564ADD" w:rsidP="009D1558"/>
        </w:tc>
        <w:tc>
          <w:tcPr>
            <w:tcW w:w="0" w:type="auto"/>
          </w:tcPr>
          <w:p w14:paraId="145BC8A8"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02D9552" w14:textId="77777777" w:rsidR="00564ADD" w:rsidRDefault="00564ADD" w:rsidP="009D1558">
            <w:pPr>
              <w:spacing w:before="100" w:after="0"/>
            </w:pPr>
            <w:r>
              <w:rPr>
                <w:color w:val="000000"/>
              </w:rPr>
              <w:t>CDBG</w:t>
            </w:r>
          </w:p>
        </w:tc>
      </w:tr>
      <w:tr w:rsidR="00564ADD" w14:paraId="3E6D7E5C" w14:textId="77777777" w:rsidTr="009D1558">
        <w:trPr>
          <w:cantSplit/>
        </w:trPr>
        <w:tc>
          <w:tcPr>
            <w:tcW w:w="0" w:type="auto"/>
            <w:vMerge/>
          </w:tcPr>
          <w:p w14:paraId="4363703F" w14:textId="77777777" w:rsidR="00564ADD" w:rsidRDefault="00564ADD" w:rsidP="009D1558"/>
        </w:tc>
        <w:tc>
          <w:tcPr>
            <w:tcW w:w="0" w:type="auto"/>
          </w:tcPr>
          <w:p w14:paraId="58D608D0"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61CEAEE" w14:textId="77777777" w:rsidR="00564ADD" w:rsidRDefault="00564ADD" w:rsidP="009D1558">
            <w:pPr>
              <w:spacing w:before="100" w:after="0"/>
            </w:pPr>
            <w:r>
              <w:rPr>
                <w:color w:val="000000"/>
              </w:rPr>
              <w:t>The Water and Sewer annual competition will be separate from the Community Facilities annual competition, although threshold requirements apply equally to both categories. More specific award criteria for this program will be discussed in the application packet for this category. Appearance before the interagency review committee consisting of a core group of the Kansas Department of Commerce, the Kansas Department of Health and Environment, and the U.S. Department of Agriculture, Rural Development, is part of the rating criteria of this program.</w:t>
            </w:r>
          </w:p>
        </w:tc>
      </w:tr>
      <w:tr w:rsidR="00564ADD" w14:paraId="6D1256DC" w14:textId="77777777" w:rsidTr="009D1558">
        <w:trPr>
          <w:cantSplit/>
        </w:trPr>
        <w:tc>
          <w:tcPr>
            <w:tcW w:w="0" w:type="auto"/>
            <w:vMerge/>
          </w:tcPr>
          <w:p w14:paraId="0995575B" w14:textId="77777777" w:rsidR="00564ADD" w:rsidRDefault="00564ADD" w:rsidP="009D1558"/>
        </w:tc>
        <w:tc>
          <w:tcPr>
            <w:tcW w:w="0" w:type="auto"/>
          </w:tcPr>
          <w:p w14:paraId="4144FFEC"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0F1ACD9D"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24EC173"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2602234" w14:textId="77777777" w:rsidR="00564ADD" w:rsidRDefault="00564ADD" w:rsidP="009D1558">
            <w:pPr>
              <w:spacing w:before="100" w:after="0"/>
              <w:rPr>
                <w:color w:val="000000"/>
              </w:rPr>
            </w:pPr>
            <w:r>
              <w:rPr>
                <w:color w:val="000000"/>
              </w:rPr>
              <w:t>The State of Kansas will distribute development resources in proportion to development needs in the state. In general, the Kansas Department of Commerce (Commerce), the Kansas Housing Resources Corporation (KHRC), and the Kansas Department of Health and Environment (KDHE) will approve funding for development projects which satisfy one or more of the following criteria: 1. Community Need, 2. Community Effort, 3. Resident Need, 4. Resident Risk, 5. Preventive Action.</w:t>
            </w:r>
          </w:p>
          <w:p w14:paraId="6D0D2564" w14:textId="77777777" w:rsidR="00564ADD" w:rsidRDefault="00564ADD" w:rsidP="009D1558">
            <w:pPr>
              <w:spacing w:before="100" w:after="0"/>
              <w:rPr>
                <w:color w:val="000000"/>
              </w:rPr>
            </w:pPr>
            <w:r>
              <w:rPr>
                <w:color w:val="000000"/>
              </w:rPr>
              <w:t xml:space="preserve">For the General Application Requirements, see: </w:t>
            </w:r>
            <w:hyperlink r:id="rId42" w:history="1">
              <w:r w:rsidRPr="002B3477">
                <w:rPr>
                  <w:rStyle w:val="Hyperlink"/>
                </w:rPr>
                <w:t>http://kansascommerce.gov/DocumentCenter/View/8527/2019-General-Application-Requirements?bidId</w:t>
              </w:r>
            </w:hyperlink>
            <w:r>
              <w:rPr>
                <w:color w:val="000000"/>
              </w:rPr>
              <w:t>=</w:t>
            </w:r>
          </w:p>
          <w:p w14:paraId="2C605AF3" w14:textId="77777777" w:rsidR="00564ADD" w:rsidRDefault="00564ADD" w:rsidP="009D1558">
            <w:pPr>
              <w:spacing w:before="100" w:after="0"/>
              <w:rPr>
                <w:color w:val="000000"/>
              </w:rPr>
            </w:pPr>
          </w:p>
          <w:p w14:paraId="078DEC3B" w14:textId="77777777" w:rsidR="00564ADD" w:rsidRDefault="00564ADD" w:rsidP="009D1558">
            <w:pPr>
              <w:spacing w:before="100" w:after="0"/>
              <w:rPr>
                <w:color w:val="000000"/>
              </w:rPr>
            </w:pPr>
            <w:r>
              <w:rPr>
                <w:color w:val="000000"/>
              </w:rPr>
              <w:t xml:space="preserve">Requirements and criteria are further outlined in each application: </w:t>
            </w:r>
            <w:r w:rsidRPr="001D32B1">
              <w:rPr>
                <w:color w:val="000000"/>
              </w:rPr>
              <w:t>Water and Sewer Application</w:t>
            </w:r>
            <w:r>
              <w:rPr>
                <w:color w:val="000000"/>
              </w:rPr>
              <w:t xml:space="preserve"> and the </w:t>
            </w:r>
            <w:r w:rsidRPr="001D32B1">
              <w:rPr>
                <w:color w:val="000000"/>
              </w:rPr>
              <w:t>Reg</w:t>
            </w:r>
            <w:r>
              <w:rPr>
                <w:color w:val="000000"/>
              </w:rPr>
              <w:t xml:space="preserve">ional Water Project Application. Both applications can be found at: </w:t>
            </w:r>
            <w:hyperlink r:id="rId43" w:history="1">
              <w:r w:rsidRPr="002B3477">
                <w:rPr>
                  <w:rStyle w:val="Hyperlink"/>
                </w:rPr>
                <w:t>http://kansascommerce.gov/979/Water-and-Sewer</w:t>
              </w:r>
            </w:hyperlink>
          </w:p>
          <w:p w14:paraId="6AAC3FA4" w14:textId="77777777" w:rsidR="00564ADD" w:rsidRDefault="00564ADD" w:rsidP="009D1558">
            <w:pPr>
              <w:spacing w:before="100" w:after="0"/>
            </w:pPr>
          </w:p>
        </w:tc>
      </w:tr>
      <w:tr w:rsidR="00564ADD" w14:paraId="5EB9DFE8" w14:textId="77777777" w:rsidTr="009D1558">
        <w:trPr>
          <w:cantSplit/>
        </w:trPr>
        <w:tc>
          <w:tcPr>
            <w:tcW w:w="0" w:type="auto"/>
            <w:vMerge/>
          </w:tcPr>
          <w:p w14:paraId="739B1F6B" w14:textId="77777777" w:rsidR="00564ADD" w:rsidRDefault="00564ADD" w:rsidP="009D1558"/>
        </w:tc>
        <w:tc>
          <w:tcPr>
            <w:tcW w:w="0" w:type="auto"/>
          </w:tcPr>
          <w:p w14:paraId="2111427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2E305734"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0F8E3CA9" w14:textId="77777777" w:rsidR="00564ADD" w:rsidRDefault="00564ADD" w:rsidP="009D1558">
            <w:pPr>
              <w:spacing w:before="100" w:after="0"/>
            </w:pPr>
            <w:r>
              <w:rPr>
                <w:color w:val="000000"/>
              </w:rPr>
              <w:t>The State of Kansas will distribute development resources in proportion to development needs in the state. In general, the Kansas Department of Commerce (Commerce) will approve funding for development projects which satisfy one or more of the following criteria: 1. Community Need, 2. Community Effort, 3. Resident Need, 4. Resident Risk, 5. Preventive Action.  Applicants can access application manuals and other resources at: http://www.kansascommerce.com/index.aspx?NID=127</w:t>
            </w:r>
          </w:p>
        </w:tc>
      </w:tr>
      <w:tr w:rsidR="00564ADD" w14:paraId="51436AE6" w14:textId="77777777" w:rsidTr="009D1558">
        <w:trPr>
          <w:cantSplit/>
        </w:trPr>
        <w:tc>
          <w:tcPr>
            <w:tcW w:w="0" w:type="auto"/>
            <w:vMerge/>
          </w:tcPr>
          <w:p w14:paraId="1BCFB02F" w14:textId="77777777" w:rsidR="00564ADD" w:rsidRDefault="00564ADD" w:rsidP="009D1558"/>
        </w:tc>
        <w:tc>
          <w:tcPr>
            <w:tcW w:w="0" w:type="auto"/>
          </w:tcPr>
          <w:p w14:paraId="09A6B9F1"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5C38153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6E9391F6"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2E536B2D" w14:textId="77777777" w:rsidR="00564ADD" w:rsidRDefault="00564ADD" w:rsidP="009D1558">
            <w:pPr>
              <w:spacing w:before="100" w:after="0"/>
            </w:pPr>
            <w:r>
              <w:rPr>
                <w:color w:val="000000"/>
              </w:rPr>
              <w:t xml:space="preserve"> </w:t>
            </w:r>
          </w:p>
        </w:tc>
      </w:tr>
      <w:tr w:rsidR="00564ADD" w14:paraId="7575AFC9" w14:textId="77777777" w:rsidTr="009D1558">
        <w:trPr>
          <w:cantSplit/>
        </w:trPr>
        <w:tc>
          <w:tcPr>
            <w:tcW w:w="0" w:type="auto"/>
            <w:vMerge/>
          </w:tcPr>
          <w:p w14:paraId="2268D352" w14:textId="77777777" w:rsidR="00564ADD" w:rsidRDefault="00564ADD" w:rsidP="009D1558"/>
        </w:tc>
        <w:tc>
          <w:tcPr>
            <w:tcW w:w="0" w:type="auto"/>
          </w:tcPr>
          <w:p w14:paraId="2A7FBB7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0148AE4A"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5C52F45E" w14:textId="77777777" w:rsidR="00564ADD" w:rsidRDefault="00564ADD" w:rsidP="009D1558">
            <w:pPr>
              <w:spacing w:before="100" w:after="0"/>
            </w:pPr>
            <w:r>
              <w:rPr>
                <w:color w:val="000000"/>
              </w:rPr>
              <w:t>The University of Kansas, School of Medicine-Wichita, Medical Practice Association (UKSM-W MPA) has been the only project sponsor for Kansas HOPWA funds since 2009. As this is a formula grant, the contract with UKSM-W MPA is renewed on an annual basis without an application process. If KDHE ever received a larger amount HOPWA funding that more than one project sponsor could be supported, all applicants would be given equal consideration.</w:t>
            </w:r>
          </w:p>
        </w:tc>
      </w:tr>
      <w:tr w:rsidR="00564ADD" w14:paraId="5C6F47C2" w14:textId="77777777" w:rsidTr="009D1558">
        <w:trPr>
          <w:cantSplit/>
        </w:trPr>
        <w:tc>
          <w:tcPr>
            <w:tcW w:w="0" w:type="auto"/>
            <w:vMerge/>
          </w:tcPr>
          <w:p w14:paraId="3EE59E11" w14:textId="77777777" w:rsidR="00564ADD" w:rsidRDefault="00564ADD" w:rsidP="009D1558"/>
        </w:tc>
        <w:tc>
          <w:tcPr>
            <w:tcW w:w="0" w:type="auto"/>
          </w:tcPr>
          <w:p w14:paraId="09EDC952"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02510BC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A3DCBF3"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2FC61062" w14:textId="77777777" w:rsidR="00564ADD" w:rsidRDefault="00564ADD" w:rsidP="009D1558">
            <w:pPr>
              <w:spacing w:before="100" w:after="0"/>
            </w:pPr>
            <w:r>
              <w:rPr>
                <w:color w:val="000000"/>
              </w:rPr>
              <w:t xml:space="preserve">It is estimated that from 25% to 55% of CDBG funds will be expended on water and sewer facilities in any given year, depending on the level of need for public facilities during the five-year period.  </w:t>
            </w:r>
          </w:p>
        </w:tc>
      </w:tr>
      <w:tr w:rsidR="00564ADD" w14:paraId="37F26FD4" w14:textId="77777777" w:rsidTr="009D1558">
        <w:trPr>
          <w:cantSplit/>
        </w:trPr>
        <w:tc>
          <w:tcPr>
            <w:tcW w:w="0" w:type="auto"/>
            <w:vMerge/>
          </w:tcPr>
          <w:p w14:paraId="3420B43F" w14:textId="77777777" w:rsidR="00564ADD" w:rsidRDefault="00564ADD" w:rsidP="009D1558"/>
        </w:tc>
        <w:tc>
          <w:tcPr>
            <w:tcW w:w="0" w:type="auto"/>
          </w:tcPr>
          <w:p w14:paraId="65AF956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1C0352F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6923FDE"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3A910B2" w14:textId="77777777" w:rsidR="00564ADD" w:rsidRDefault="00564ADD" w:rsidP="009D1558">
            <w:pPr>
              <w:spacing w:before="100" w:after="0"/>
            </w:pPr>
            <w:r>
              <w:rPr>
                <w:color w:val="000000"/>
              </w:rPr>
              <w:t>The project grant amount is limited to $2,000 per beneficiary up to a maximum of $700,000.</w:t>
            </w:r>
          </w:p>
        </w:tc>
      </w:tr>
      <w:tr w:rsidR="00564ADD" w14:paraId="24AB0827" w14:textId="77777777" w:rsidTr="009D1558">
        <w:trPr>
          <w:cantSplit/>
        </w:trPr>
        <w:tc>
          <w:tcPr>
            <w:tcW w:w="0" w:type="auto"/>
            <w:vMerge/>
          </w:tcPr>
          <w:p w14:paraId="6AB8F8E5" w14:textId="77777777" w:rsidR="00564ADD" w:rsidRDefault="00564ADD" w:rsidP="009D1558"/>
        </w:tc>
        <w:tc>
          <w:tcPr>
            <w:tcW w:w="0" w:type="auto"/>
          </w:tcPr>
          <w:p w14:paraId="55316413"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62D9028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A437FF0" w14:textId="77777777" w:rsidR="00564ADD" w:rsidRDefault="00564ADD" w:rsidP="009D1558">
            <w:pPr>
              <w:keepNext/>
              <w:spacing w:before="100" w:after="0"/>
              <w:rPr>
                <w:rFonts w:asciiTheme="minorHAnsi" w:eastAsia="Times New Roman" w:hAnsiTheme="minorHAnsi"/>
                <w:b/>
                <w:sz w:val="24"/>
                <w:szCs w:val="24"/>
              </w:rPr>
            </w:pPr>
          </w:p>
          <w:p w14:paraId="4A8FF42D"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0F9741F6" w14:textId="77777777" w:rsidR="00564ADD" w:rsidRDefault="00564ADD" w:rsidP="009D1558">
            <w:pPr>
              <w:spacing w:before="100" w:after="0"/>
            </w:pPr>
            <w:r>
              <w:rPr>
                <w:color w:val="000000"/>
              </w:rPr>
              <w:t>Under the Consolidated Plan, the State will fund single activity projects that address community and business needs in Kansas. These projects are separated into single activity or purpose projects that attempt to address the needs of the communities in Kansas. The CDBG program is divided into seven single activity programs. The programs are: Housing, Economic Development, Kan Step, Community Facilities, Water/Wastewater, Downtown Commercial Rehabilitation, and Urgent Need. Each program has its own application and application due date.</w:t>
            </w:r>
          </w:p>
          <w:p w14:paraId="38CA2527" w14:textId="77777777" w:rsidR="00564ADD" w:rsidRDefault="00564ADD" w:rsidP="009D1558">
            <w:pPr>
              <w:spacing w:before="100" w:after="0"/>
            </w:pPr>
            <w:r>
              <w:rPr>
                <w:color w:val="000000"/>
              </w:rPr>
              <w:t>The Business and Community Development Division continually reviews its operations to best serve the needs of Kansas communities. In cooperation with other funding agencies, the Kansas Interagency Advisory Committee (KIAC) was established to provide better guidance and direction for communities seeking funding for water and sewer projects. The committee includes representatives from the CDBG Program, Kansas Department of Health &amp; Environment, and USDA Rural Development. The committee holds meetings six times per year to hear presentations from communities and their engineering consultants concerning their proposed water or sewer projects. This allows the agencies to ask questions and make recommendations before the applications are formulated and submitted.</w:t>
            </w:r>
          </w:p>
          <w:p w14:paraId="3E001825" w14:textId="77777777" w:rsidR="00564ADD" w:rsidRDefault="00564ADD" w:rsidP="009D1558">
            <w:pPr>
              <w:spacing w:before="100" w:after="0"/>
            </w:pPr>
            <w:r>
              <w:rPr>
                <w:color w:val="000000"/>
              </w:rPr>
              <w:t>CDBG Staff also participates in the Public Water Supply Coordinating Committee, which seeks to promote more efficient use of funding dollars by encouraging regional solutions to water issues rather than having each small community operate their own treatment and supply system. In additional to the funding agencies that comprise KIAC, it also includes the Kansas Department of Agriculture, the Kansas Rural Water Association, the Kansas Water Office, the Kansas Municipal Utilities Association, and WSU Environmental Finance Center.</w:t>
            </w:r>
          </w:p>
        </w:tc>
      </w:tr>
      <w:tr w:rsidR="00564ADD" w14:paraId="28A1F06D" w14:textId="77777777" w:rsidTr="009D1558">
        <w:trPr>
          <w:cantSplit/>
        </w:trPr>
        <w:tc>
          <w:tcPr>
            <w:tcW w:w="0" w:type="auto"/>
            <w:vMerge w:val="restart"/>
          </w:tcPr>
          <w:p w14:paraId="5064894C" w14:textId="77777777" w:rsidR="00564ADD" w:rsidRDefault="00564ADD" w:rsidP="009D1558">
            <w:r>
              <w:rPr>
                <w:b/>
              </w:rPr>
              <w:t>2</w:t>
            </w:r>
          </w:p>
        </w:tc>
        <w:tc>
          <w:tcPr>
            <w:tcW w:w="0" w:type="auto"/>
          </w:tcPr>
          <w:p w14:paraId="3BF40D3D"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CACB4D4" w14:textId="77777777" w:rsidR="00564ADD" w:rsidRDefault="00564ADD" w:rsidP="009D1558">
            <w:pPr>
              <w:spacing w:before="100" w:after="0"/>
            </w:pPr>
            <w:r>
              <w:rPr>
                <w:color w:val="000000"/>
              </w:rPr>
              <w:t>Housing Rehabilitation</w:t>
            </w:r>
          </w:p>
        </w:tc>
      </w:tr>
      <w:tr w:rsidR="00564ADD" w14:paraId="6E0FCBB7" w14:textId="77777777" w:rsidTr="009D1558">
        <w:trPr>
          <w:cantSplit/>
        </w:trPr>
        <w:tc>
          <w:tcPr>
            <w:tcW w:w="0" w:type="auto"/>
            <w:vMerge/>
          </w:tcPr>
          <w:p w14:paraId="67913D0B" w14:textId="77777777" w:rsidR="00564ADD" w:rsidRDefault="00564ADD" w:rsidP="009D1558"/>
        </w:tc>
        <w:tc>
          <w:tcPr>
            <w:tcW w:w="0" w:type="auto"/>
          </w:tcPr>
          <w:p w14:paraId="49DFB8B8"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6BE5000" w14:textId="77777777" w:rsidR="00564ADD" w:rsidRDefault="00564ADD" w:rsidP="009D1558">
            <w:pPr>
              <w:spacing w:before="100" w:after="0"/>
            </w:pPr>
            <w:r>
              <w:rPr>
                <w:color w:val="000000"/>
              </w:rPr>
              <w:t>CDBG</w:t>
            </w:r>
          </w:p>
        </w:tc>
      </w:tr>
      <w:tr w:rsidR="00564ADD" w14:paraId="483865D6" w14:textId="77777777" w:rsidTr="009D1558">
        <w:trPr>
          <w:cantSplit/>
        </w:trPr>
        <w:tc>
          <w:tcPr>
            <w:tcW w:w="0" w:type="auto"/>
            <w:vMerge/>
          </w:tcPr>
          <w:p w14:paraId="6F0722C4" w14:textId="77777777" w:rsidR="00564ADD" w:rsidRDefault="00564ADD" w:rsidP="009D1558"/>
        </w:tc>
        <w:tc>
          <w:tcPr>
            <w:tcW w:w="0" w:type="auto"/>
          </w:tcPr>
          <w:p w14:paraId="7FCD99A2"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0D8BD35E" w14:textId="77777777" w:rsidR="00564ADD" w:rsidRDefault="00564ADD" w:rsidP="009D1558">
            <w:pPr>
              <w:spacing w:before="100" w:after="0"/>
            </w:pPr>
            <w:r>
              <w:rPr>
                <w:color w:val="000000"/>
              </w:rPr>
              <w:t>Local units of government may apply for funds for Homeowner Rehabilitation, Rental Rehabilitation, Reconstruction, Relocation, and/or demolition. The maximum grants are $400,000, and before a community considers a grant they are required to complete a Housing Assessment Tool (HAT) to determine their needs and are encouraged to attend a Housing Interagency Advisory Committee meeting.</w:t>
            </w:r>
          </w:p>
        </w:tc>
      </w:tr>
      <w:tr w:rsidR="00564ADD" w14:paraId="5C4BF1C7" w14:textId="77777777" w:rsidTr="009D1558">
        <w:trPr>
          <w:cantSplit/>
        </w:trPr>
        <w:tc>
          <w:tcPr>
            <w:tcW w:w="0" w:type="auto"/>
            <w:vMerge/>
          </w:tcPr>
          <w:p w14:paraId="36A78E6C" w14:textId="77777777" w:rsidR="00564ADD" w:rsidRDefault="00564ADD" w:rsidP="009D1558"/>
        </w:tc>
        <w:tc>
          <w:tcPr>
            <w:tcW w:w="0" w:type="auto"/>
          </w:tcPr>
          <w:p w14:paraId="550F8A3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0375187"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53F7C2F"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1F8C169B" w14:textId="77777777" w:rsidR="00564ADD" w:rsidRDefault="00564ADD" w:rsidP="009D1558">
            <w:pPr>
              <w:spacing w:before="100" w:after="0"/>
            </w:pPr>
            <w:r>
              <w:rPr>
                <w:color w:val="000000"/>
              </w:rPr>
              <w:t xml:space="preserve">The State of Kansas will distribute development resources in proportion to development needs in the state. In general, the Kansas Department of Commerce will approve funding for development projects which satisfy one or more of the following criteria: 1. Community Need, 2. Community Effort, 3. Resident Need, 4. Resident Risk, 5. Preventive Action, 6. Target Area Impact.  Applicants can access application manuals and other resources at: </w:t>
            </w:r>
            <w:hyperlink r:id="rId44" w:history="1">
              <w:r w:rsidRPr="002B3477">
                <w:rPr>
                  <w:rStyle w:val="Hyperlink"/>
                </w:rPr>
                <w:t>http://kansascommerce.gov/757/Housing-Rehabilitation</w:t>
              </w:r>
            </w:hyperlink>
            <w:r>
              <w:rPr>
                <w:color w:val="000000"/>
              </w:rPr>
              <w:t xml:space="preserve"> </w:t>
            </w:r>
          </w:p>
        </w:tc>
      </w:tr>
      <w:tr w:rsidR="00564ADD" w14:paraId="7C5FC299" w14:textId="77777777" w:rsidTr="009D1558">
        <w:trPr>
          <w:cantSplit/>
        </w:trPr>
        <w:tc>
          <w:tcPr>
            <w:tcW w:w="0" w:type="auto"/>
            <w:vMerge/>
          </w:tcPr>
          <w:p w14:paraId="68874558" w14:textId="77777777" w:rsidR="00564ADD" w:rsidRDefault="00564ADD" w:rsidP="009D1558"/>
        </w:tc>
        <w:tc>
          <w:tcPr>
            <w:tcW w:w="0" w:type="auto"/>
          </w:tcPr>
          <w:p w14:paraId="287C29F2"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3E61EEB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4E10FA51" w14:textId="77777777" w:rsidR="00564ADD" w:rsidRDefault="00564ADD" w:rsidP="009D1558">
            <w:pPr>
              <w:spacing w:before="100" w:after="0"/>
            </w:pPr>
            <w:r>
              <w:rPr>
                <w:color w:val="000000"/>
              </w:rPr>
              <w:t xml:space="preserve">Applicants can access application manuals and other resources at: </w:t>
            </w:r>
            <w:hyperlink r:id="rId45" w:history="1">
              <w:r w:rsidRPr="002B3477">
                <w:rPr>
                  <w:rStyle w:val="Hyperlink"/>
                </w:rPr>
                <w:t>http://kansascommerce.gov/757/Housing-Rehabilitation</w:t>
              </w:r>
            </w:hyperlink>
            <w:r>
              <w:rPr>
                <w:color w:val="000000"/>
              </w:rPr>
              <w:t xml:space="preserve"> </w:t>
            </w:r>
          </w:p>
        </w:tc>
      </w:tr>
      <w:tr w:rsidR="00564ADD" w14:paraId="35ECCC6D" w14:textId="77777777" w:rsidTr="009D1558">
        <w:trPr>
          <w:cantSplit/>
        </w:trPr>
        <w:tc>
          <w:tcPr>
            <w:tcW w:w="0" w:type="auto"/>
            <w:vMerge/>
          </w:tcPr>
          <w:p w14:paraId="00B96B3C" w14:textId="77777777" w:rsidR="00564ADD" w:rsidRDefault="00564ADD" w:rsidP="009D1558"/>
        </w:tc>
        <w:tc>
          <w:tcPr>
            <w:tcW w:w="0" w:type="auto"/>
          </w:tcPr>
          <w:p w14:paraId="645395D1"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75A7558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F89293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3BFEB830" w14:textId="77777777" w:rsidR="00564ADD" w:rsidRDefault="00564ADD" w:rsidP="009D1558">
            <w:pPr>
              <w:spacing w:before="100" w:after="0"/>
            </w:pPr>
            <w:r>
              <w:rPr>
                <w:color w:val="000000"/>
              </w:rPr>
              <w:t>See above.</w:t>
            </w:r>
          </w:p>
        </w:tc>
      </w:tr>
      <w:tr w:rsidR="00564ADD" w14:paraId="7554B5AE" w14:textId="77777777" w:rsidTr="009D1558">
        <w:trPr>
          <w:cantSplit/>
        </w:trPr>
        <w:tc>
          <w:tcPr>
            <w:tcW w:w="0" w:type="auto"/>
            <w:vMerge/>
          </w:tcPr>
          <w:p w14:paraId="586B33E8" w14:textId="77777777" w:rsidR="00564ADD" w:rsidRDefault="00564ADD" w:rsidP="009D1558"/>
        </w:tc>
        <w:tc>
          <w:tcPr>
            <w:tcW w:w="0" w:type="auto"/>
          </w:tcPr>
          <w:p w14:paraId="23B341F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2EF6962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4EAD51E"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FFECB44" w14:textId="77777777" w:rsidR="00564ADD" w:rsidRDefault="00564ADD" w:rsidP="009D1558">
            <w:pPr>
              <w:spacing w:before="100" w:after="0"/>
              <w:rPr>
                <w:color w:val="000000"/>
              </w:rPr>
            </w:pPr>
            <w:r>
              <w:rPr>
                <w:color w:val="000000"/>
              </w:rPr>
              <w:t xml:space="preserve">The maximum grant is $400,000. Application with threshold factors can be found at: </w:t>
            </w:r>
            <w:hyperlink r:id="rId46" w:history="1">
              <w:r w:rsidRPr="002B3477">
                <w:rPr>
                  <w:rStyle w:val="Hyperlink"/>
                </w:rPr>
                <w:t>http://kansascommerce.gov/757/Housing-Rehabilitation</w:t>
              </w:r>
            </w:hyperlink>
          </w:p>
          <w:p w14:paraId="6CC8FB11" w14:textId="77777777" w:rsidR="00564ADD" w:rsidRDefault="00564ADD" w:rsidP="009D1558">
            <w:pPr>
              <w:spacing w:before="100" w:after="0"/>
            </w:pPr>
          </w:p>
        </w:tc>
      </w:tr>
      <w:tr w:rsidR="00564ADD" w14:paraId="5AA2C8AC" w14:textId="77777777" w:rsidTr="009D1558">
        <w:trPr>
          <w:cantSplit/>
        </w:trPr>
        <w:tc>
          <w:tcPr>
            <w:tcW w:w="0" w:type="auto"/>
            <w:vMerge/>
          </w:tcPr>
          <w:p w14:paraId="4DCAD3D0" w14:textId="77777777" w:rsidR="00564ADD" w:rsidRDefault="00564ADD" w:rsidP="009D1558"/>
        </w:tc>
        <w:tc>
          <w:tcPr>
            <w:tcW w:w="0" w:type="auto"/>
          </w:tcPr>
          <w:p w14:paraId="792CB94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3CD26D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0581A17" w14:textId="77777777" w:rsidR="00564ADD" w:rsidRDefault="00564ADD" w:rsidP="009D1558">
            <w:pPr>
              <w:keepNext/>
              <w:spacing w:before="100" w:after="0"/>
              <w:rPr>
                <w:rFonts w:asciiTheme="minorHAnsi" w:eastAsia="Times New Roman" w:hAnsiTheme="minorHAnsi"/>
                <w:b/>
                <w:sz w:val="24"/>
                <w:szCs w:val="24"/>
              </w:rPr>
            </w:pPr>
          </w:p>
          <w:p w14:paraId="3EEDB43B"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0280709" w14:textId="77777777" w:rsidR="00564ADD" w:rsidRDefault="00564ADD" w:rsidP="009D1558">
            <w:pPr>
              <w:spacing w:before="100" w:after="0"/>
            </w:pPr>
            <w:r>
              <w:rPr>
                <w:color w:val="000000"/>
              </w:rPr>
              <w:t>To increase the quality of affordable housing.</w:t>
            </w:r>
          </w:p>
        </w:tc>
      </w:tr>
      <w:tr w:rsidR="00564ADD" w14:paraId="31C56696" w14:textId="77777777" w:rsidTr="009D1558">
        <w:trPr>
          <w:cantSplit/>
        </w:trPr>
        <w:tc>
          <w:tcPr>
            <w:tcW w:w="0" w:type="auto"/>
            <w:vMerge w:val="restart"/>
          </w:tcPr>
          <w:p w14:paraId="31F9579C" w14:textId="77777777" w:rsidR="00564ADD" w:rsidRDefault="00564ADD" w:rsidP="009D1558">
            <w:r>
              <w:rPr>
                <w:b/>
              </w:rPr>
              <w:t>3</w:t>
            </w:r>
          </w:p>
        </w:tc>
        <w:tc>
          <w:tcPr>
            <w:tcW w:w="0" w:type="auto"/>
          </w:tcPr>
          <w:p w14:paraId="45A2CF71"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1FCFEBD" w14:textId="77777777" w:rsidR="00564ADD" w:rsidRDefault="00564ADD" w:rsidP="009D1558">
            <w:pPr>
              <w:spacing w:before="100" w:after="0"/>
            </w:pPr>
            <w:r>
              <w:rPr>
                <w:color w:val="000000"/>
              </w:rPr>
              <w:t>Community Facilities</w:t>
            </w:r>
          </w:p>
        </w:tc>
      </w:tr>
      <w:tr w:rsidR="00564ADD" w14:paraId="25B84545" w14:textId="77777777" w:rsidTr="009D1558">
        <w:trPr>
          <w:cantSplit/>
        </w:trPr>
        <w:tc>
          <w:tcPr>
            <w:tcW w:w="0" w:type="auto"/>
            <w:vMerge/>
          </w:tcPr>
          <w:p w14:paraId="7CFD5EBB" w14:textId="77777777" w:rsidR="00564ADD" w:rsidRDefault="00564ADD" w:rsidP="009D1558"/>
        </w:tc>
        <w:tc>
          <w:tcPr>
            <w:tcW w:w="0" w:type="auto"/>
          </w:tcPr>
          <w:p w14:paraId="1F282EC3"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6396A802" w14:textId="77777777" w:rsidR="00564ADD" w:rsidRDefault="00564ADD" w:rsidP="009D1558">
            <w:pPr>
              <w:spacing w:before="100" w:after="0"/>
            </w:pPr>
            <w:r>
              <w:rPr>
                <w:color w:val="000000"/>
              </w:rPr>
              <w:t>CDBG</w:t>
            </w:r>
          </w:p>
        </w:tc>
      </w:tr>
      <w:tr w:rsidR="00564ADD" w14:paraId="116D92E3" w14:textId="77777777" w:rsidTr="009D1558">
        <w:trPr>
          <w:cantSplit/>
        </w:trPr>
        <w:tc>
          <w:tcPr>
            <w:tcW w:w="0" w:type="auto"/>
            <w:vMerge/>
          </w:tcPr>
          <w:p w14:paraId="29463B2A" w14:textId="77777777" w:rsidR="00564ADD" w:rsidRDefault="00564ADD" w:rsidP="009D1558"/>
        </w:tc>
        <w:tc>
          <w:tcPr>
            <w:tcW w:w="0" w:type="auto"/>
          </w:tcPr>
          <w:p w14:paraId="06587E99"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0BFD59E0" w14:textId="77777777" w:rsidR="00564ADD" w:rsidRDefault="00564ADD" w:rsidP="009D1558">
            <w:pPr>
              <w:spacing w:before="100" w:after="0"/>
            </w:pPr>
            <w:r>
              <w:rPr>
                <w:color w:val="000000"/>
              </w:rPr>
              <w:t>Projects may consist of, but are not limited to, improvements in fire protection, bridges, community and senior centers, health facilities, streets, architectural barrier removal, natural gas systems, electrical systems, public service activities, and nonprofit entities. These grants are awarded on a competitive basis once per year.</w:t>
            </w:r>
          </w:p>
        </w:tc>
      </w:tr>
      <w:tr w:rsidR="00564ADD" w14:paraId="314B4005" w14:textId="77777777" w:rsidTr="009D1558">
        <w:trPr>
          <w:cantSplit/>
        </w:trPr>
        <w:tc>
          <w:tcPr>
            <w:tcW w:w="0" w:type="auto"/>
            <w:vMerge/>
          </w:tcPr>
          <w:p w14:paraId="33A8BDE5" w14:textId="77777777" w:rsidR="00564ADD" w:rsidRDefault="00564ADD" w:rsidP="009D1558"/>
        </w:tc>
        <w:tc>
          <w:tcPr>
            <w:tcW w:w="0" w:type="auto"/>
          </w:tcPr>
          <w:p w14:paraId="6B89D33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1786A01"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387626F"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1BD80D66" w14:textId="77777777" w:rsidR="00564ADD" w:rsidRDefault="00564ADD" w:rsidP="009D1558">
            <w:pPr>
              <w:spacing w:before="100" w:after="0"/>
              <w:rPr>
                <w:color w:val="000000"/>
              </w:rPr>
            </w:pPr>
            <w:r>
              <w:rPr>
                <w:color w:val="000000"/>
              </w:rPr>
              <w:t xml:space="preserve">For the General Application Requirements, see: </w:t>
            </w:r>
            <w:hyperlink r:id="rId47" w:history="1">
              <w:r w:rsidRPr="002B3477">
                <w:rPr>
                  <w:rStyle w:val="Hyperlink"/>
                </w:rPr>
                <w:t>http://kansascommerce.gov/DocumentCenter/View/8527/2019-General-Application-Requirements?bidId</w:t>
              </w:r>
            </w:hyperlink>
            <w:r>
              <w:rPr>
                <w:color w:val="000000"/>
              </w:rPr>
              <w:t>=</w:t>
            </w:r>
          </w:p>
          <w:p w14:paraId="4A86CA0F" w14:textId="77777777" w:rsidR="00564ADD" w:rsidRDefault="00564ADD" w:rsidP="009D1558">
            <w:pPr>
              <w:spacing w:before="100" w:after="0"/>
              <w:rPr>
                <w:color w:val="000000"/>
              </w:rPr>
            </w:pPr>
          </w:p>
          <w:p w14:paraId="300290A5" w14:textId="77777777" w:rsidR="00564ADD" w:rsidRDefault="00564ADD" w:rsidP="009D1558">
            <w:pPr>
              <w:spacing w:before="100" w:after="0"/>
              <w:rPr>
                <w:color w:val="000000"/>
              </w:rPr>
            </w:pPr>
            <w:r>
              <w:rPr>
                <w:color w:val="000000"/>
              </w:rPr>
              <w:t xml:space="preserve">Requirements and criteria are further outlined in the Community Facilities application: </w:t>
            </w:r>
            <w:hyperlink r:id="rId48" w:history="1">
              <w:r w:rsidRPr="002B3477">
                <w:rPr>
                  <w:rStyle w:val="Hyperlink"/>
                </w:rPr>
                <w:t>http://www.kansascommerce.com/1018/Community-Facilities</w:t>
              </w:r>
            </w:hyperlink>
          </w:p>
          <w:p w14:paraId="6D73D2B2" w14:textId="77777777" w:rsidR="00564ADD" w:rsidRDefault="00564ADD" w:rsidP="009D1558">
            <w:pPr>
              <w:spacing w:before="100" w:after="0"/>
              <w:rPr>
                <w:color w:val="000000"/>
              </w:rPr>
            </w:pPr>
          </w:p>
          <w:p w14:paraId="0F66DED1" w14:textId="77777777" w:rsidR="00564ADD" w:rsidRPr="001D32B1" w:rsidRDefault="00564ADD" w:rsidP="009D1558">
            <w:pPr>
              <w:spacing w:before="100" w:after="0"/>
              <w:rPr>
                <w:color w:val="000000"/>
              </w:rPr>
            </w:pPr>
          </w:p>
          <w:p w14:paraId="787EBDFB" w14:textId="77777777" w:rsidR="00564ADD" w:rsidRDefault="00564ADD" w:rsidP="009D1558">
            <w:pPr>
              <w:spacing w:before="100" w:after="0"/>
            </w:pPr>
          </w:p>
        </w:tc>
      </w:tr>
      <w:tr w:rsidR="00564ADD" w14:paraId="3BFB7A7D" w14:textId="77777777" w:rsidTr="009D1558">
        <w:trPr>
          <w:cantSplit/>
        </w:trPr>
        <w:tc>
          <w:tcPr>
            <w:tcW w:w="0" w:type="auto"/>
            <w:vMerge/>
          </w:tcPr>
          <w:p w14:paraId="2EE3C0C8" w14:textId="77777777" w:rsidR="00564ADD" w:rsidRDefault="00564ADD" w:rsidP="009D1558"/>
        </w:tc>
        <w:tc>
          <w:tcPr>
            <w:tcW w:w="0" w:type="auto"/>
          </w:tcPr>
          <w:p w14:paraId="72677EA3"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07722615"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412BB8A3" w14:textId="77777777" w:rsidR="00564ADD" w:rsidRDefault="00564ADD" w:rsidP="009D1558">
            <w:pPr>
              <w:spacing w:before="100" w:after="0"/>
            </w:pPr>
            <w:r>
              <w:rPr>
                <w:color w:val="000000"/>
              </w:rPr>
              <w:t>Application packets with the full rating and ranking criteria can be found at:</w:t>
            </w:r>
          </w:p>
          <w:p w14:paraId="45572A38" w14:textId="77777777" w:rsidR="00564ADD" w:rsidRDefault="00F85DD5" w:rsidP="009D1558">
            <w:pPr>
              <w:spacing w:before="100" w:after="0"/>
            </w:pPr>
            <w:hyperlink r:id="rId49" w:history="1">
              <w:r w:rsidR="00564ADD" w:rsidRPr="00B9401A">
                <w:rPr>
                  <w:rStyle w:val="Hyperlink"/>
                </w:rPr>
                <w:t>www.kansascommerce.com/cdbg</w:t>
              </w:r>
            </w:hyperlink>
            <w:r w:rsidR="00564ADD">
              <w:rPr>
                <w:color w:val="000000"/>
              </w:rPr>
              <w:t xml:space="preserve"> </w:t>
            </w:r>
          </w:p>
        </w:tc>
      </w:tr>
      <w:tr w:rsidR="00564ADD" w14:paraId="61CAB118" w14:textId="77777777" w:rsidTr="009D1558">
        <w:trPr>
          <w:cantSplit/>
        </w:trPr>
        <w:tc>
          <w:tcPr>
            <w:tcW w:w="0" w:type="auto"/>
            <w:vMerge/>
          </w:tcPr>
          <w:p w14:paraId="3996E693" w14:textId="77777777" w:rsidR="00564ADD" w:rsidRDefault="00564ADD" w:rsidP="009D1558"/>
        </w:tc>
        <w:tc>
          <w:tcPr>
            <w:tcW w:w="0" w:type="auto"/>
          </w:tcPr>
          <w:p w14:paraId="6D18751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5E50A51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6DAEE0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27EA47A1" w14:textId="77777777" w:rsidR="00564ADD" w:rsidRDefault="00564ADD" w:rsidP="009D1558">
            <w:pPr>
              <w:spacing w:before="100" w:after="0"/>
            </w:pPr>
            <w:r>
              <w:rPr>
                <w:color w:val="000000"/>
              </w:rPr>
              <w:t>It is estimated that from 15% to 45% of CDBG funds will be expended on community facilities in any given year, depending on the level of need for public facilities during the five-year period.</w:t>
            </w:r>
          </w:p>
        </w:tc>
      </w:tr>
      <w:tr w:rsidR="00564ADD" w14:paraId="65EEE80E" w14:textId="77777777" w:rsidTr="009D1558">
        <w:trPr>
          <w:cantSplit/>
        </w:trPr>
        <w:tc>
          <w:tcPr>
            <w:tcW w:w="0" w:type="auto"/>
            <w:vMerge/>
          </w:tcPr>
          <w:p w14:paraId="37F8DC1B" w14:textId="77777777" w:rsidR="00564ADD" w:rsidRDefault="00564ADD" w:rsidP="009D1558"/>
        </w:tc>
        <w:tc>
          <w:tcPr>
            <w:tcW w:w="0" w:type="auto"/>
          </w:tcPr>
          <w:p w14:paraId="6120D15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430C1F7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3210EA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663BC307" w14:textId="77777777" w:rsidR="00564ADD" w:rsidRDefault="00564ADD" w:rsidP="009D1558">
            <w:pPr>
              <w:spacing w:before="100" w:after="0"/>
            </w:pPr>
            <w:r>
              <w:rPr>
                <w:color w:val="000000"/>
              </w:rPr>
              <w:t>The project grant amount is limited to $2,000 per beneficiary up to a maximum of $700,000.</w:t>
            </w:r>
          </w:p>
          <w:p w14:paraId="1DB5E3BF" w14:textId="77777777" w:rsidR="00564ADD" w:rsidRDefault="00564ADD" w:rsidP="009D1558">
            <w:pPr>
              <w:spacing w:before="100" w:after="0"/>
            </w:pPr>
          </w:p>
        </w:tc>
      </w:tr>
      <w:tr w:rsidR="00564ADD" w14:paraId="63FF278B" w14:textId="77777777" w:rsidTr="009D1558">
        <w:trPr>
          <w:cantSplit/>
        </w:trPr>
        <w:tc>
          <w:tcPr>
            <w:tcW w:w="0" w:type="auto"/>
            <w:vMerge/>
          </w:tcPr>
          <w:p w14:paraId="194960D7" w14:textId="77777777" w:rsidR="00564ADD" w:rsidRDefault="00564ADD" w:rsidP="009D1558"/>
        </w:tc>
        <w:tc>
          <w:tcPr>
            <w:tcW w:w="0" w:type="auto"/>
          </w:tcPr>
          <w:p w14:paraId="2F14E65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FD516A1"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CD210D4" w14:textId="77777777" w:rsidR="00564ADD" w:rsidRDefault="00564ADD" w:rsidP="009D1558">
            <w:pPr>
              <w:keepNext/>
              <w:spacing w:before="100" w:after="0"/>
              <w:rPr>
                <w:rFonts w:asciiTheme="minorHAnsi" w:eastAsia="Times New Roman" w:hAnsiTheme="minorHAnsi"/>
                <w:b/>
                <w:sz w:val="24"/>
                <w:szCs w:val="24"/>
              </w:rPr>
            </w:pPr>
          </w:p>
          <w:p w14:paraId="61DC75E5"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61A3CD12" w14:textId="77777777" w:rsidR="00564ADD" w:rsidRDefault="00564ADD" w:rsidP="009D1558">
            <w:pPr>
              <w:spacing w:before="100" w:after="0"/>
            </w:pPr>
            <w:r>
              <w:rPr>
                <w:color w:val="000000"/>
              </w:rPr>
              <w:t>To provide CDBG funds for improvements in fire protection, bridges, community and senior centers, health facilities, streets, architectural barrier removal, natural gas systems, electrical systems, public service activities, and nonprofit entities.</w:t>
            </w:r>
          </w:p>
        </w:tc>
      </w:tr>
      <w:tr w:rsidR="00564ADD" w14:paraId="21D15A27" w14:textId="77777777" w:rsidTr="009D1558">
        <w:trPr>
          <w:cantSplit/>
        </w:trPr>
        <w:tc>
          <w:tcPr>
            <w:tcW w:w="0" w:type="auto"/>
            <w:vMerge w:val="restart"/>
          </w:tcPr>
          <w:p w14:paraId="4E9CF0F0" w14:textId="77777777" w:rsidR="00564ADD" w:rsidRDefault="00564ADD" w:rsidP="009D1558">
            <w:r>
              <w:rPr>
                <w:b/>
              </w:rPr>
              <w:t>4</w:t>
            </w:r>
          </w:p>
        </w:tc>
        <w:tc>
          <w:tcPr>
            <w:tcW w:w="0" w:type="auto"/>
          </w:tcPr>
          <w:p w14:paraId="75D4012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13DFAF4" w14:textId="77777777" w:rsidR="00564ADD" w:rsidRDefault="00564ADD" w:rsidP="009D1558">
            <w:pPr>
              <w:spacing w:before="100" w:after="0"/>
            </w:pPr>
            <w:r>
              <w:rPr>
                <w:color w:val="000000"/>
              </w:rPr>
              <w:t>Urgent Need</w:t>
            </w:r>
          </w:p>
        </w:tc>
      </w:tr>
      <w:tr w:rsidR="00564ADD" w14:paraId="012C3230" w14:textId="77777777" w:rsidTr="009D1558">
        <w:trPr>
          <w:cantSplit/>
        </w:trPr>
        <w:tc>
          <w:tcPr>
            <w:tcW w:w="0" w:type="auto"/>
            <w:vMerge/>
          </w:tcPr>
          <w:p w14:paraId="777C5924" w14:textId="77777777" w:rsidR="00564ADD" w:rsidRDefault="00564ADD" w:rsidP="009D1558"/>
        </w:tc>
        <w:tc>
          <w:tcPr>
            <w:tcW w:w="0" w:type="auto"/>
          </w:tcPr>
          <w:p w14:paraId="7874A526"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DF09260" w14:textId="77777777" w:rsidR="00564ADD" w:rsidRDefault="00564ADD" w:rsidP="009D1558">
            <w:pPr>
              <w:spacing w:before="100" w:after="0"/>
            </w:pPr>
            <w:r>
              <w:rPr>
                <w:color w:val="000000"/>
              </w:rPr>
              <w:t>CDBG</w:t>
            </w:r>
          </w:p>
        </w:tc>
      </w:tr>
      <w:tr w:rsidR="00564ADD" w14:paraId="29E0641C" w14:textId="77777777" w:rsidTr="009D1558">
        <w:trPr>
          <w:cantSplit/>
        </w:trPr>
        <w:tc>
          <w:tcPr>
            <w:tcW w:w="0" w:type="auto"/>
            <w:vMerge/>
          </w:tcPr>
          <w:p w14:paraId="178E0F97" w14:textId="77777777" w:rsidR="00564ADD" w:rsidRDefault="00564ADD" w:rsidP="009D1558"/>
        </w:tc>
        <w:tc>
          <w:tcPr>
            <w:tcW w:w="0" w:type="auto"/>
          </w:tcPr>
          <w:p w14:paraId="3FF8D784"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4870C91E" w14:textId="77777777" w:rsidR="00564ADD" w:rsidRDefault="00564ADD" w:rsidP="009D1558">
            <w:pPr>
              <w:spacing w:before="100" w:after="0"/>
            </w:pPr>
            <w:r>
              <w:rPr>
                <w:color w:val="000000"/>
              </w:rPr>
              <w:t>Project activities must address an urgent need resulting from a sudden and severe natural or other disaster that has created conditions that pose a serious and immediate threat to the health or welfare of the community. Awards will be made to address only the solution to the immediate problem and not necessarily the long-term solution. The conditions must have become urgent within six months following the event. Applications are accepted on an as-needed basis at a maximum amount of $400,000 per grant. CDBG Staff attends Kansas Hazard Mitigation Team meetings on a quarterly basis in which team members discuss hazard mitigation coordination and available resources, including any recent state disasters.</w:t>
            </w:r>
          </w:p>
        </w:tc>
      </w:tr>
      <w:tr w:rsidR="00564ADD" w14:paraId="3BFA8CD5" w14:textId="77777777" w:rsidTr="009D1558">
        <w:trPr>
          <w:cantSplit/>
        </w:trPr>
        <w:tc>
          <w:tcPr>
            <w:tcW w:w="0" w:type="auto"/>
            <w:vMerge/>
          </w:tcPr>
          <w:p w14:paraId="206D4257" w14:textId="77777777" w:rsidR="00564ADD" w:rsidRDefault="00564ADD" w:rsidP="009D1558"/>
        </w:tc>
        <w:tc>
          <w:tcPr>
            <w:tcW w:w="0" w:type="auto"/>
          </w:tcPr>
          <w:p w14:paraId="1A96D7F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27E85987"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7BF635E"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2453C007" w14:textId="77777777" w:rsidR="00564ADD" w:rsidRDefault="00564ADD" w:rsidP="009D1558">
            <w:pPr>
              <w:spacing w:before="100" w:after="0"/>
            </w:pPr>
            <w:r>
              <w:rPr>
                <w:color w:val="000000"/>
              </w:rPr>
              <w:t>Applications are accepted on an as-needed basis at a maximum amount of $400,000 per grant.</w:t>
            </w:r>
          </w:p>
        </w:tc>
      </w:tr>
      <w:tr w:rsidR="00564ADD" w14:paraId="44C2F325" w14:textId="77777777" w:rsidTr="009D1558">
        <w:trPr>
          <w:cantSplit/>
        </w:trPr>
        <w:tc>
          <w:tcPr>
            <w:tcW w:w="0" w:type="auto"/>
            <w:vMerge/>
          </w:tcPr>
          <w:p w14:paraId="15F99B60" w14:textId="77777777" w:rsidR="00564ADD" w:rsidRDefault="00564ADD" w:rsidP="009D1558"/>
        </w:tc>
        <w:tc>
          <w:tcPr>
            <w:tcW w:w="0" w:type="auto"/>
          </w:tcPr>
          <w:p w14:paraId="23CA7D1B"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2A2E365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49E8B1E1" w14:textId="77777777" w:rsidR="00564ADD" w:rsidRDefault="00564ADD" w:rsidP="009D1558">
            <w:pPr>
              <w:spacing w:before="100" w:after="0"/>
              <w:rPr>
                <w:color w:val="000000"/>
              </w:rPr>
            </w:pPr>
            <w:r>
              <w:rPr>
                <w:color w:val="000000"/>
              </w:rPr>
              <w:t xml:space="preserve">See above. For application packet see: </w:t>
            </w:r>
            <w:hyperlink r:id="rId50" w:history="1">
              <w:r w:rsidRPr="002B3477">
                <w:rPr>
                  <w:rStyle w:val="Hyperlink"/>
                </w:rPr>
                <w:t>http://www.kansascommerce.com/132/Urgent-Need</w:t>
              </w:r>
            </w:hyperlink>
          </w:p>
          <w:p w14:paraId="7EFCD6A2" w14:textId="77777777" w:rsidR="00564ADD" w:rsidRDefault="00564ADD" w:rsidP="009D1558">
            <w:pPr>
              <w:spacing w:before="100" w:after="0"/>
            </w:pPr>
          </w:p>
        </w:tc>
      </w:tr>
      <w:tr w:rsidR="00564ADD" w14:paraId="36E081B3" w14:textId="77777777" w:rsidTr="009D1558">
        <w:trPr>
          <w:cantSplit/>
        </w:trPr>
        <w:tc>
          <w:tcPr>
            <w:tcW w:w="0" w:type="auto"/>
            <w:vMerge/>
          </w:tcPr>
          <w:p w14:paraId="05F6BAAC" w14:textId="77777777" w:rsidR="00564ADD" w:rsidRDefault="00564ADD" w:rsidP="009D1558"/>
        </w:tc>
        <w:tc>
          <w:tcPr>
            <w:tcW w:w="0" w:type="auto"/>
          </w:tcPr>
          <w:p w14:paraId="6563FEFF"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483A646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32AFFF1"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23A97454" w14:textId="63DF70A4" w:rsidR="00564ADD" w:rsidRDefault="00564ADD" w:rsidP="009D1558">
            <w:pPr>
              <w:spacing w:before="100" w:after="0"/>
            </w:pPr>
            <w:r>
              <w:rPr>
                <w:color w:val="000000"/>
              </w:rPr>
              <w:t xml:space="preserve">CDBG Staff attends Kansas Hazard Mitigation Team meetings on a quarterly basis in which team members discuss hazard mitigation coordination and available resources, including any recent state disasters. Applications are accepted </w:t>
            </w:r>
            <w:r w:rsidR="002817D8">
              <w:rPr>
                <w:color w:val="000000"/>
              </w:rPr>
              <w:t xml:space="preserve">and awarded on an a first-come/first-serve </w:t>
            </w:r>
            <w:r>
              <w:rPr>
                <w:color w:val="000000"/>
              </w:rPr>
              <w:t>basis at a maximum amount of $400,000 per grant.</w:t>
            </w:r>
          </w:p>
        </w:tc>
      </w:tr>
      <w:tr w:rsidR="00564ADD" w14:paraId="0F957E9B" w14:textId="77777777" w:rsidTr="009D1558">
        <w:trPr>
          <w:cantSplit/>
        </w:trPr>
        <w:tc>
          <w:tcPr>
            <w:tcW w:w="0" w:type="auto"/>
            <w:vMerge/>
          </w:tcPr>
          <w:p w14:paraId="5DDC8FEF" w14:textId="77777777" w:rsidR="00564ADD" w:rsidRDefault="00564ADD" w:rsidP="009D1558"/>
        </w:tc>
        <w:tc>
          <w:tcPr>
            <w:tcW w:w="0" w:type="auto"/>
          </w:tcPr>
          <w:p w14:paraId="718AB0D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70AF3352"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C50BD83"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108313A6" w14:textId="77777777" w:rsidR="00564ADD" w:rsidRDefault="00564ADD" w:rsidP="009D1558">
            <w:pPr>
              <w:spacing w:before="100" w:after="0"/>
            </w:pPr>
            <w:r>
              <w:rPr>
                <w:color w:val="000000"/>
              </w:rPr>
              <w:t>Awards will be made to address only the solution to the immediate problem and not necessarily the long-term solution. The conditions must have become urgent within six months following the event. The maximum grant amount is $400,000.</w:t>
            </w:r>
          </w:p>
        </w:tc>
      </w:tr>
      <w:tr w:rsidR="00564ADD" w14:paraId="22366AE4" w14:textId="77777777" w:rsidTr="009D1558">
        <w:trPr>
          <w:cantSplit/>
        </w:trPr>
        <w:tc>
          <w:tcPr>
            <w:tcW w:w="0" w:type="auto"/>
            <w:vMerge/>
          </w:tcPr>
          <w:p w14:paraId="7526B5BB" w14:textId="77777777" w:rsidR="00564ADD" w:rsidRDefault="00564ADD" w:rsidP="009D1558"/>
        </w:tc>
        <w:tc>
          <w:tcPr>
            <w:tcW w:w="0" w:type="auto"/>
          </w:tcPr>
          <w:p w14:paraId="6916B45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2710DBD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CCEEBCC" w14:textId="77777777" w:rsidR="00564ADD" w:rsidRDefault="00564ADD" w:rsidP="009D1558">
            <w:pPr>
              <w:keepNext/>
              <w:spacing w:before="100" w:after="0"/>
              <w:rPr>
                <w:rFonts w:asciiTheme="minorHAnsi" w:eastAsia="Times New Roman" w:hAnsiTheme="minorHAnsi"/>
                <w:b/>
                <w:sz w:val="24"/>
                <w:szCs w:val="24"/>
              </w:rPr>
            </w:pPr>
          </w:p>
          <w:p w14:paraId="3938D464"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438CDA7" w14:textId="77777777" w:rsidR="00564ADD" w:rsidRDefault="00564ADD" w:rsidP="009D1558">
            <w:pPr>
              <w:spacing w:before="100" w:after="0"/>
            </w:pPr>
            <w:r>
              <w:rPr>
                <w:color w:val="000000"/>
              </w:rPr>
              <w:t>To address an urgent need resulting from a sudden and severe natural or other disaster that has created conditions that pose a serious and immediate threat to the health or welfare of the community.</w:t>
            </w:r>
          </w:p>
        </w:tc>
      </w:tr>
      <w:tr w:rsidR="00564ADD" w14:paraId="0FB9DD71" w14:textId="77777777" w:rsidTr="009D1558">
        <w:trPr>
          <w:cantSplit/>
        </w:trPr>
        <w:tc>
          <w:tcPr>
            <w:tcW w:w="0" w:type="auto"/>
            <w:vMerge w:val="restart"/>
          </w:tcPr>
          <w:p w14:paraId="1CAF83E6" w14:textId="77777777" w:rsidR="00564ADD" w:rsidRDefault="00564ADD" w:rsidP="009D1558">
            <w:r>
              <w:rPr>
                <w:b/>
              </w:rPr>
              <w:t>5</w:t>
            </w:r>
          </w:p>
        </w:tc>
        <w:tc>
          <w:tcPr>
            <w:tcW w:w="0" w:type="auto"/>
          </w:tcPr>
          <w:p w14:paraId="1463C495"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2793A2E" w14:textId="77777777" w:rsidR="00564ADD" w:rsidRDefault="00564ADD" w:rsidP="009D1558">
            <w:pPr>
              <w:spacing w:before="100" w:after="0"/>
            </w:pPr>
            <w:r>
              <w:rPr>
                <w:color w:val="000000"/>
              </w:rPr>
              <w:t>State Administration and Technical Assistance</w:t>
            </w:r>
          </w:p>
        </w:tc>
      </w:tr>
      <w:tr w:rsidR="00564ADD" w14:paraId="3E210047" w14:textId="77777777" w:rsidTr="009D1558">
        <w:trPr>
          <w:cantSplit/>
        </w:trPr>
        <w:tc>
          <w:tcPr>
            <w:tcW w:w="0" w:type="auto"/>
            <w:vMerge/>
          </w:tcPr>
          <w:p w14:paraId="6870ECA6" w14:textId="77777777" w:rsidR="00564ADD" w:rsidRDefault="00564ADD" w:rsidP="009D1558"/>
        </w:tc>
        <w:tc>
          <w:tcPr>
            <w:tcW w:w="0" w:type="auto"/>
          </w:tcPr>
          <w:p w14:paraId="4F3389C6"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0739593C" w14:textId="77777777" w:rsidR="00564ADD" w:rsidRDefault="00564ADD" w:rsidP="009D1558">
            <w:pPr>
              <w:spacing w:before="100" w:after="0"/>
            </w:pPr>
            <w:r>
              <w:rPr>
                <w:color w:val="000000"/>
              </w:rPr>
              <w:t>CDBG</w:t>
            </w:r>
          </w:p>
        </w:tc>
      </w:tr>
      <w:tr w:rsidR="00564ADD" w14:paraId="0C4D4A55" w14:textId="77777777" w:rsidTr="009D1558">
        <w:trPr>
          <w:cantSplit/>
        </w:trPr>
        <w:tc>
          <w:tcPr>
            <w:tcW w:w="0" w:type="auto"/>
            <w:vMerge/>
          </w:tcPr>
          <w:p w14:paraId="13148773" w14:textId="77777777" w:rsidR="00564ADD" w:rsidRDefault="00564ADD" w:rsidP="009D1558"/>
        </w:tc>
        <w:tc>
          <w:tcPr>
            <w:tcW w:w="0" w:type="auto"/>
          </w:tcPr>
          <w:p w14:paraId="159D1096"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4591FABF" w14:textId="0D9663BE" w:rsidR="00564ADD" w:rsidRDefault="00564ADD" w:rsidP="009D1558">
            <w:pPr>
              <w:spacing w:before="100" w:after="0"/>
            </w:pPr>
            <w:r>
              <w:rPr>
                <w:color w:val="000000"/>
              </w:rPr>
              <w:t xml:space="preserve">The State will use no more than $100,000 plus three percent of the total CDBG grant amount, program income, and revolving loan funds for State administration and technical assistance of the program. Not more than 20 percent of the total CDBG grant may be used for administrative, planning, and/or technical assistance combined costs from both </w:t>
            </w:r>
            <w:r w:rsidR="00556755">
              <w:rPr>
                <w:color w:val="000000"/>
              </w:rPr>
              <w:t>state</w:t>
            </w:r>
            <w:r>
              <w:rPr>
                <w:color w:val="000000"/>
              </w:rPr>
              <w:t xml:space="preserve"> and local levels.</w:t>
            </w:r>
          </w:p>
        </w:tc>
      </w:tr>
      <w:tr w:rsidR="00564ADD" w14:paraId="34A77F0F" w14:textId="77777777" w:rsidTr="009D1558">
        <w:trPr>
          <w:cantSplit/>
        </w:trPr>
        <w:tc>
          <w:tcPr>
            <w:tcW w:w="0" w:type="auto"/>
            <w:vMerge/>
          </w:tcPr>
          <w:p w14:paraId="0C29434C" w14:textId="77777777" w:rsidR="00564ADD" w:rsidRDefault="00564ADD" w:rsidP="009D1558"/>
        </w:tc>
        <w:tc>
          <w:tcPr>
            <w:tcW w:w="0" w:type="auto"/>
          </w:tcPr>
          <w:p w14:paraId="260778B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07AF414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968F69F"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ACA0ED2" w14:textId="77777777" w:rsidR="00564ADD" w:rsidRDefault="00564ADD" w:rsidP="009D1558">
            <w:pPr>
              <w:spacing w:before="100" w:after="0"/>
            </w:pPr>
            <w:r>
              <w:rPr>
                <w:color w:val="000000"/>
              </w:rPr>
              <w:t xml:space="preserve"> </w:t>
            </w:r>
          </w:p>
        </w:tc>
      </w:tr>
      <w:tr w:rsidR="00564ADD" w14:paraId="451D482A" w14:textId="77777777" w:rsidTr="009D1558">
        <w:trPr>
          <w:cantSplit/>
        </w:trPr>
        <w:tc>
          <w:tcPr>
            <w:tcW w:w="0" w:type="auto"/>
            <w:vMerge/>
          </w:tcPr>
          <w:p w14:paraId="18C2242A" w14:textId="77777777" w:rsidR="00564ADD" w:rsidRDefault="00564ADD" w:rsidP="009D1558"/>
        </w:tc>
        <w:tc>
          <w:tcPr>
            <w:tcW w:w="0" w:type="auto"/>
          </w:tcPr>
          <w:p w14:paraId="6AF21E32"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657D542E"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141357D5" w14:textId="77777777" w:rsidR="00564ADD" w:rsidRDefault="00564ADD" w:rsidP="009D1558">
            <w:pPr>
              <w:spacing w:before="100" w:after="0"/>
            </w:pPr>
          </w:p>
        </w:tc>
      </w:tr>
      <w:tr w:rsidR="00564ADD" w14:paraId="11F7BBF4" w14:textId="77777777" w:rsidTr="009D1558">
        <w:trPr>
          <w:cantSplit/>
        </w:trPr>
        <w:tc>
          <w:tcPr>
            <w:tcW w:w="0" w:type="auto"/>
            <w:vMerge/>
          </w:tcPr>
          <w:p w14:paraId="0F665F88" w14:textId="77777777" w:rsidR="00564ADD" w:rsidRDefault="00564ADD" w:rsidP="009D1558"/>
        </w:tc>
        <w:tc>
          <w:tcPr>
            <w:tcW w:w="0" w:type="auto"/>
          </w:tcPr>
          <w:p w14:paraId="656BA9F0"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E634B9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25856F7"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20D4408" w14:textId="77777777" w:rsidR="00564ADD" w:rsidRDefault="00564ADD" w:rsidP="009D1558">
            <w:pPr>
              <w:spacing w:before="100" w:after="0"/>
            </w:pPr>
            <w:r>
              <w:rPr>
                <w:color w:val="000000"/>
              </w:rPr>
              <w:t xml:space="preserve"> </w:t>
            </w:r>
          </w:p>
        </w:tc>
      </w:tr>
      <w:tr w:rsidR="00564ADD" w14:paraId="4BAB0103" w14:textId="77777777" w:rsidTr="009D1558">
        <w:trPr>
          <w:cantSplit/>
        </w:trPr>
        <w:tc>
          <w:tcPr>
            <w:tcW w:w="0" w:type="auto"/>
            <w:vMerge/>
          </w:tcPr>
          <w:p w14:paraId="67F23955" w14:textId="77777777" w:rsidR="00564ADD" w:rsidRDefault="00564ADD" w:rsidP="009D1558"/>
        </w:tc>
        <w:tc>
          <w:tcPr>
            <w:tcW w:w="0" w:type="auto"/>
          </w:tcPr>
          <w:p w14:paraId="528E6CD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3CF22A5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14FAC04"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886EFD1" w14:textId="77777777" w:rsidR="00564ADD" w:rsidRDefault="00564ADD" w:rsidP="009D1558">
            <w:pPr>
              <w:spacing w:before="100" w:after="0"/>
            </w:pPr>
            <w:r>
              <w:rPr>
                <w:color w:val="000000"/>
              </w:rPr>
              <w:t xml:space="preserve"> </w:t>
            </w:r>
          </w:p>
        </w:tc>
      </w:tr>
      <w:tr w:rsidR="00564ADD" w14:paraId="48997E54" w14:textId="77777777" w:rsidTr="009D1558">
        <w:trPr>
          <w:cantSplit/>
        </w:trPr>
        <w:tc>
          <w:tcPr>
            <w:tcW w:w="0" w:type="auto"/>
            <w:vMerge/>
          </w:tcPr>
          <w:p w14:paraId="7A52B2FE" w14:textId="77777777" w:rsidR="00564ADD" w:rsidRDefault="00564ADD" w:rsidP="009D1558"/>
        </w:tc>
        <w:tc>
          <w:tcPr>
            <w:tcW w:w="0" w:type="auto"/>
          </w:tcPr>
          <w:p w14:paraId="51A9B17C"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760ABB9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4CB45A8" w14:textId="77777777" w:rsidR="00564ADD" w:rsidRDefault="00564ADD" w:rsidP="009D1558">
            <w:pPr>
              <w:keepNext/>
              <w:spacing w:before="100" w:after="0"/>
              <w:rPr>
                <w:rFonts w:asciiTheme="minorHAnsi" w:eastAsia="Times New Roman" w:hAnsiTheme="minorHAnsi"/>
                <w:b/>
                <w:sz w:val="24"/>
                <w:szCs w:val="24"/>
              </w:rPr>
            </w:pPr>
          </w:p>
          <w:p w14:paraId="553C01B1"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A19BDF6" w14:textId="77777777" w:rsidR="00564ADD" w:rsidRDefault="00564ADD" w:rsidP="009D1558">
            <w:pPr>
              <w:spacing w:before="100" w:after="0"/>
            </w:pPr>
          </w:p>
        </w:tc>
      </w:tr>
      <w:tr w:rsidR="00564ADD" w14:paraId="203FAF82" w14:textId="77777777" w:rsidTr="009D1558">
        <w:trPr>
          <w:cantSplit/>
        </w:trPr>
        <w:tc>
          <w:tcPr>
            <w:tcW w:w="0" w:type="auto"/>
            <w:vMerge w:val="restart"/>
          </w:tcPr>
          <w:p w14:paraId="43902F03" w14:textId="77777777" w:rsidR="00564ADD" w:rsidRDefault="00564ADD" w:rsidP="009D1558">
            <w:r>
              <w:rPr>
                <w:b/>
              </w:rPr>
              <w:t>6</w:t>
            </w:r>
          </w:p>
        </w:tc>
        <w:tc>
          <w:tcPr>
            <w:tcW w:w="0" w:type="auto"/>
          </w:tcPr>
          <w:p w14:paraId="0D685F68"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7820E009" w14:textId="77777777" w:rsidR="00564ADD" w:rsidRDefault="00564ADD" w:rsidP="009D1558">
            <w:pPr>
              <w:spacing w:before="100" w:after="0"/>
            </w:pPr>
            <w:r>
              <w:rPr>
                <w:color w:val="000000"/>
              </w:rPr>
              <w:t>Economic Development</w:t>
            </w:r>
          </w:p>
        </w:tc>
      </w:tr>
      <w:tr w:rsidR="00564ADD" w14:paraId="70A325CF" w14:textId="77777777" w:rsidTr="009D1558">
        <w:trPr>
          <w:cantSplit/>
        </w:trPr>
        <w:tc>
          <w:tcPr>
            <w:tcW w:w="0" w:type="auto"/>
            <w:vMerge/>
          </w:tcPr>
          <w:p w14:paraId="463CD9FB" w14:textId="77777777" w:rsidR="00564ADD" w:rsidRDefault="00564ADD" w:rsidP="009D1558"/>
        </w:tc>
        <w:tc>
          <w:tcPr>
            <w:tcW w:w="0" w:type="auto"/>
          </w:tcPr>
          <w:p w14:paraId="27833E2A"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70F48BC6" w14:textId="77777777" w:rsidR="00564ADD" w:rsidRDefault="00564ADD" w:rsidP="009D1558">
            <w:pPr>
              <w:spacing w:before="100" w:after="0"/>
            </w:pPr>
            <w:r>
              <w:rPr>
                <w:color w:val="000000"/>
              </w:rPr>
              <w:t>CDBG</w:t>
            </w:r>
          </w:p>
        </w:tc>
      </w:tr>
      <w:tr w:rsidR="00564ADD" w14:paraId="78CFE24B" w14:textId="77777777" w:rsidTr="009D1558">
        <w:trPr>
          <w:cantSplit/>
        </w:trPr>
        <w:tc>
          <w:tcPr>
            <w:tcW w:w="0" w:type="auto"/>
            <w:vMerge/>
          </w:tcPr>
          <w:p w14:paraId="3DEE7235" w14:textId="77777777" w:rsidR="00564ADD" w:rsidRDefault="00564ADD" w:rsidP="009D1558"/>
        </w:tc>
        <w:tc>
          <w:tcPr>
            <w:tcW w:w="0" w:type="auto"/>
          </w:tcPr>
          <w:p w14:paraId="7FA02667"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3DEE44BD" w14:textId="77777777" w:rsidR="00564ADD" w:rsidRDefault="00564ADD" w:rsidP="009D1558">
            <w:pPr>
              <w:spacing w:before="100" w:after="0"/>
            </w:pPr>
            <w:r>
              <w:rPr>
                <w:color w:val="000000"/>
              </w:rPr>
              <w:t>Economic Development funds may be used by a local unit of government to provide infrastructure or business financing assistance for a new business locating in or an existing business expanding in, a community. The local government may choose to offer assistance to an existing local firm attempting to remain in business.</w:t>
            </w:r>
          </w:p>
        </w:tc>
      </w:tr>
      <w:tr w:rsidR="00564ADD" w14:paraId="3868DE2C" w14:textId="77777777" w:rsidTr="009D1558">
        <w:trPr>
          <w:cantSplit/>
        </w:trPr>
        <w:tc>
          <w:tcPr>
            <w:tcW w:w="0" w:type="auto"/>
            <w:vMerge/>
          </w:tcPr>
          <w:p w14:paraId="5A295D11" w14:textId="77777777" w:rsidR="00564ADD" w:rsidRDefault="00564ADD" w:rsidP="009D1558"/>
        </w:tc>
        <w:tc>
          <w:tcPr>
            <w:tcW w:w="0" w:type="auto"/>
          </w:tcPr>
          <w:p w14:paraId="7FE43EE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724DE2B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0FF1BFC"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5E1717B" w14:textId="77777777" w:rsidR="00564ADD" w:rsidRDefault="00564ADD" w:rsidP="009D1558">
            <w:pPr>
              <w:spacing w:before="100" w:after="0"/>
              <w:rPr>
                <w:color w:val="000000"/>
              </w:rPr>
            </w:pPr>
            <w:r>
              <w:rPr>
                <w:color w:val="000000"/>
              </w:rPr>
              <w:t xml:space="preserve">Economic development application and all guidelines can be found at: </w:t>
            </w:r>
            <w:hyperlink r:id="rId51" w:history="1">
              <w:r w:rsidRPr="002B3477">
                <w:rPr>
                  <w:rStyle w:val="Hyperlink"/>
                </w:rPr>
                <w:t>http://www.kansascommerce.com/129/Economic-Development</w:t>
              </w:r>
            </w:hyperlink>
          </w:p>
          <w:p w14:paraId="74CB5AD7" w14:textId="77777777" w:rsidR="00564ADD" w:rsidRDefault="00564ADD" w:rsidP="009D1558">
            <w:pPr>
              <w:spacing w:before="100" w:after="0"/>
            </w:pPr>
          </w:p>
        </w:tc>
      </w:tr>
      <w:tr w:rsidR="00564ADD" w14:paraId="24831980" w14:textId="77777777" w:rsidTr="009D1558">
        <w:trPr>
          <w:cantSplit/>
        </w:trPr>
        <w:tc>
          <w:tcPr>
            <w:tcW w:w="0" w:type="auto"/>
            <w:vMerge/>
          </w:tcPr>
          <w:p w14:paraId="2A1FFF66" w14:textId="77777777" w:rsidR="00564ADD" w:rsidRDefault="00564ADD" w:rsidP="009D1558"/>
        </w:tc>
        <w:tc>
          <w:tcPr>
            <w:tcW w:w="0" w:type="auto"/>
          </w:tcPr>
          <w:p w14:paraId="2895B57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12603030"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0F25689F" w14:textId="77777777" w:rsidR="00564ADD" w:rsidRDefault="00564ADD" w:rsidP="009D1558">
            <w:pPr>
              <w:spacing w:before="100" w:after="0"/>
            </w:pPr>
            <w:r>
              <w:rPr>
                <w:color w:val="000000"/>
              </w:rPr>
              <w:t>Technical assistance is available from the State during preparation of the application to ensure that the application will meet threshold requirements.</w:t>
            </w:r>
          </w:p>
          <w:p w14:paraId="292B64AB" w14:textId="77777777" w:rsidR="00564ADD" w:rsidRDefault="00564ADD" w:rsidP="009D1558">
            <w:pPr>
              <w:spacing w:before="100" w:after="0"/>
            </w:pPr>
            <w:r>
              <w:rPr>
                <w:color w:val="000000"/>
              </w:rPr>
              <w:t> </w:t>
            </w:r>
            <w:hyperlink r:id="rId52" w:history="1">
              <w:r w:rsidRPr="002B3477">
                <w:rPr>
                  <w:rStyle w:val="Hyperlink"/>
                </w:rPr>
                <w:t>http://www.kansascommerce.com/129/Economic-Development</w:t>
              </w:r>
            </w:hyperlink>
          </w:p>
          <w:p w14:paraId="00C1C3D9" w14:textId="77777777" w:rsidR="00564ADD" w:rsidRDefault="00564ADD" w:rsidP="009D1558">
            <w:pPr>
              <w:spacing w:before="100" w:after="0"/>
            </w:pPr>
          </w:p>
        </w:tc>
      </w:tr>
      <w:tr w:rsidR="00564ADD" w14:paraId="3F381736" w14:textId="77777777" w:rsidTr="009D1558">
        <w:trPr>
          <w:cantSplit/>
        </w:trPr>
        <w:tc>
          <w:tcPr>
            <w:tcW w:w="0" w:type="auto"/>
            <w:vMerge/>
          </w:tcPr>
          <w:p w14:paraId="547609C8" w14:textId="77777777" w:rsidR="00564ADD" w:rsidRDefault="00564ADD" w:rsidP="009D1558"/>
        </w:tc>
        <w:tc>
          <w:tcPr>
            <w:tcW w:w="0" w:type="auto"/>
          </w:tcPr>
          <w:p w14:paraId="4F62318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051317E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888EF87"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859FC7D" w14:textId="77777777" w:rsidR="00564ADD" w:rsidRDefault="00564ADD" w:rsidP="009D1558">
            <w:pPr>
              <w:spacing w:before="100" w:after="0"/>
            </w:pPr>
            <w:r>
              <w:rPr>
                <w:color w:val="000000"/>
              </w:rPr>
              <w:t>See below. Funds for Economic Development projects will come from Program Income.</w:t>
            </w:r>
          </w:p>
        </w:tc>
      </w:tr>
      <w:tr w:rsidR="00564ADD" w14:paraId="4CB5B2CC" w14:textId="77777777" w:rsidTr="009D1558">
        <w:trPr>
          <w:cantSplit/>
        </w:trPr>
        <w:tc>
          <w:tcPr>
            <w:tcW w:w="0" w:type="auto"/>
            <w:vMerge/>
          </w:tcPr>
          <w:p w14:paraId="65DF3740" w14:textId="77777777" w:rsidR="00564ADD" w:rsidRDefault="00564ADD" w:rsidP="009D1558"/>
        </w:tc>
        <w:tc>
          <w:tcPr>
            <w:tcW w:w="0" w:type="auto"/>
          </w:tcPr>
          <w:p w14:paraId="3F577AC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1A0DE6AF"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2577881"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10B6B7CB" w14:textId="0F5A0808" w:rsidR="00564ADD" w:rsidRPr="002817D8" w:rsidRDefault="00564ADD" w:rsidP="009D1558">
            <w:pPr>
              <w:spacing w:before="100" w:after="0"/>
            </w:pPr>
            <w:r w:rsidRPr="002817D8">
              <w:rPr>
                <w:color w:val="000000"/>
              </w:rPr>
              <w:t xml:space="preserve">Funds are available for </w:t>
            </w:r>
            <w:r w:rsidR="002817D8" w:rsidRPr="002817D8">
              <w:rPr>
                <w:color w:val="000000"/>
              </w:rPr>
              <w:t>FY 2019 and FY 2020</w:t>
            </w:r>
            <w:r w:rsidRPr="002817D8">
              <w:rPr>
                <w:color w:val="000000"/>
              </w:rPr>
              <w:t xml:space="preserve"> through an open window process starting on January 1 and closing on December 10. The maximum amount that can be applied for is $750,000, and the minimum amount is $25,000. Projects must meet the public benefit test of at least 1 full-time job for up to $35,000 of assistance. All projects must meet the low-and-moderate income job creation/job retention national objective. Funds for Economic Development will come from Program Income.</w:t>
            </w:r>
          </w:p>
        </w:tc>
      </w:tr>
      <w:tr w:rsidR="00564ADD" w14:paraId="1FA3D13B" w14:textId="77777777" w:rsidTr="009D1558">
        <w:trPr>
          <w:cantSplit/>
        </w:trPr>
        <w:tc>
          <w:tcPr>
            <w:tcW w:w="0" w:type="auto"/>
            <w:vMerge/>
          </w:tcPr>
          <w:p w14:paraId="719923F5" w14:textId="77777777" w:rsidR="00564ADD" w:rsidRDefault="00564ADD" w:rsidP="009D1558"/>
        </w:tc>
        <w:tc>
          <w:tcPr>
            <w:tcW w:w="0" w:type="auto"/>
          </w:tcPr>
          <w:p w14:paraId="1B0564C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38F7894C"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B5AF723" w14:textId="77777777" w:rsidR="00564ADD" w:rsidRDefault="00564ADD" w:rsidP="009D1558">
            <w:pPr>
              <w:keepNext/>
              <w:spacing w:before="100" w:after="0"/>
              <w:rPr>
                <w:rFonts w:asciiTheme="minorHAnsi" w:eastAsia="Times New Roman" w:hAnsiTheme="minorHAnsi"/>
                <w:b/>
                <w:sz w:val="24"/>
                <w:szCs w:val="24"/>
              </w:rPr>
            </w:pPr>
          </w:p>
          <w:p w14:paraId="3BC7BAFA"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85CEAAC" w14:textId="77777777" w:rsidR="00564ADD" w:rsidRDefault="00564ADD" w:rsidP="009D1558">
            <w:pPr>
              <w:spacing w:before="100" w:after="0"/>
            </w:pPr>
            <w:r>
              <w:rPr>
                <w:color w:val="000000"/>
              </w:rPr>
              <w:t>Projects must meet the public benefit test of at least 1 full-time job per $35,000 of assistance. </w:t>
            </w:r>
          </w:p>
        </w:tc>
      </w:tr>
      <w:tr w:rsidR="00564ADD" w14:paraId="3FB62EA7" w14:textId="77777777" w:rsidTr="009D1558">
        <w:trPr>
          <w:cantSplit/>
        </w:trPr>
        <w:tc>
          <w:tcPr>
            <w:tcW w:w="0" w:type="auto"/>
            <w:vMerge w:val="restart"/>
          </w:tcPr>
          <w:p w14:paraId="6A9E8AF0" w14:textId="77777777" w:rsidR="00564ADD" w:rsidRDefault="00564ADD" w:rsidP="009D1558">
            <w:r>
              <w:rPr>
                <w:b/>
              </w:rPr>
              <w:t>7</w:t>
            </w:r>
          </w:p>
        </w:tc>
        <w:tc>
          <w:tcPr>
            <w:tcW w:w="0" w:type="auto"/>
          </w:tcPr>
          <w:p w14:paraId="5F451677"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787BC80A" w14:textId="77777777" w:rsidR="00564ADD" w:rsidRDefault="00564ADD" w:rsidP="009D1558">
            <w:pPr>
              <w:spacing w:before="100" w:after="0"/>
            </w:pPr>
            <w:r>
              <w:rPr>
                <w:color w:val="000000"/>
              </w:rPr>
              <w:t>Downtown Commercial Rehabilitation</w:t>
            </w:r>
          </w:p>
        </w:tc>
      </w:tr>
      <w:tr w:rsidR="00564ADD" w14:paraId="45971D78" w14:textId="77777777" w:rsidTr="009D1558">
        <w:trPr>
          <w:cantSplit/>
        </w:trPr>
        <w:tc>
          <w:tcPr>
            <w:tcW w:w="0" w:type="auto"/>
            <w:vMerge/>
          </w:tcPr>
          <w:p w14:paraId="4B28A2CB" w14:textId="77777777" w:rsidR="00564ADD" w:rsidRDefault="00564ADD" w:rsidP="009D1558"/>
        </w:tc>
        <w:tc>
          <w:tcPr>
            <w:tcW w:w="0" w:type="auto"/>
          </w:tcPr>
          <w:p w14:paraId="70FA35B0"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49EA8903" w14:textId="77777777" w:rsidR="00564ADD" w:rsidRDefault="00564ADD" w:rsidP="009D1558">
            <w:pPr>
              <w:spacing w:before="100" w:after="0"/>
            </w:pPr>
            <w:r>
              <w:rPr>
                <w:color w:val="000000"/>
              </w:rPr>
              <w:t>CDBG</w:t>
            </w:r>
          </w:p>
        </w:tc>
      </w:tr>
      <w:tr w:rsidR="00564ADD" w14:paraId="3A6242D4" w14:textId="77777777" w:rsidTr="009D1558">
        <w:trPr>
          <w:cantSplit/>
        </w:trPr>
        <w:tc>
          <w:tcPr>
            <w:tcW w:w="0" w:type="auto"/>
            <w:vMerge/>
          </w:tcPr>
          <w:p w14:paraId="51525537" w14:textId="77777777" w:rsidR="00564ADD" w:rsidRDefault="00564ADD" w:rsidP="009D1558"/>
        </w:tc>
        <w:tc>
          <w:tcPr>
            <w:tcW w:w="0" w:type="auto"/>
          </w:tcPr>
          <w:p w14:paraId="5E9C09E7"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334C47A" w14:textId="77777777" w:rsidR="00564ADD" w:rsidRDefault="00564ADD" w:rsidP="009D1558">
            <w:pPr>
              <w:spacing w:before="100" w:after="0"/>
            </w:pPr>
            <w:r>
              <w:rPr>
                <w:color w:val="000000"/>
              </w:rPr>
              <w:t xml:space="preserve">The purpose of the program is to help communities improve the quality of their downtown commercial districts by assisting private property owners in the rehabilitation of blighted buildings. All projects must meet the slum and blight national objective. </w:t>
            </w:r>
          </w:p>
        </w:tc>
      </w:tr>
      <w:tr w:rsidR="00564ADD" w14:paraId="7C4B9F9B" w14:textId="77777777" w:rsidTr="009D1558">
        <w:trPr>
          <w:cantSplit/>
        </w:trPr>
        <w:tc>
          <w:tcPr>
            <w:tcW w:w="0" w:type="auto"/>
            <w:vMerge/>
          </w:tcPr>
          <w:p w14:paraId="66AA95EE" w14:textId="77777777" w:rsidR="00564ADD" w:rsidRDefault="00564ADD" w:rsidP="009D1558"/>
        </w:tc>
        <w:tc>
          <w:tcPr>
            <w:tcW w:w="0" w:type="auto"/>
          </w:tcPr>
          <w:p w14:paraId="3946C04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6A4B1E1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ECE17F8"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237A671A" w14:textId="77777777" w:rsidR="00564ADD" w:rsidRDefault="00564ADD" w:rsidP="009D1558">
            <w:pPr>
              <w:spacing w:before="100" w:after="0"/>
              <w:rPr>
                <w:color w:val="000000"/>
              </w:rPr>
            </w:pPr>
            <w:r>
              <w:rPr>
                <w:color w:val="000000"/>
              </w:rPr>
              <w:t xml:space="preserve">The State of Kansas will distribute development resources in proportion to development needs in the state. In general, the Kansas Department of Commerce will approve funding for development projects which satisfy one or more of the following criteria: 1. Community Need, 2. Community Effort, 3. Resident Need, 4. Resident Risk, 5. Preventive Action.  Applicants can access application manuals and other resources at: </w:t>
            </w:r>
            <w:hyperlink r:id="rId53" w:history="1">
              <w:r w:rsidRPr="002B3477">
                <w:rPr>
                  <w:rStyle w:val="Hyperlink"/>
                </w:rPr>
                <w:t>http://www.kansascommerce.com/710/Commercial-Rehabilitation</w:t>
              </w:r>
            </w:hyperlink>
          </w:p>
          <w:p w14:paraId="29D21A67" w14:textId="77777777" w:rsidR="00564ADD" w:rsidRDefault="00564ADD" w:rsidP="009D1558">
            <w:pPr>
              <w:spacing w:before="100" w:after="0"/>
            </w:pPr>
          </w:p>
        </w:tc>
      </w:tr>
      <w:tr w:rsidR="00564ADD" w14:paraId="2C0512B9" w14:textId="77777777" w:rsidTr="009D1558">
        <w:trPr>
          <w:cantSplit/>
        </w:trPr>
        <w:tc>
          <w:tcPr>
            <w:tcW w:w="0" w:type="auto"/>
            <w:vMerge/>
          </w:tcPr>
          <w:p w14:paraId="7C36F45E" w14:textId="77777777" w:rsidR="00564ADD" w:rsidRDefault="00564ADD" w:rsidP="009D1558"/>
        </w:tc>
        <w:tc>
          <w:tcPr>
            <w:tcW w:w="0" w:type="auto"/>
          </w:tcPr>
          <w:p w14:paraId="6349AC1D"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14:paraId="1C5CB904"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14:paraId="2C32982F" w14:textId="77777777" w:rsidR="00564ADD" w:rsidRDefault="00564ADD" w:rsidP="009D1558">
            <w:pPr>
              <w:spacing w:before="100" w:after="0"/>
            </w:pPr>
            <w:r>
              <w:rPr>
                <w:color w:val="000000"/>
              </w:rPr>
              <w:t xml:space="preserve">Applicants can access application manuals and other resources at: </w:t>
            </w:r>
            <w:hyperlink r:id="rId54" w:history="1">
              <w:r w:rsidRPr="002B3477">
                <w:rPr>
                  <w:rStyle w:val="Hyperlink"/>
                </w:rPr>
                <w:t>http://www.kansascommerce.com/710/Commercial-Rehabilitation</w:t>
              </w:r>
            </w:hyperlink>
          </w:p>
        </w:tc>
      </w:tr>
      <w:tr w:rsidR="00564ADD" w14:paraId="3A5CE617" w14:textId="77777777" w:rsidTr="009D1558">
        <w:trPr>
          <w:cantSplit/>
        </w:trPr>
        <w:tc>
          <w:tcPr>
            <w:tcW w:w="0" w:type="auto"/>
            <w:vMerge/>
          </w:tcPr>
          <w:p w14:paraId="59AC2044" w14:textId="77777777" w:rsidR="00564ADD" w:rsidRDefault="00564ADD" w:rsidP="009D1558"/>
        </w:tc>
        <w:tc>
          <w:tcPr>
            <w:tcW w:w="0" w:type="auto"/>
          </w:tcPr>
          <w:p w14:paraId="3B5EC17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3D31009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BF0A58E"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A0C065C" w14:textId="77777777" w:rsidR="00564ADD" w:rsidRDefault="00564ADD" w:rsidP="009D1558">
            <w:pPr>
              <w:spacing w:before="100" w:after="0"/>
            </w:pPr>
            <w:r>
              <w:rPr>
                <w:color w:val="000000"/>
              </w:rPr>
              <w:t>There is one competitive round per year. This will change for FY 2018 to an open window from January 1st to December 10th. Funds for Downtown Commercial Rehabilitation will come from Program Income.</w:t>
            </w:r>
          </w:p>
        </w:tc>
      </w:tr>
      <w:tr w:rsidR="00564ADD" w14:paraId="22BB8DAE" w14:textId="77777777" w:rsidTr="009D1558">
        <w:trPr>
          <w:cantSplit/>
        </w:trPr>
        <w:tc>
          <w:tcPr>
            <w:tcW w:w="0" w:type="auto"/>
            <w:vMerge/>
          </w:tcPr>
          <w:p w14:paraId="18F3E523" w14:textId="77777777" w:rsidR="00564ADD" w:rsidRDefault="00564ADD" w:rsidP="009D1558"/>
        </w:tc>
        <w:tc>
          <w:tcPr>
            <w:tcW w:w="0" w:type="auto"/>
          </w:tcPr>
          <w:p w14:paraId="5FAA2EF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1ED82C2C"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66234C2E"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32E6364" w14:textId="77777777" w:rsidR="00564ADD" w:rsidRDefault="00564ADD" w:rsidP="009D1558">
            <w:pPr>
              <w:spacing w:before="100" w:after="0"/>
              <w:rPr>
                <w:color w:val="000000"/>
              </w:rPr>
            </w:pPr>
            <w:r>
              <w:rPr>
                <w:color w:val="000000"/>
              </w:rPr>
              <w:t xml:space="preserve">The maximum amount of CDBG funds that can be applied for is $250,000. Applicants can access application manuals and other resources at: </w:t>
            </w:r>
            <w:hyperlink r:id="rId55" w:history="1">
              <w:r w:rsidRPr="002B3477">
                <w:rPr>
                  <w:rStyle w:val="Hyperlink"/>
                </w:rPr>
                <w:t>http://www.kansascommerce.com/710/Commercial-Rehabilitation</w:t>
              </w:r>
            </w:hyperlink>
          </w:p>
          <w:p w14:paraId="55A7D5A2" w14:textId="77777777" w:rsidR="00564ADD" w:rsidRDefault="00564ADD" w:rsidP="009D1558">
            <w:pPr>
              <w:spacing w:before="100" w:after="0"/>
            </w:pPr>
          </w:p>
        </w:tc>
      </w:tr>
      <w:tr w:rsidR="00564ADD" w14:paraId="2BA383A0" w14:textId="77777777" w:rsidTr="009D1558">
        <w:trPr>
          <w:cantSplit/>
        </w:trPr>
        <w:tc>
          <w:tcPr>
            <w:tcW w:w="0" w:type="auto"/>
            <w:vMerge/>
          </w:tcPr>
          <w:p w14:paraId="10372049" w14:textId="77777777" w:rsidR="00564ADD" w:rsidRDefault="00564ADD" w:rsidP="009D1558"/>
        </w:tc>
        <w:tc>
          <w:tcPr>
            <w:tcW w:w="0" w:type="auto"/>
          </w:tcPr>
          <w:p w14:paraId="2DDE3C5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1BE2C80"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7BE023E" w14:textId="77777777" w:rsidR="00564ADD" w:rsidRDefault="00564ADD" w:rsidP="009D1558">
            <w:pPr>
              <w:keepNext/>
              <w:spacing w:before="100" w:after="0"/>
              <w:rPr>
                <w:rFonts w:asciiTheme="minorHAnsi" w:eastAsia="Times New Roman" w:hAnsiTheme="minorHAnsi"/>
                <w:b/>
                <w:sz w:val="24"/>
                <w:szCs w:val="24"/>
              </w:rPr>
            </w:pPr>
          </w:p>
          <w:p w14:paraId="0F68D2E7"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36F9B3E" w14:textId="77777777" w:rsidR="00564ADD" w:rsidRDefault="00564ADD" w:rsidP="009D1558">
            <w:pPr>
              <w:spacing w:before="100" w:after="0"/>
            </w:pPr>
            <w:r>
              <w:rPr>
                <w:color w:val="000000"/>
              </w:rPr>
              <w:t>The CDBG program hopes to rehabilitate five downtown buildings that will house five viable businesses in the downtown district. </w:t>
            </w:r>
          </w:p>
        </w:tc>
      </w:tr>
      <w:tr w:rsidR="00564ADD" w14:paraId="74A677B1" w14:textId="77777777" w:rsidTr="009D1558">
        <w:trPr>
          <w:cantSplit/>
        </w:trPr>
        <w:tc>
          <w:tcPr>
            <w:tcW w:w="0" w:type="auto"/>
            <w:vMerge w:val="restart"/>
          </w:tcPr>
          <w:p w14:paraId="3AFD4C65" w14:textId="77777777" w:rsidR="00564ADD" w:rsidRDefault="00564ADD" w:rsidP="009D1558">
            <w:r>
              <w:rPr>
                <w:b/>
              </w:rPr>
              <w:t>8</w:t>
            </w:r>
          </w:p>
        </w:tc>
        <w:tc>
          <w:tcPr>
            <w:tcW w:w="0" w:type="auto"/>
          </w:tcPr>
          <w:p w14:paraId="22688C2B"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1FD6206B" w14:textId="77777777" w:rsidR="00564ADD" w:rsidRDefault="00564ADD" w:rsidP="009D1558">
            <w:pPr>
              <w:spacing w:before="100" w:after="0"/>
            </w:pPr>
            <w:r>
              <w:rPr>
                <w:color w:val="000000"/>
              </w:rPr>
              <w:t>First Time Homebuyers</w:t>
            </w:r>
          </w:p>
        </w:tc>
      </w:tr>
      <w:tr w:rsidR="00564ADD" w14:paraId="3C86FDEF" w14:textId="77777777" w:rsidTr="009D1558">
        <w:trPr>
          <w:cantSplit/>
        </w:trPr>
        <w:tc>
          <w:tcPr>
            <w:tcW w:w="0" w:type="auto"/>
            <w:vMerge/>
          </w:tcPr>
          <w:p w14:paraId="314AC4CD" w14:textId="77777777" w:rsidR="00564ADD" w:rsidRDefault="00564ADD" w:rsidP="009D1558"/>
        </w:tc>
        <w:tc>
          <w:tcPr>
            <w:tcW w:w="0" w:type="auto"/>
          </w:tcPr>
          <w:p w14:paraId="1C6CBDE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12BECB39" w14:textId="77777777" w:rsidR="00564ADD" w:rsidRDefault="00564ADD" w:rsidP="009D1558">
            <w:pPr>
              <w:spacing w:before="100" w:after="0"/>
            </w:pPr>
            <w:r>
              <w:rPr>
                <w:color w:val="000000"/>
              </w:rPr>
              <w:t>HOME</w:t>
            </w:r>
          </w:p>
        </w:tc>
      </w:tr>
      <w:tr w:rsidR="00564ADD" w14:paraId="61337AA7" w14:textId="77777777" w:rsidTr="009D1558">
        <w:trPr>
          <w:cantSplit/>
        </w:trPr>
        <w:tc>
          <w:tcPr>
            <w:tcW w:w="0" w:type="auto"/>
            <w:vMerge/>
          </w:tcPr>
          <w:p w14:paraId="21C88474" w14:textId="77777777" w:rsidR="00564ADD" w:rsidRDefault="00564ADD" w:rsidP="009D1558"/>
        </w:tc>
        <w:tc>
          <w:tcPr>
            <w:tcW w:w="0" w:type="auto"/>
          </w:tcPr>
          <w:p w14:paraId="248E2CA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7D55078B" w14:textId="77777777" w:rsidR="00564ADD" w:rsidRDefault="00564ADD" w:rsidP="009D1558">
            <w:pPr>
              <w:spacing w:before="100" w:after="0"/>
            </w:pPr>
            <w:r>
              <w:rPr>
                <w:color w:val="000000"/>
              </w:rPr>
              <w:t xml:space="preserve">The First Time Homebuyers (FTHB) program will be administered in partnership with approved lending institutions. The State will enter into written agreements with lenders to provide leveraging of the funds allotted to the program. The State has established a lender’s consortium that will provide first mortgage home loans to leverage First Time Homebuyers down payment assistance.  The applicants can find a list of lenders by county served on our website:  </w:t>
            </w:r>
            <w:hyperlink r:id="rId56" w:history="1">
              <w:r w:rsidRPr="00B9401A">
                <w:rPr>
                  <w:rStyle w:val="Hyperlink"/>
                </w:rPr>
                <w:t>www.kshousingcorp.org</w:t>
              </w:r>
            </w:hyperlink>
            <w:r>
              <w:rPr>
                <w:color w:val="000000"/>
              </w:rPr>
              <w:t xml:space="preserve">. </w:t>
            </w:r>
          </w:p>
          <w:p w14:paraId="420F54C2" w14:textId="77777777" w:rsidR="00564ADD" w:rsidRDefault="00564ADD" w:rsidP="009D1558">
            <w:pPr>
              <w:spacing w:before="100" w:after="0"/>
            </w:pPr>
          </w:p>
        </w:tc>
      </w:tr>
      <w:tr w:rsidR="00564ADD" w14:paraId="10EC3941" w14:textId="77777777" w:rsidTr="009D1558">
        <w:trPr>
          <w:cantSplit/>
        </w:trPr>
        <w:tc>
          <w:tcPr>
            <w:tcW w:w="0" w:type="auto"/>
            <w:vMerge/>
          </w:tcPr>
          <w:p w14:paraId="0EF55341" w14:textId="77777777" w:rsidR="00564ADD" w:rsidRDefault="00564ADD" w:rsidP="009D1558"/>
        </w:tc>
        <w:tc>
          <w:tcPr>
            <w:tcW w:w="0" w:type="auto"/>
          </w:tcPr>
          <w:p w14:paraId="74879E61"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11D3F12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AD7B0E7"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0FAA3CD4" w14:textId="77777777" w:rsidR="00564ADD" w:rsidRDefault="00564ADD" w:rsidP="009D1558">
            <w:pPr>
              <w:spacing w:before="100" w:after="0"/>
            </w:pPr>
            <w:r>
              <w:rPr>
                <w:color w:val="000000"/>
              </w:rPr>
              <w:t>Assisted households must meet HUD’s definition of low-income, with household income at or below 80% of area median gross income (AMGI) as published annually by HUD. They must qualify as first time homebuyers as defined in 24CFR Part 92 and agree to occupy the home purchased as their principal residence for the required affordability period.</w:t>
            </w:r>
          </w:p>
        </w:tc>
      </w:tr>
      <w:tr w:rsidR="00564ADD" w14:paraId="2B92BD7F" w14:textId="77777777" w:rsidTr="009D1558">
        <w:trPr>
          <w:cantSplit/>
        </w:trPr>
        <w:tc>
          <w:tcPr>
            <w:tcW w:w="0" w:type="auto"/>
            <w:vMerge/>
          </w:tcPr>
          <w:p w14:paraId="515D3AD8" w14:textId="77777777" w:rsidR="00564ADD" w:rsidRDefault="00564ADD" w:rsidP="009D1558"/>
        </w:tc>
        <w:tc>
          <w:tcPr>
            <w:tcW w:w="0" w:type="auto"/>
          </w:tcPr>
          <w:p w14:paraId="00A74E3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2D7003A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D48BA38"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2A1CBD31" w14:textId="77777777" w:rsidR="00564ADD" w:rsidRDefault="00564ADD" w:rsidP="009D1558">
            <w:pPr>
              <w:spacing w:before="100" w:after="0"/>
            </w:pPr>
            <w:r>
              <w:rPr>
                <w:color w:val="000000"/>
              </w:rPr>
              <w:t>Funds are distributed to eligible applicants on a first-come, first-serve basis until allocated funds are depleted.</w:t>
            </w:r>
          </w:p>
        </w:tc>
      </w:tr>
      <w:tr w:rsidR="00564ADD" w14:paraId="7F7BA62D" w14:textId="77777777" w:rsidTr="009D1558">
        <w:trPr>
          <w:cantSplit/>
        </w:trPr>
        <w:tc>
          <w:tcPr>
            <w:tcW w:w="0" w:type="auto"/>
            <w:vMerge/>
          </w:tcPr>
          <w:p w14:paraId="377C698F" w14:textId="77777777" w:rsidR="00564ADD" w:rsidRDefault="00564ADD" w:rsidP="009D1558"/>
        </w:tc>
        <w:tc>
          <w:tcPr>
            <w:tcW w:w="0" w:type="auto"/>
          </w:tcPr>
          <w:p w14:paraId="3AEA642C"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4D11C1ED"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D49880D"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8F5243A" w14:textId="77777777" w:rsidR="00564ADD" w:rsidRDefault="00564ADD" w:rsidP="009D1558">
            <w:pPr>
              <w:spacing w:before="100" w:after="0"/>
            </w:pPr>
            <w:r>
              <w:rPr>
                <w:color w:val="000000"/>
              </w:rPr>
              <w:t>For FTHB, up to 20 percent of the purchase price of the home may be provided to an approved buyer at closing to assist with down payment, closing costs, and legal fees.  Households must pay no more than 30% of their income towards their housing, and no less than 20%.</w:t>
            </w:r>
          </w:p>
        </w:tc>
      </w:tr>
      <w:tr w:rsidR="00564ADD" w14:paraId="73F4E5F7" w14:textId="77777777" w:rsidTr="009D1558">
        <w:trPr>
          <w:cantSplit/>
        </w:trPr>
        <w:tc>
          <w:tcPr>
            <w:tcW w:w="0" w:type="auto"/>
            <w:vMerge/>
          </w:tcPr>
          <w:p w14:paraId="45A2F5C6" w14:textId="77777777" w:rsidR="00564ADD" w:rsidRDefault="00564ADD" w:rsidP="009D1558"/>
        </w:tc>
        <w:tc>
          <w:tcPr>
            <w:tcW w:w="0" w:type="auto"/>
          </w:tcPr>
          <w:p w14:paraId="17BB764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DB5A1B1"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C08CE9B" w14:textId="77777777" w:rsidR="00564ADD" w:rsidRDefault="00564ADD" w:rsidP="009D1558">
            <w:pPr>
              <w:keepNext/>
              <w:spacing w:before="100" w:after="0"/>
              <w:rPr>
                <w:rFonts w:asciiTheme="minorHAnsi" w:eastAsia="Times New Roman" w:hAnsiTheme="minorHAnsi"/>
                <w:b/>
                <w:sz w:val="24"/>
                <w:szCs w:val="24"/>
              </w:rPr>
            </w:pPr>
          </w:p>
          <w:p w14:paraId="48EAD8D7"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48D8359" w14:textId="77777777" w:rsidR="00564ADD" w:rsidRDefault="00564ADD" w:rsidP="009D1558">
            <w:pPr>
              <w:spacing w:before="100" w:after="0"/>
            </w:pPr>
            <w:r>
              <w:rPr>
                <w:color w:val="000000"/>
              </w:rPr>
              <w:t xml:space="preserve">HOME funds for the FTHB program are expected to provide financial assistance to 375 households over a five-year span.  </w:t>
            </w:r>
          </w:p>
        </w:tc>
      </w:tr>
      <w:tr w:rsidR="00564ADD" w14:paraId="7BE66C92" w14:textId="77777777" w:rsidTr="009D1558">
        <w:trPr>
          <w:cantSplit/>
        </w:trPr>
        <w:tc>
          <w:tcPr>
            <w:tcW w:w="0" w:type="auto"/>
            <w:vMerge w:val="restart"/>
          </w:tcPr>
          <w:p w14:paraId="15271FA8" w14:textId="77777777" w:rsidR="00564ADD" w:rsidRDefault="00564ADD" w:rsidP="009D1558">
            <w:r>
              <w:t>9</w:t>
            </w:r>
          </w:p>
        </w:tc>
        <w:tc>
          <w:tcPr>
            <w:tcW w:w="0" w:type="auto"/>
          </w:tcPr>
          <w:p w14:paraId="18F62B4D"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36E7F673" w14:textId="77777777" w:rsidR="00564ADD" w:rsidRDefault="00564ADD" w:rsidP="009D1558">
            <w:pPr>
              <w:spacing w:before="100" w:after="0"/>
            </w:pPr>
            <w:r>
              <w:rPr>
                <w:color w:val="000000"/>
              </w:rPr>
              <w:t>Tenant Based Rental Assistance</w:t>
            </w:r>
          </w:p>
        </w:tc>
      </w:tr>
      <w:tr w:rsidR="00564ADD" w14:paraId="23AE3002" w14:textId="77777777" w:rsidTr="009D1558">
        <w:trPr>
          <w:cantSplit/>
        </w:trPr>
        <w:tc>
          <w:tcPr>
            <w:tcW w:w="0" w:type="auto"/>
            <w:vMerge/>
          </w:tcPr>
          <w:p w14:paraId="51E0123A" w14:textId="77777777" w:rsidR="00564ADD" w:rsidRDefault="00564ADD" w:rsidP="009D1558"/>
        </w:tc>
        <w:tc>
          <w:tcPr>
            <w:tcW w:w="0" w:type="auto"/>
          </w:tcPr>
          <w:p w14:paraId="1C281835"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49357AA0" w14:textId="77777777" w:rsidR="00564ADD" w:rsidRDefault="00564ADD" w:rsidP="009D1558">
            <w:pPr>
              <w:spacing w:before="100" w:after="0"/>
            </w:pPr>
            <w:r>
              <w:rPr>
                <w:color w:val="000000"/>
              </w:rPr>
              <w:t>HOME</w:t>
            </w:r>
          </w:p>
        </w:tc>
      </w:tr>
      <w:tr w:rsidR="00564ADD" w14:paraId="2D5B49AB" w14:textId="77777777" w:rsidTr="009D1558">
        <w:trPr>
          <w:cantSplit/>
        </w:trPr>
        <w:tc>
          <w:tcPr>
            <w:tcW w:w="0" w:type="auto"/>
            <w:vMerge/>
          </w:tcPr>
          <w:p w14:paraId="6C747512" w14:textId="77777777" w:rsidR="00564ADD" w:rsidRDefault="00564ADD" w:rsidP="009D1558"/>
        </w:tc>
        <w:tc>
          <w:tcPr>
            <w:tcW w:w="0" w:type="auto"/>
          </w:tcPr>
          <w:p w14:paraId="4ABC2428"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EC3ECAC" w14:textId="77777777" w:rsidR="00564ADD" w:rsidRDefault="00564ADD" w:rsidP="009D1558">
            <w:pPr>
              <w:spacing w:before="100" w:after="0"/>
            </w:pPr>
            <w:r>
              <w:rPr>
                <w:color w:val="000000"/>
              </w:rPr>
              <w:t>TBRA funding will be allocated under written agreement to local jurisdictions and non-profits that apply as third-party program administrators, referred to as sub-recipients, on a competitive basis, after meeting organizational capacity and threshold requirements for administering a rental assistance program in their communities. Funding is distributed monthly through direct deposit to sub-recipient agencies. Rental assistance is paid month by month by the sub-recipient directly to the landlord and/or the local utility (electric, gas, water) provider.</w:t>
            </w:r>
          </w:p>
        </w:tc>
      </w:tr>
      <w:tr w:rsidR="00564ADD" w14:paraId="6C2BC2DA" w14:textId="77777777" w:rsidTr="009D1558">
        <w:trPr>
          <w:cantSplit/>
        </w:trPr>
        <w:tc>
          <w:tcPr>
            <w:tcW w:w="0" w:type="auto"/>
            <w:vMerge/>
          </w:tcPr>
          <w:p w14:paraId="2225EE07" w14:textId="77777777" w:rsidR="00564ADD" w:rsidRDefault="00564ADD" w:rsidP="009D1558"/>
        </w:tc>
        <w:tc>
          <w:tcPr>
            <w:tcW w:w="0" w:type="auto"/>
          </w:tcPr>
          <w:p w14:paraId="2429524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6045DEB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37E9894"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AB04E24" w14:textId="77777777" w:rsidR="00564ADD" w:rsidRDefault="00564ADD" w:rsidP="009D1558">
            <w:pPr>
              <w:spacing w:before="100" w:after="0"/>
              <w:rPr>
                <w:color w:val="000000"/>
              </w:rPr>
            </w:pPr>
            <w:r>
              <w:rPr>
                <w:color w:val="000000"/>
              </w:rPr>
              <w:t>There are four application ratings criteria for the program: Project Need (300 Points); Project Impact (300 Points); Capacity (100 Points); and Non-local HOME PJ (50 Points).</w:t>
            </w:r>
          </w:p>
          <w:p w14:paraId="38B295F8" w14:textId="77777777" w:rsidR="00564ADD" w:rsidRDefault="00564ADD" w:rsidP="009D1558">
            <w:pPr>
              <w:spacing w:before="100" w:after="0"/>
              <w:rPr>
                <w:color w:val="000000"/>
              </w:rPr>
            </w:pPr>
            <w:r>
              <w:rPr>
                <w:color w:val="000000"/>
              </w:rPr>
              <w:t>Project Need relates to special populations addressed in the application, such as the homeless, involuntarily displaced, etc. Points are awarded for those paying more than 30 percent of income for rent, more than 50 percent of income for rent, the number of homeless persons identified in the application, the number of identified single parent households, poverty levels to be targeted, length of the agency’s waiting list, special population needs, and overall community need. Project Impact relates to the measures of success in relationship to self-sufficiency and the degree of community impact on identified needs. Capacity relates to the ability and experience to operate and maintain a rental subsidy program. Non-local HOME PJ relates to local jurisdictions that do not receive a direct allocation of HOME funds.</w:t>
            </w:r>
          </w:p>
          <w:p w14:paraId="36300B3C" w14:textId="77777777" w:rsidR="00564ADD" w:rsidRDefault="00564ADD" w:rsidP="009D1558">
            <w:pPr>
              <w:spacing w:before="100" w:after="0"/>
            </w:pPr>
            <w:r>
              <w:rPr>
                <w:color w:val="000000"/>
              </w:rPr>
              <w:t>Eligibility for the program is based on income. Consistent with 24CFR Part 92, families assisted must be at 60 percent or below the area median income. Sub-recipients may establish Tenant Based Rental Assistance (TBRA) preferences, such as those for persons with disabilities, the elderly, very low income, and homeless Kansans. Housing Authorities, non-profit agencies, and others may apply for funding.</w:t>
            </w:r>
          </w:p>
        </w:tc>
      </w:tr>
      <w:tr w:rsidR="00564ADD" w14:paraId="6109F420" w14:textId="77777777" w:rsidTr="009D1558">
        <w:trPr>
          <w:cantSplit/>
        </w:trPr>
        <w:tc>
          <w:tcPr>
            <w:tcW w:w="0" w:type="auto"/>
            <w:vMerge/>
          </w:tcPr>
          <w:p w14:paraId="65DF1F07" w14:textId="77777777" w:rsidR="00564ADD" w:rsidRDefault="00564ADD" w:rsidP="009D1558"/>
        </w:tc>
        <w:tc>
          <w:tcPr>
            <w:tcW w:w="0" w:type="auto"/>
          </w:tcPr>
          <w:p w14:paraId="3BB636DF"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5863CEF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808D924"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67EFF03" w14:textId="77777777" w:rsidR="00564ADD" w:rsidRDefault="00564ADD" w:rsidP="009D1558">
            <w:pPr>
              <w:spacing w:before="100" w:after="0"/>
            </w:pPr>
            <w:r>
              <w:rPr>
                <w:color w:val="000000"/>
              </w:rPr>
              <w:t xml:space="preserve">Funds will be distributed, on a competitive basis, after thresholds have been met and applicants have demonstrated organizational capacity to deliver a federally funded rental assistance program.  KHRC notifies previous TBRA grantees when the application is available. Additionally, the application is available on the website at least 60 days before the due date:  </w:t>
            </w:r>
            <w:hyperlink r:id="rId57" w:history="1">
              <w:r w:rsidRPr="00B9401A">
                <w:rPr>
                  <w:rStyle w:val="Hyperlink"/>
                </w:rPr>
                <w:t>www.kshousingcorp.org</w:t>
              </w:r>
            </w:hyperlink>
            <w:r>
              <w:rPr>
                <w:color w:val="000000"/>
              </w:rPr>
              <w:t xml:space="preserve"> </w:t>
            </w:r>
          </w:p>
        </w:tc>
      </w:tr>
      <w:tr w:rsidR="00564ADD" w14:paraId="73ECDF22" w14:textId="77777777" w:rsidTr="009D1558">
        <w:trPr>
          <w:cantSplit/>
        </w:trPr>
        <w:tc>
          <w:tcPr>
            <w:tcW w:w="0" w:type="auto"/>
            <w:vMerge/>
          </w:tcPr>
          <w:p w14:paraId="55E747E4" w14:textId="77777777" w:rsidR="00564ADD" w:rsidRDefault="00564ADD" w:rsidP="009D1558"/>
        </w:tc>
        <w:tc>
          <w:tcPr>
            <w:tcW w:w="0" w:type="auto"/>
          </w:tcPr>
          <w:p w14:paraId="24BDCE9F"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20AC669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0E90EAB"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7E47F1A" w14:textId="77777777" w:rsidR="00564ADD" w:rsidRDefault="00564ADD" w:rsidP="009D1558">
            <w:pPr>
              <w:spacing w:before="100" w:after="0"/>
            </w:pPr>
            <w:r>
              <w:rPr>
                <w:color w:val="000000"/>
              </w:rPr>
              <w:t>Grant applications may not exceed $400,000. An allowance for administrative costs is added to the total awarded the sub-recipient.</w:t>
            </w:r>
          </w:p>
        </w:tc>
      </w:tr>
      <w:tr w:rsidR="00564ADD" w14:paraId="7B20E59F" w14:textId="77777777" w:rsidTr="009D1558">
        <w:trPr>
          <w:cantSplit/>
        </w:trPr>
        <w:tc>
          <w:tcPr>
            <w:tcW w:w="0" w:type="auto"/>
            <w:vMerge/>
          </w:tcPr>
          <w:p w14:paraId="6139219F" w14:textId="77777777" w:rsidR="00564ADD" w:rsidRDefault="00564ADD" w:rsidP="009D1558"/>
        </w:tc>
        <w:tc>
          <w:tcPr>
            <w:tcW w:w="0" w:type="auto"/>
          </w:tcPr>
          <w:p w14:paraId="67CBBDC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0E3C8683"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30115CC" w14:textId="77777777" w:rsidR="00564ADD" w:rsidRDefault="00564ADD" w:rsidP="009D1558">
            <w:pPr>
              <w:keepNext/>
              <w:spacing w:before="100" w:after="0"/>
              <w:rPr>
                <w:rFonts w:asciiTheme="minorHAnsi" w:eastAsia="Times New Roman" w:hAnsiTheme="minorHAnsi"/>
                <w:b/>
                <w:sz w:val="24"/>
                <w:szCs w:val="24"/>
              </w:rPr>
            </w:pPr>
          </w:p>
          <w:p w14:paraId="1BAE1485"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0055EAE4" w14:textId="77777777" w:rsidR="00564ADD" w:rsidRDefault="00564ADD" w:rsidP="009D1558">
            <w:pPr>
              <w:spacing w:before="100" w:after="0"/>
            </w:pPr>
            <w:r>
              <w:rPr>
                <w:color w:val="000000"/>
              </w:rPr>
              <w:t xml:space="preserve">HOME funds for the TBRA program are expected to provide assistance to 3,750 households over a five-year span.  </w:t>
            </w:r>
          </w:p>
        </w:tc>
      </w:tr>
      <w:tr w:rsidR="00564ADD" w14:paraId="5ADC6079" w14:textId="77777777" w:rsidTr="009D1558">
        <w:trPr>
          <w:cantSplit/>
        </w:trPr>
        <w:tc>
          <w:tcPr>
            <w:tcW w:w="0" w:type="auto"/>
            <w:vMerge w:val="restart"/>
          </w:tcPr>
          <w:p w14:paraId="3815F8D4" w14:textId="77777777" w:rsidR="00564ADD" w:rsidRDefault="00564ADD" w:rsidP="009D1558">
            <w:r>
              <w:rPr>
                <w:b/>
              </w:rPr>
              <w:t>10</w:t>
            </w:r>
          </w:p>
        </w:tc>
        <w:tc>
          <w:tcPr>
            <w:tcW w:w="0" w:type="auto"/>
          </w:tcPr>
          <w:p w14:paraId="3DF7ACD1"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1AD928F" w14:textId="77777777" w:rsidR="00564ADD" w:rsidRDefault="00564ADD" w:rsidP="009D1558">
            <w:pPr>
              <w:spacing w:before="100" w:after="0"/>
            </w:pPr>
            <w:r>
              <w:rPr>
                <w:color w:val="000000"/>
              </w:rPr>
              <w:t>HOME Rental Development</w:t>
            </w:r>
          </w:p>
        </w:tc>
      </w:tr>
      <w:tr w:rsidR="00564ADD" w14:paraId="14803EF0" w14:textId="77777777" w:rsidTr="009D1558">
        <w:trPr>
          <w:cantSplit/>
        </w:trPr>
        <w:tc>
          <w:tcPr>
            <w:tcW w:w="0" w:type="auto"/>
            <w:vMerge/>
          </w:tcPr>
          <w:p w14:paraId="536DEAB5" w14:textId="77777777" w:rsidR="00564ADD" w:rsidRDefault="00564ADD" w:rsidP="009D1558"/>
        </w:tc>
        <w:tc>
          <w:tcPr>
            <w:tcW w:w="0" w:type="auto"/>
          </w:tcPr>
          <w:p w14:paraId="3AD1F90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44C0C4A" w14:textId="77777777" w:rsidR="00564ADD" w:rsidRDefault="00564ADD" w:rsidP="009D1558">
            <w:pPr>
              <w:spacing w:before="100" w:after="0"/>
            </w:pPr>
            <w:r>
              <w:rPr>
                <w:color w:val="000000"/>
              </w:rPr>
              <w:t>HOME</w:t>
            </w:r>
          </w:p>
        </w:tc>
      </w:tr>
      <w:tr w:rsidR="00564ADD" w14:paraId="3BE3D0E3" w14:textId="77777777" w:rsidTr="009D1558">
        <w:trPr>
          <w:cantSplit/>
        </w:trPr>
        <w:tc>
          <w:tcPr>
            <w:tcW w:w="0" w:type="auto"/>
            <w:vMerge/>
          </w:tcPr>
          <w:p w14:paraId="16FB3EAD" w14:textId="77777777" w:rsidR="00564ADD" w:rsidRDefault="00564ADD" w:rsidP="009D1558"/>
        </w:tc>
        <w:tc>
          <w:tcPr>
            <w:tcW w:w="0" w:type="auto"/>
          </w:tcPr>
          <w:p w14:paraId="3FA0433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02409DE9" w14:textId="77777777" w:rsidR="00564ADD" w:rsidRDefault="00564ADD" w:rsidP="009D1558">
            <w:pPr>
              <w:spacing w:before="100" w:after="0"/>
            </w:pPr>
            <w:r>
              <w:rPr>
                <w:color w:val="000000"/>
              </w:rPr>
              <w:t>Eligible activities under the HOME Rental Development Program (HOME Rental) will be acquisition and/or rehabilitation of existing rental housing and new construction of rental housing. In compliance with 24CFR Part 92, HOME-assisted rental units will be subject to rent and income restrictions contained in that statute. KHRC will provide a competitive advantage to applications for funding which commit to income and rent targeting at lower levels than required by statute.   </w:t>
            </w:r>
          </w:p>
          <w:p w14:paraId="03F694D7" w14:textId="77777777" w:rsidR="00564ADD" w:rsidRDefault="00564ADD" w:rsidP="009D1558">
            <w:pPr>
              <w:spacing w:before="100" w:after="0"/>
            </w:pPr>
            <w:r>
              <w:rPr>
                <w:color w:val="000000"/>
              </w:rPr>
              <w:t>KHRC will fund rental development activities which support the objectives of the HOME program to provide affordable housing to lower income households by expanding and maintaining the supply of decent, safe, sanitary, accessible, and affordable rental housing, expanding the capacity of non-profit housing providers, strengthening the ability of state and local governments to provide housing, and leveraging private sector participation. To satisfy the Community Housing Development Organization (CHDO) set-aside requirements of the HOME program, KHRC shall reserve at least 15% of the total HOME allocation for CHDOs acting as owner, developer, or sponsor of a housing development.</w:t>
            </w:r>
          </w:p>
          <w:p w14:paraId="25B8C17E" w14:textId="77777777" w:rsidR="00564ADD" w:rsidRDefault="00564ADD" w:rsidP="009D1558">
            <w:pPr>
              <w:spacing w:before="100" w:after="0"/>
            </w:pPr>
            <w:r>
              <w:rPr>
                <w:color w:val="000000"/>
              </w:rPr>
              <w:t>KHRC may also allocate no more than five percent of the total HOME allocation for eligible CHDO operating expenses. The amount awarded is entirely at the discretion of the KHRC, and subject to 24 CFR, Part 92. Funds from this pool that are not utilized for CHDO operating expenses may be used for other HOME-eligible activities.</w:t>
            </w:r>
          </w:p>
        </w:tc>
      </w:tr>
      <w:tr w:rsidR="00564ADD" w14:paraId="4DF261FC" w14:textId="77777777" w:rsidTr="009D1558">
        <w:trPr>
          <w:cantSplit/>
        </w:trPr>
        <w:tc>
          <w:tcPr>
            <w:tcW w:w="0" w:type="auto"/>
            <w:vMerge/>
          </w:tcPr>
          <w:p w14:paraId="2DD1620E" w14:textId="77777777" w:rsidR="00564ADD" w:rsidRDefault="00564ADD" w:rsidP="009D1558"/>
        </w:tc>
        <w:tc>
          <w:tcPr>
            <w:tcW w:w="0" w:type="auto"/>
          </w:tcPr>
          <w:p w14:paraId="54AB7D1D"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1EBAD0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95AE50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0F110973" w14:textId="77777777" w:rsidR="00564ADD" w:rsidRDefault="00564ADD" w:rsidP="009D1558">
            <w:pPr>
              <w:spacing w:before="100" w:after="0"/>
            </w:pPr>
            <w:r>
              <w:rPr>
                <w:color w:val="000000"/>
              </w:rPr>
              <w:t>A formal system will be used to evaluate, select, and fund applications for loans. The selection criteria are designed to facilitate an objective assessment of need for the proposed housing, the applicant’s capacity to develop and manage affordable housing, and the specific characteristics of the proposed activity (including but not limited to location and site planning, building design and construction, affordability, cost reasonableness, and financial sustainability). When the application becomes available it will be posted on KHRC's website:  www.kshousingcorp.org, and reasonable attempts will be made to notify active Community Housing Development Organizations of its availability. The application dates and review period will coincide with those of KHRC's Low Income Housing Tax Credit (LIHTC) and National Housing Trust Fund (HTF) application rounds, to facilitate the combining and leveraging of those resources to develop affordable housing.</w:t>
            </w:r>
          </w:p>
          <w:p w14:paraId="1BA43455" w14:textId="77777777" w:rsidR="00564ADD" w:rsidRDefault="00564ADD" w:rsidP="009D1558">
            <w:pPr>
              <w:spacing w:before="100" w:after="0"/>
            </w:pPr>
            <w:r>
              <w:rPr>
                <w:color w:val="000000"/>
              </w:rPr>
              <w:t>Applicants will be evaluated for the capacity and experience necessary to build and manage a successful project, and the ability to ensure viability over the statutory affordability period.</w:t>
            </w:r>
          </w:p>
          <w:p w14:paraId="05785329" w14:textId="77777777" w:rsidR="00564ADD" w:rsidRDefault="00564ADD" w:rsidP="009D1558">
            <w:pPr>
              <w:spacing w:before="100" w:after="0"/>
            </w:pPr>
            <w:r>
              <w:rPr>
                <w:color w:val="000000"/>
              </w:rPr>
              <w:t>Applications will be scored on the following criteria:</w:t>
            </w:r>
          </w:p>
          <w:p w14:paraId="741AFACC" w14:textId="77777777" w:rsidR="00564ADD" w:rsidRDefault="00564ADD" w:rsidP="009D1558">
            <w:pPr>
              <w:spacing w:before="100" w:after="0"/>
            </w:pPr>
            <w:r>
              <w:rPr>
                <w:color w:val="000000"/>
              </w:rPr>
              <w:t>1) Location and need for the housing</w:t>
            </w:r>
          </w:p>
          <w:p w14:paraId="4A145912" w14:textId="77777777" w:rsidR="00564ADD" w:rsidRDefault="00564ADD" w:rsidP="009D1558">
            <w:pPr>
              <w:spacing w:before="100" w:after="0"/>
            </w:pPr>
            <w:r>
              <w:rPr>
                <w:color w:val="000000"/>
              </w:rPr>
              <w:t>2) Development characteristics</w:t>
            </w:r>
          </w:p>
          <w:p w14:paraId="09A9F636" w14:textId="77777777" w:rsidR="00564ADD" w:rsidRDefault="00564ADD" w:rsidP="009D1558">
            <w:pPr>
              <w:spacing w:before="100" w:after="0"/>
            </w:pPr>
            <w:r>
              <w:rPr>
                <w:color w:val="000000"/>
              </w:rPr>
              <w:t>3) Applicant Qualifications</w:t>
            </w:r>
          </w:p>
          <w:p w14:paraId="585733F5" w14:textId="77777777" w:rsidR="00564ADD" w:rsidRDefault="00564ADD" w:rsidP="009D1558">
            <w:pPr>
              <w:spacing w:before="100" w:after="0"/>
            </w:pPr>
            <w:r>
              <w:rPr>
                <w:color w:val="000000"/>
              </w:rPr>
              <w:t>4) Proposed tenant population characteristics, and</w:t>
            </w:r>
          </w:p>
          <w:p w14:paraId="24711CA4" w14:textId="77777777" w:rsidR="00564ADD" w:rsidRDefault="00564ADD" w:rsidP="009D1558">
            <w:pPr>
              <w:spacing w:before="100" w:after="0"/>
            </w:pPr>
            <w:r>
              <w:rPr>
                <w:color w:val="000000"/>
              </w:rPr>
              <w:t>5) Sustainability and Financial Viability.</w:t>
            </w:r>
          </w:p>
          <w:p w14:paraId="226482DE" w14:textId="77777777" w:rsidR="00564ADD" w:rsidRDefault="00564ADD" w:rsidP="009D1558">
            <w:pPr>
              <w:spacing w:before="100" w:after="0"/>
            </w:pPr>
            <w:r>
              <w:rPr>
                <w:color w:val="000000"/>
              </w:rPr>
              <w:t>Specific scoring numbers and criteria are subject to adjustment and will be published along with the funding application and application guidelines.</w:t>
            </w:r>
          </w:p>
          <w:p w14:paraId="04FD3679" w14:textId="77777777" w:rsidR="00564ADD" w:rsidRDefault="00564ADD" w:rsidP="009D1558">
            <w:pPr>
              <w:spacing w:before="100" w:after="0"/>
            </w:pPr>
            <w:r>
              <w:rPr>
                <w:color w:val="000000"/>
              </w:rPr>
              <w:t>The applicant must be a Community Housing Development Organization (CHDO), or a partnership (LP or LLC) of which a CHDO is a managing member or partner.  The applicant must have the experience and capacity to carry out any activity proposed to use HOME funds.   </w:t>
            </w:r>
          </w:p>
          <w:p w14:paraId="011F7FCD" w14:textId="77777777" w:rsidR="00564ADD" w:rsidRDefault="00564ADD" w:rsidP="009D1558">
            <w:pPr>
              <w:spacing w:before="100" w:after="0"/>
            </w:pPr>
            <w:r>
              <w:rPr>
                <w:color w:val="000000"/>
              </w:rPr>
              <w:t> Projects will be selected for geographic diversity including urban and rural communities across the state.</w:t>
            </w:r>
          </w:p>
          <w:p w14:paraId="307685A9" w14:textId="77777777" w:rsidR="00564ADD" w:rsidRDefault="00564ADD" w:rsidP="009D1558">
            <w:pPr>
              <w:spacing w:before="100" w:after="0"/>
            </w:pPr>
          </w:p>
        </w:tc>
      </w:tr>
      <w:tr w:rsidR="00564ADD" w14:paraId="5F566B70" w14:textId="77777777" w:rsidTr="009D1558">
        <w:trPr>
          <w:cantSplit/>
        </w:trPr>
        <w:tc>
          <w:tcPr>
            <w:tcW w:w="0" w:type="auto"/>
            <w:vMerge/>
          </w:tcPr>
          <w:p w14:paraId="66A5F1B9" w14:textId="77777777" w:rsidR="00564ADD" w:rsidRDefault="00564ADD" w:rsidP="009D1558"/>
        </w:tc>
        <w:tc>
          <w:tcPr>
            <w:tcW w:w="0" w:type="auto"/>
          </w:tcPr>
          <w:p w14:paraId="0737416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6DD4647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81FA3A5"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0D5A637" w14:textId="77777777" w:rsidR="00564ADD" w:rsidRDefault="00564ADD" w:rsidP="009D1558">
            <w:pPr>
              <w:spacing w:before="100" w:after="0"/>
            </w:pPr>
            <w:r>
              <w:rPr>
                <w:color w:val="000000"/>
              </w:rPr>
              <w:t>The application process for HOME rental housing development funds is competitive.  See above process for details.</w:t>
            </w:r>
          </w:p>
        </w:tc>
      </w:tr>
      <w:tr w:rsidR="00564ADD" w14:paraId="7FD2B037" w14:textId="77777777" w:rsidTr="009D1558">
        <w:trPr>
          <w:cantSplit/>
        </w:trPr>
        <w:tc>
          <w:tcPr>
            <w:tcW w:w="0" w:type="auto"/>
            <w:vMerge/>
          </w:tcPr>
          <w:p w14:paraId="11649144" w14:textId="77777777" w:rsidR="00564ADD" w:rsidRDefault="00564ADD" w:rsidP="009D1558"/>
        </w:tc>
        <w:tc>
          <w:tcPr>
            <w:tcW w:w="0" w:type="auto"/>
          </w:tcPr>
          <w:p w14:paraId="5A258E8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6DDAC7E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D3405D0"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FD00A8D" w14:textId="77777777" w:rsidR="00564ADD" w:rsidRDefault="00564ADD" w:rsidP="009D1558">
            <w:pPr>
              <w:spacing w:before="100" w:after="0"/>
            </w:pPr>
            <w:r>
              <w:rPr>
                <w:color w:val="000000"/>
              </w:rPr>
              <w:t>Before an application is scored and ranked, it must meet threshold requirements for the program:</w:t>
            </w:r>
          </w:p>
          <w:p w14:paraId="7B31A527" w14:textId="77777777" w:rsidR="00564ADD" w:rsidRDefault="00564ADD" w:rsidP="009D1558">
            <w:pPr>
              <w:spacing w:before="100" w:after="0"/>
            </w:pPr>
            <w:r>
              <w:rPr>
                <w:color w:val="000000"/>
              </w:rPr>
              <w:br/>
              <w:t xml:space="preserve">   1. The application must be for a qualified residential rental development that meets the HOME Program requirements at 24 CFR Part 92, as amended;</w:t>
            </w:r>
          </w:p>
          <w:p w14:paraId="3A99B285" w14:textId="77777777" w:rsidR="00564ADD" w:rsidRDefault="00564ADD" w:rsidP="009D1558">
            <w:pPr>
              <w:spacing w:before="100" w:after="0"/>
            </w:pPr>
            <w:r>
              <w:rPr>
                <w:color w:val="000000"/>
              </w:rPr>
              <w:t> 2. The development must meet the low-income housing priorities as identified in the applicable state or local Consolidated Plan;</w:t>
            </w:r>
          </w:p>
          <w:p w14:paraId="35625AC7" w14:textId="77777777" w:rsidR="00564ADD" w:rsidRDefault="00564ADD" w:rsidP="009D1558">
            <w:pPr>
              <w:spacing w:before="100" w:after="0"/>
            </w:pPr>
            <w:r>
              <w:rPr>
                <w:color w:val="000000"/>
              </w:rPr>
              <w:t> 3. The development is ready to proceed as documented by:</w:t>
            </w:r>
          </w:p>
          <w:p w14:paraId="1941628E" w14:textId="77777777" w:rsidR="00564ADD" w:rsidRDefault="00564ADD" w:rsidP="00A121EE">
            <w:pPr>
              <w:numPr>
                <w:ilvl w:val="0"/>
                <w:numId w:val="10"/>
              </w:numPr>
              <w:spacing w:before="100" w:after="0"/>
            </w:pPr>
            <w:r>
              <w:rPr>
                <w:color w:val="000000"/>
              </w:rPr>
              <w:t>Evidence of appropriate site control;</w:t>
            </w:r>
          </w:p>
          <w:p w14:paraId="7C6EA864" w14:textId="77777777" w:rsidR="00564ADD" w:rsidRDefault="00564ADD" w:rsidP="00A121EE">
            <w:pPr>
              <w:numPr>
                <w:ilvl w:val="0"/>
                <w:numId w:val="10"/>
              </w:numPr>
              <w:spacing w:before="100" w:after="0"/>
            </w:pPr>
            <w:r>
              <w:rPr>
                <w:color w:val="000000"/>
              </w:rPr>
              <w:t>Zoning approval or application for zoning approval with a letter from the zoning administrator citing that the zoning request is consistent with the local plan or that the local plan could be changed to be consistent with the zoning request;</w:t>
            </w:r>
          </w:p>
          <w:p w14:paraId="3C3EF71E" w14:textId="77777777" w:rsidR="00564ADD" w:rsidRDefault="00564ADD" w:rsidP="00A121EE">
            <w:pPr>
              <w:numPr>
                <w:ilvl w:val="0"/>
                <w:numId w:val="10"/>
              </w:numPr>
              <w:spacing w:before="100" w:after="0"/>
            </w:pPr>
            <w:r>
              <w:rPr>
                <w:color w:val="000000"/>
              </w:rPr>
              <w:t>Evidence of availability of adequate utilities at the site;</w:t>
            </w:r>
          </w:p>
          <w:p w14:paraId="569B1E3A" w14:textId="77777777" w:rsidR="00564ADD" w:rsidRDefault="00564ADD" w:rsidP="00A121EE">
            <w:pPr>
              <w:numPr>
                <w:ilvl w:val="0"/>
                <w:numId w:val="10"/>
              </w:numPr>
              <w:spacing w:before="100" w:after="0"/>
            </w:pPr>
            <w:r>
              <w:rPr>
                <w:color w:val="000000"/>
              </w:rPr>
              <w:t>Commitment letters for all sources of financing;</w:t>
            </w:r>
          </w:p>
          <w:p w14:paraId="17E3793B" w14:textId="77777777" w:rsidR="00564ADD" w:rsidRDefault="00564ADD" w:rsidP="009D1558">
            <w:pPr>
              <w:spacing w:before="100" w:after="0"/>
            </w:pPr>
            <w:r>
              <w:rPr>
                <w:color w:val="000000"/>
              </w:rPr>
              <w:t> 4. Rural Development (RD) Form AD 622 commitment, if applicable;</w:t>
            </w:r>
          </w:p>
          <w:p w14:paraId="0CAE7DF7" w14:textId="77777777" w:rsidR="00564ADD" w:rsidRDefault="00564ADD" w:rsidP="009D1558">
            <w:pPr>
              <w:spacing w:before="100" w:after="0"/>
            </w:pPr>
            <w:r>
              <w:rPr>
                <w:color w:val="000000"/>
              </w:rPr>
              <w:t> 5.  Applicants for HOME CHDO Set-Aside funds must meet the following criteria:</w:t>
            </w:r>
          </w:p>
          <w:p w14:paraId="1D2322AE" w14:textId="77777777" w:rsidR="00564ADD" w:rsidRDefault="00564ADD" w:rsidP="00A121EE">
            <w:pPr>
              <w:numPr>
                <w:ilvl w:val="0"/>
                <w:numId w:val="10"/>
              </w:numPr>
              <w:spacing w:before="100" w:after="0"/>
            </w:pPr>
            <w:r>
              <w:rPr>
                <w:color w:val="000000"/>
              </w:rPr>
              <w:t>The applicant must be a Community Housing Development Organization (CHDO) certified as such by the Kansas Housing Resources Corporation.</w:t>
            </w:r>
          </w:p>
          <w:p w14:paraId="67F63EA8" w14:textId="77777777" w:rsidR="00564ADD" w:rsidRDefault="00564ADD" w:rsidP="00A121EE">
            <w:pPr>
              <w:numPr>
                <w:ilvl w:val="0"/>
                <w:numId w:val="10"/>
              </w:numPr>
              <w:spacing w:before="100" w:after="0"/>
            </w:pPr>
            <w:r>
              <w:rPr>
                <w:color w:val="000000"/>
              </w:rPr>
              <w:t>The CHDO must have the capacity to Own, Develop, or Sponsor affordable rental housing, as appropriate to the application, and as defined at 24 CFR 92.300.</w:t>
            </w:r>
          </w:p>
          <w:p w14:paraId="6CCE9DE0" w14:textId="77777777" w:rsidR="00564ADD" w:rsidRDefault="00564ADD" w:rsidP="009D1558">
            <w:pPr>
              <w:spacing w:before="100" w:after="0"/>
            </w:pPr>
            <w:r>
              <w:rPr>
                <w:color w:val="000000"/>
              </w:rPr>
              <w:t> 6. A complete application - any application that is not complete may be automatically rejected.</w:t>
            </w:r>
          </w:p>
          <w:p w14:paraId="4D8B9B53" w14:textId="77777777" w:rsidR="00564ADD" w:rsidRDefault="00564ADD" w:rsidP="009D1558">
            <w:pPr>
              <w:spacing w:before="100" w:after="0"/>
            </w:pPr>
            <w:r>
              <w:rPr>
                <w:color w:val="000000"/>
              </w:rPr>
              <w:t>Loan awards will not exceed $500,000.</w:t>
            </w:r>
          </w:p>
        </w:tc>
      </w:tr>
      <w:tr w:rsidR="00564ADD" w14:paraId="65688267" w14:textId="77777777" w:rsidTr="009D1558">
        <w:trPr>
          <w:cantSplit/>
        </w:trPr>
        <w:tc>
          <w:tcPr>
            <w:tcW w:w="0" w:type="auto"/>
            <w:vMerge/>
          </w:tcPr>
          <w:p w14:paraId="50BF31DB" w14:textId="77777777" w:rsidR="00564ADD" w:rsidRDefault="00564ADD" w:rsidP="009D1558"/>
        </w:tc>
        <w:tc>
          <w:tcPr>
            <w:tcW w:w="0" w:type="auto"/>
          </w:tcPr>
          <w:p w14:paraId="51E86C6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5C93C76B"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C563475" w14:textId="77777777" w:rsidR="00564ADD" w:rsidRDefault="00564ADD" w:rsidP="009D1558">
            <w:pPr>
              <w:keepNext/>
              <w:spacing w:before="100" w:after="0"/>
              <w:rPr>
                <w:rFonts w:asciiTheme="minorHAnsi" w:eastAsia="Times New Roman" w:hAnsiTheme="minorHAnsi"/>
                <w:b/>
                <w:sz w:val="24"/>
                <w:szCs w:val="24"/>
              </w:rPr>
            </w:pPr>
          </w:p>
          <w:p w14:paraId="02272527"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32C908EF" w14:textId="5E69DEC5" w:rsidR="00564ADD" w:rsidRDefault="00564ADD" w:rsidP="009D1558">
            <w:pPr>
              <w:spacing w:before="100" w:after="0"/>
            </w:pPr>
            <w:r>
              <w:rPr>
                <w:color w:val="000000"/>
              </w:rPr>
              <w:t xml:space="preserve">HOME funds for the Home Rental Development program are expected to provide assistance to </w:t>
            </w:r>
            <w:r w:rsidR="00180A50">
              <w:rPr>
                <w:color w:val="000000"/>
              </w:rPr>
              <w:t>175</w:t>
            </w:r>
            <w:r>
              <w:rPr>
                <w:color w:val="000000"/>
              </w:rPr>
              <w:t xml:space="preserve"> rental units over a five-year span.  </w:t>
            </w:r>
          </w:p>
        </w:tc>
      </w:tr>
      <w:tr w:rsidR="00564ADD" w14:paraId="6E26F09B" w14:textId="77777777" w:rsidTr="009D1558">
        <w:trPr>
          <w:cantSplit/>
        </w:trPr>
        <w:tc>
          <w:tcPr>
            <w:tcW w:w="0" w:type="auto"/>
            <w:vMerge w:val="restart"/>
          </w:tcPr>
          <w:p w14:paraId="755FA87E" w14:textId="77777777" w:rsidR="00564ADD" w:rsidRDefault="00564ADD" w:rsidP="009D1558">
            <w:r>
              <w:rPr>
                <w:b/>
              </w:rPr>
              <w:t>11</w:t>
            </w:r>
          </w:p>
        </w:tc>
        <w:tc>
          <w:tcPr>
            <w:tcW w:w="0" w:type="auto"/>
          </w:tcPr>
          <w:p w14:paraId="71CFEC5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0ABE96E" w14:textId="77777777" w:rsidR="00564ADD" w:rsidRDefault="00564ADD" w:rsidP="009D1558">
            <w:pPr>
              <w:spacing w:before="100" w:after="0"/>
            </w:pPr>
            <w:r>
              <w:rPr>
                <w:color w:val="000000"/>
              </w:rPr>
              <w:t>Housing Trust Fund</w:t>
            </w:r>
          </w:p>
        </w:tc>
      </w:tr>
      <w:tr w:rsidR="00564ADD" w14:paraId="0C49F4AA" w14:textId="77777777" w:rsidTr="009D1558">
        <w:trPr>
          <w:cantSplit/>
        </w:trPr>
        <w:tc>
          <w:tcPr>
            <w:tcW w:w="0" w:type="auto"/>
            <w:vMerge/>
          </w:tcPr>
          <w:p w14:paraId="66E96DBB" w14:textId="77777777" w:rsidR="00564ADD" w:rsidRDefault="00564ADD" w:rsidP="009D1558"/>
        </w:tc>
        <w:tc>
          <w:tcPr>
            <w:tcW w:w="0" w:type="auto"/>
          </w:tcPr>
          <w:p w14:paraId="24238FDA"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03526DC6" w14:textId="77777777" w:rsidR="00564ADD" w:rsidRDefault="00564ADD" w:rsidP="009D1558">
            <w:pPr>
              <w:spacing w:before="100" w:after="0"/>
            </w:pPr>
            <w:r>
              <w:rPr>
                <w:color w:val="000000"/>
              </w:rPr>
              <w:t>HTF</w:t>
            </w:r>
          </w:p>
        </w:tc>
      </w:tr>
      <w:tr w:rsidR="00564ADD" w14:paraId="2EA10258" w14:textId="77777777" w:rsidTr="009D1558">
        <w:trPr>
          <w:cantSplit/>
        </w:trPr>
        <w:tc>
          <w:tcPr>
            <w:tcW w:w="0" w:type="auto"/>
            <w:vMerge/>
          </w:tcPr>
          <w:p w14:paraId="0C3BC5ED" w14:textId="77777777" w:rsidR="00564ADD" w:rsidRDefault="00564ADD" w:rsidP="009D1558"/>
        </w:tc>
        <w:tc>
          <w:tcPr>
            <w:tcW w:w="0" w:type="auto"/>
          </w:tcPr>
          <w:p w14:paraId="6C24C6FD"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59F2C7CE" w14:textId="77777777" w:rsidR="00564ADD" w:rsidRDefault="00564ADD" w:rsidP="009D1558">
            <w:pPr>
              <w:spacing w:before="100" w:after="0"/>
            </w:pPr>
            <w:r>
              <w:rPr>
                <w:color w:val="000000"/>
              </w:rPr>
              <w:t>Distribution of Funds:</w:t>
            </w:r>
          </w:p>
          <w:p w14:paraId="51E8125C" w14:textId="77777777" w:rsidR="00564ADD" w:rsidRDefault="00564ADD" w:rsidP="009D1558">
            <w:pPr>
              <w:spacing w:before="100" w:after="0"/>
            </w:pPr>
            <w:r>
              <w:rPr>
                <w:color w:val="000000"/>
              </w:rPr>
              <w:t>KHRC will not distribute HTF funds through local jurisdiction subgrantees. </w:t>
            </w:r>
          </w:p>
          <w:p w14:paraId="4F153C2C" w14:textId="77777777" w:rsidR="00564ADD" w:rsidRDefault="00564ADD" w:rsidP="009D1558">
            <w:pPr>
              <w:spacing w:before="100" w:after="0"/>
            </w:pPr>
            <w:r>
              <w:rPr>
                <w:color w:val="000000"/>
              </w:rPr>
              <w:t>HTF funds will be distributed statewide, including HOME and CDBG Entitlement Communities to eligible recipients whose applications address the criteria outlined in this allocation plan as well as priority housing needs as identified in the state’s Consolidated Plan. </w:t>
            </w:r>
          </w:p>
          <w:p w14:paraId="7CB23B46" w14:textId="77777777" w:rsidR="00564ADD" w:rsidRDefault="00564ADD" w:rsidP="009D1558">
            <w:pPr>
              <w:spacing w:before="100" w:after="0"/>
            </w:pPr>
            <w:r>
              <w:rPr>
                <w:color w:val="000000"/>
              </w:rPr>
              <w:t>HTF funds will be offered as a loan, with payments deferred for the duration of the statutory affordability period, provided the activity is completed per the written agreement, and remains compliant with the terms of both the statute and written agreement for the duration of that affordability period. </w:t>
            </w:r>
          </w:p>
          <w:p w14:paraId="5C98DDB8" w14:textId="77777777" w:rsidR="00564ADD" w:rsidRDefault="00564ADD" w:rsidP="009D1558">
            <w:pPr>
              <w:spacing w:before="100" w:after="0"/>
            </w:pPr>
            <w:r>
              <w:rPr>
                <w:color w:val="000000"/>
              </w:rPr>
              <w:t>Eligible activities under Housing Trust Fund (HTF) are acquisition and/or rehabilitation of existing rental housing and new construction of rental housing. In compliance with 24CFR Part 93, HTF-assisted rental units will be subject to rent and income restrictions contained in that statute for a minimum of 30 years. KHRC will provide a competitive advantage to applications for funding which demonstrate project sustainability well beyond the statutory 30-year affordability period.   </w:t>
            </w:r>
          </w:p>
          <w:p w14:paraId="6F7ECE42" w14:textId="77777777" w:rsidR="00564ADD" w:rsidRDefault="00564ADD" w:rsidP="009D1558">
            <w:pPr>
              <w:spacing w:before="100" w:after="0"/>
            </w:pPr>
            <w:r>
              <w:rPr>
                <w:color w:val="000000"/>
              </w:rPr>
              <w:t>KHRC will fund rental development activities which support the objectives of the HTF program to provide affordable housing to extremely-low-income households by expanding and maintaining the supply of decent, safe, sanitary, accessible, and affordable rental housing and leveraging private sector participation. </w:t>
            </w:r>
          </w:p>
          <w:p w14:paraId="6EBBA1D3" w14:textId="77777777" w:rsidR="00564ADD" w:rsidRDefault="00564ADD" w:rsidP="009D1558">
            <w:pPr>
              <w:spacing w:before="100" w:after="0"/>
            </w:pPr>
            <w:r>
              <w:rPr>
                <w:color w:val="000000"/>
              </w:rPr>
              <w:t>KHRC may also allocate no more than one third of the total HTF allocation for eligible operating cost assistance and reserves in accordance with 24 CFR 93.201(e). The amount awarded is entirely at the discretion of the KHRC, and subject to the project underwriting requirements contained in the statute. </w:t>
            </w:r>
          </w:p>
          <w:p w14:paraId="2F3C1291" w14:textId="77777777" w:rsidR="00564ADD" w:rsidRDefault="00564ADD" w:rsidP="009D1558">
            <w:pPr>
              <w:spacing w:before="100" w:after="0"/>
            </w:pPr>
            <w:r>
              <w:rPr>
                <w:color w:val="000000"/>
              </w:rPr>
              <w:t>When the application becomes available, it is posted on our website:  www.kshousingcorp.org.  The application also coincides with the tax credit and HOME rental development application rounds.</w:t>
            </w:r>
          </w:p>
        </w:tc>
      </w:tr>
      <w:tr w:rsidR="00564ADD" w14:paraId="3E7A4BCC" w14:textId="77777777" w:rsidTr="009D1558">
        <w:trPr>
          <w:cantSplit/>
        </w:trPr>
        <w:tc>
          <w:tcPr>
            <w:tcW w:w="0" w:type="auto"/>
            <w:vMerge/>
          </w:tcPr>
          <w:p w14:paraId="71E3B040" w14:textId="77777777" w:rsidR="00564ADD" w:rsidRDefault="00564ADD" w:rsidP="009D1558"/>
        </w:tc>
        <w:tc>
          <w:tcPr>
            <w:tcW w:w="0" w:type="auto"/>
          </w:tcPr>
          <w:p w14:paraId="46ED6FA0"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1DE0280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B6BE198"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vMerge w:val="restart"/>
          </w:tcPr>
          <w:p w14:paraId="34BA4A47" w14:textId="77777777" w:rsidR="00564ADD" w:rsidRDefault="00564ADD" w:rsidP="009D1558">
            <w:pPr>
              <w:spacing w:before="100" w:after="0"/>
            </w:pPr>
            <w:r>
              <w:rPr>
                <w:color w:val="000000"/>
              </w:rPr>
              <w:t>Applicants will be evaluated for the capacity and experience necessary to build and manage a successful project, and the ability to ensure viability over the statutory affordability period. </w:t>
            </w:r>
          </w:p>
          <w:p w14:paraId="69C05943" w14:textId="77777777" w:rsidR="00564ADD" w:rsidRDefault="00564ADD" w:rsidP="009D1558">
            <w:pPr>
              <w:spacing w:before="100" w:after="0"/>
            </w:pPr>
            <w:r>
              <w:rPr>
                <w:color w:val="000000"/>
              </w:rPr>
              <w:t>The applicant must be a for-profit or non-profit developer with the experience and capacity to carry out any activity proposed to use HTF funds.   </w:t>
            </w:r>
          </w:p>
          <w:p w14:paraId="132D4685" w14:textId="77777777" w:rsidR="00564ADD" w:rsidRDefault="00564ADD" w:rsidP="009D1558">
            <w:pPr>
              <w:spacing w:before="100" w:after="0"/>
            </w:pPr>
            <w:r>
              <w:rPr>
                <w:color w:val="000000"/>
              </w:rPr>
              <w:t xml:space="preserve">Eligible applicants will include for-profit and non-profit developers and public housing agencies (but may not be used for public housing except as described at 24 CFR 93.203). HTF funds will </w:t>
            </w:r>
            <w:r>
              <w:rPr>
                <w:i/>
                <w:color w:val="000000"/>
              </w:rPr>
              <w:t>not</w:t>
            </w:r>
            <w:r>
              <w:rPr>
                <w:color w:val="000000"/>
              </w:rPr>
              <w:t xml:space="preserve"> be distributed through grants to subgrantees, including state or local units of government.</w:t>
            </w:r>
          </w:p>
          <w:p w14:paraId="4AF7145D" w14:textId="77777777" w:rsidR="00564ADD" w:rsidRDefault="00564ADD" w:rsidP="009D1558">
            <w:pPr>
              <w:spacing w:before="100" w:after="0"/>
            </w:pPr>
            <w:r>
              <w:rPr>
                <w:color w:val="000000"/>
              </w:rPr>
              <w:t>A formal system will be used to evaluate, select, and fund applications for loans. The selection criteria are designed to facilitate an objective assessment of need for the proposed housing, the applicant’s capacity to develop and manage affordable housing, and the specific characteristics of the proposed activity (including but not limited to location and site planning, building design and construction, affordability, cost reasonableness, and financial sustainability). When the application becomes available it will be posted on KHRC's website:  www.kshousingcorp.org, and reasonable attempts will be made to notify potential applicants of its availability. The application dates and review period will coincide with those of KHRC's Low Income Housing Tax Credit (LIHTC) and HOME Rental Development application rounds, in order to facilitate the combining and leveraging of those resources to develop affordable housing.</w:t>
            </w:r>
          </w:p>
          <w:p w14:paraId="03D50888" w14:textId="77777777" w:rsidR="00564ADD" w:rsidRDefault="00564ADD" w:rsidP="00A121EE">
            <w:pPr>
              <w:numPr>
                <w:ilvl w:val="0"/>
                <w:numId w:val="56"/>
              </w:numPr>
              <w:spacing w:before="100" w:after="0"/>
            </w:pPr>
            <w:r>
              <w:rPr>
                <w:color w:val="000000"/>
              </w:rPr>
              <w:t>Projects will be selected for geographic diversity including urban and rural communities across the state.</w:t>
            </w:r>
          </w:p>
          <w:p w14:paraId="1EB50D98" w14:textId="77777777" w:rsidR="00564ADD" w:rsidRDefault="00564ADD" w:rsidP="00A121EE">
            <w:pPr>
              <w:numPr>
                <w:ilvl w:val="0"/>
                <w:numId w:val="56"/>
              </w:numPr>
              <w:spacing w:before="100" w:after="0"/>
            </w:pPr>
            <w:r>
              <w:rPr>
                <w:color w:val="000000"/>
              </w:rPr>
              <w:t>Applications will be evaluated for local need. Geographic priorities will be communities (cities, counties, geographic regions, neighborhoods) with significantly higher rates of poverty or shortage of housing for Extremely Low Income (ELI) households compared to other locations.</w:t>
            </w:r>
          </w:p>
          <w:p w14:paraId="22D73EF0" w14:textId="77777777" w:rsidR="00564ADD" w:rsidRDefault="00564ADD" w:rsidP="00A121EE">
            <w:pPr>
              <w:numPr>
                <w:ilvl w:val="0"/>
                <w:numId w:val="56"/>
              </w:numPr>
              <w:spacing w:before="100" w:after="0"/>
            </w:pPr>
            <w:r>
              <w:rPr>
                <w:color w:val="000000"/>
              </w:rPr>
              <w:t>Applications will receive consideration only if it can be demonstrated to be financially viable, at a minimum, throughout the 30-year affordability period.  Applications will be evaluated and prioritized for sustainability beyond that minimum threshold, including through the availability of project based rental assistance.</w:t>
            </w:r>
          </w:p>
          <w:p w14:paraId="369631F0" w14:textId="77777777" w:rsidR="00564ADD" w:rsidRDefault="00564ADD" w:rsidP="00A121EE">
            <w:pPr>
              <w:numPr>
                <w:ilvl w:val="0"/>
                <w:numId w:val="56"/>
              </w:numPr>
              <w:spacing w:before="100" w:after="0"/>
            </w:pPr>
            <w:r>
              <w:rPr>
                <w:color w:val="000000"/>
              </w:rPr>
              <w:t>Applications will be scored based on the applicant’s ability to obligate HTF funds and undertake the project in a timely manner, as evidenced by current and past performance, commitment of other funding sources, site control, local support, development capacity, etc.</w:t>
            </w:r>
          </w:p>
          <w:p w14:paraId="3B06993B" w14:textId="77777777" w:rsidR="00564ADD" w:rsidRDefault="00564ADD" w:rsidP="00A121EE">
            <w:pPr>
              <w:pStyle w:val="ListParagraph"/>
              <w:numPr>
                <w:ilvl w:val="0"/>
                <w:numId w:val="56"/>
              </w:numPr>
              <w:spacing w:before="100" w:after="0"/>
            </w:pPr>
            <w:r w:rsidRPr="00E066E9">
              <w:rPr>
                <w:color w:val="000000"/>
              </w:rPr>
              <w:t>Applications which include a long term commitment for project based rental assistance will be prioritized for the ability to maintain positive cash flow while keeping rents affordable to ELI households. </w:t>
            </w:r>
          </w:p>
          <w:p w14:paraId="07314C7F" w14:textId="77777777" w:rsidR="00564ADD" w:rsidRDefault="00564ADD" w:rsidP="00A121EE">
            <w:pPr>
              <w:numPr>
                <w:ilvl w:val="0"/>
                <w:numId w:val="21"/>
              </w:numPr>
              <w:spacing w:before="100" w:after="0"/>
            </w:pPr>
            <w:r>
              <w:rPr>
                <w:color w:val="000000"/>
              </w:rPr>
              <w:t>Applications may provide housing for specific subpopulations that are understood to have a higher rate of household poverty (such as elderly, disabled, victims of domestic abuse, persons aging out of foster care or transitioning from institutions, homeless families and individuals, etc.), or if they integrate extremely low-income households into more economically diverse neighborhoods or housing developments.  HTF activities may limit beneficiaries or provide preferences to specific populations with extremely low income as allowed by the HTF Interim Rule at 24 CFR 93.303(d)(3). Consistent with the Kansas Annual Action Plan AP-30, proposed HTF projects may provide limitations or preferences for elderly, households covered by the Housing for Older Persons Act (HOPA), disabled, victims of domestic abuse, persons aging out of the foster care system or transitioning from institutions, and homeless families or individuals; provided those preferences do not violate the nondiscrimination requirements at 24 CFR 93.350. The tenant protections enumerated at 24 CFR 93.303 apply to all HTF-assisted housing regardless of beneficiary limitations or preference, or other program requirements.</w:t>
            </w:r>
          </w:p>
          <w:p w14:paraId="0950525F" w14:textId="77777777" w:rsidR="00564ADD" w:rsidRDefault="00564ADD" w:rsidP="00A121EE">
            <w:pPr>
              <w:numPr>
                <w:ilvl w:val="0"/>
                <w:numId w:val="21"/>
              </w:numPr>
              <w:spacing w:before="100" w:after="0"/>
            </w:pPr>
            <w:r>
              <w:rPr>
                <w:color w:val="000000"/>
              </w:rPr>
              <w:t>Applications will be prioritized based on the extent to which a project is located near essential services, transportation, and supportive services necessary for the health and independence of the target population, and the extent to which there is a commitment from the applicant or associated entities to provide supportive services. Acceptance of supportive services cannot, however, be a requirement for occupancy of an HTF assisted unit, nor can refusal of services be grounds for termination or non-renewal of a lease. </w:t>
            </w:r>
          </w:p>
          <w:p w14:paraId="6974BCC2" w14:textId="77777777" w:rsidR="00564ADD" w:rsidRDefault="00564ADD" w:rsidP="00A121EE">
            <w:pPr>
              <w:numPr>
                <w:ilvl w:val="0"/>
                <w:numId w:val="21"/>
              </w:numPr>
              <w:spacing w:before="100" w:after="0"/>
            </w:pPr>
            <w:r>
              <w:rPr>
                <w:color w:val="000000"/>
              </w:rPr>
              <w:t>Applications will be evaluated based on the extent to which other resources are leveraged, from both federal and non-federal sources. Priority will be given to projects that successfully leverage non-federal sources of funds to create a sustainable project.</w:t>
            </w:r>
          </w:p>
        </w:tc>
      </w:tr>
      <w:tr w:rsidR="00564ADD" w14:paraId="54C27BA3" w14:textId="77777777" w:rsidTr="009D1558">
        <w:trPr>
          <w:cantSplit/>
        </w:trPr>
        <w:tc>
          <w:tcPr>
            <w:tcW w:w="0" w:type="auto"/>
            <w:vMerge/>
          </w:tcPr>
          <w:p w14:paraId="74BAAB78" w14:textId="77777777" w:rsidR="00564ADD" w:rsidRDefault="00564ADD" w:rsidP="009D1558"/>
        </w:tc>
        <w:tc>
          <w:tcPr>
            <w:tcW w:w="0" w:type="auto"/>
          </w:tcPr>
          <w:p w14:paraId="38511D0B" w14:textId="77777777" w:rsidR="00564ADD" w:rsidRDefault="00564ADD" w:rsidP="009D1558">
            <w:pPr>
              <w:keepNext/>
              <w:widowControl w:val="0"/>
              <w:spacing w:before="100" w:after="0"/>
              <w:rPr>
                <w:rFonts w:asciiTheme="minorHAnsi" w:hAnsiTheme="minorHAnsi"/>
                <w:b/>
                <w:sz w:val="24"/>
                <w:szCs w:val="24"/>
              </w:rPr>
            </w:pPr>
          </w:p>
        </w:tc>
        <w:tc>
          <w:tcPr>
            <w:tcW w:w="0" w:type="auto"/>
            <w:vMerge/>
          </w:tcPr>
          <w:p w14:paraId="1AD411FB" w14:textId="77777777" w:rsidR="00564ADD" w:rsidRDefault="00564ADD" w:rsidP="00A121EE">
            <w:pPr>
              <w:numPr>
                <w:ilvl w:val="0"/>
                <w:numId w:val="21"/>
              </w:numPr>
              <w:spacing w:before="100" w:after="0"/>
            </w:pPr>
          </w:p>
        </w:tc>
      </w:tr>
      <w:tr w:rsidR="00564ADD" w14:paraId="72875994" w14:textId="77777777" w:rsidTr="009D1558">
        <w:trPr>
          <w:cantSplit/>
        </w:trPr>
        <w:tc>
          <w:tcPr>
            <w:tcW w:w="0" w:type="auto"/>
            <w:vMerge/>
          </w:tcPr>
          <w:p w14:paraId="440DF18F" w14:textId="77777777" w:rsidR="00564ADD" w:rsidRDefault="00564ADD" w:rsidP="009D1558"/>
        </w:tc>
        <w:tc>
          <w:tcPr>
            <w:tcW w:w="0" w:type="auto"/>
          </w:tcPr>
          <w:p w14:paraId="65F8D08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1564426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42552DB5"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8C757FD" w14:textId="77777777" w:rsidR="00564ADD" w:rsidRDefault="00564ADD" w:rsidP="009D1558">
            <w:pPr>
              <w:spacing w:before="100" w:after="0"/>
            </w:pPr>
            <w:r>
              <w:rPr>
                <w:color w:val="000000"/>
              </w:rPr>
              <w:t>HTF funds will be used exclusively for rental housing development, including new construction, acquisition and/or rehabilitation. No more than one-third of the annual allocation may be used for operating deficit assistance. Up to 10% of the total allocation will be used for eligible administrative and planning costs. The application process for HTF rental housing development funds is competitive among eligible recipients.     </w:t>
            </w:r>
          </w:p>
        </w:tc>
      </w:tr>
      <w:tr w:rsidR="00564ADD" w14:paraId="79E088A2" w14:textId="77777777" w:rsidTr="009D1558">
        <w:trPr>
          <w:cantSplit/>
        </w:trPr>
        <w:tc>
          <w:tcPr>
            <w:tcW w:w="0" w:type="auto"/>
            <w:vMerge/>
          </w:tcPr>
          <w:p w14:paraId="4D846658" w14:textId="77777777" w:rsidR="00564ADD" w:rsidRDefault="00564ADD" w:rsidP="009D1558"/>
        </w:tc>
        <w:tc>
          <w:tcPr>
            <w:tcW w:w="0" w:type="auto"/>
          </w:tcPr>
          <w:p w14:paraId="6B57273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0989573C"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74E446E0"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47FF469" w14:textId="77777777" w:rsidR="00564ADD" w:rsidRDefault="00564ADD" w:rsidP="009D1558">
            <w:pPr>
              <w:spacing w:before="100" w:after="0"/>
            </w:pPr>
            <w:r>
              <w:rPr>
                <w:color w:val="000000"/>
              </w:rPr>
              <w:t>Before an application is scored and ranked, it must meet threshold requirements for the program:</w:t>
            </w:r>
          </w:p>
          <w:p w14:paraId="6BD055DB" w14:textId="77777777" w:rsidR="00564ADD" w:rsidRDefault="00564ADD" w:rsidP="009D1558">
            <w:pPr>
              <w:spacing w:before="100" w:after="0"/>
            </w:pPr>
            <w:r>
              <w:rPr>
                <w:color w:val="000000"/>
              </w:rPr>
              <w:t> 1. The application must be for a qualified residential rental development that meets the HTF Program requirements at 24 CFR Part 93;</w:t>
            </w:r>
          </w:p>
          <w:p w14:paraId="327A9A30" w14:textId="77777777" w:rsidR="00564ADD" w:rsidRDefault="00564ADD" w:rsidP="009D1558">
            <w:pPr>
              <w:spacing w:before="100" w:after="0"/>
            </w:pPr>
            <w:r>
              <w:rPr>
                <w:color w:val="000000"/>
              </w:rPr>
              <w:t> 2. The development must meet the extremely-low-income housing priorities as identified in the applicable state or local Consolidated Plan;</w:t>
            </w:r>
          </w:p>
          <w:p w14:paraId="2479DF02" w14:textId="77777777" w:rsidR="00564ADD" w:rsidRDefault="00564ADD" w:rsidP="009D1558">
            <w:pPr>
              <w:spacing w:before="100" w:after="0"/>
            </w:pPr>
            <w:r>
              <w:rPr>
                <w:color w:val="000000"/>
              </w:rPr>
              <w:t> 3. KHRC will consider applications from eligible recipients as follows: Recipients, as defined at 24 CFR 92.2, are organizations, agencies or other entities (for-profit or non-profit) that receive HTF funds to undertake an eligible project. HTF funds will not be sub granted by KHRC to units of local government. </w:t>
            </w:r>
          </w:p>
          <w:p w14:paraId="726D12B6" w14:textId="77777777" w:rsidR="00564ADD" w:rsidRDefault="00564ADD" w:rsidP="009D1558">
            <w:pPr>
              <w:spacing w:before="100" w:after="0"/>
            </w:pPr>
            <w:r>
              <w:rPr>
                <w:color w:val="000000"/>
              </w:rPr>
              <w:t> 4. The development is ready to proceed as documented by:</w:t>
            </w:r>
          </w:p>
          <w:p w14:paraId="5D73B8CA" w14:textId="77777777" w:rsidR="00564ADD" w:rsidRDefault="00564ADD" w:rsidP="00A121EE">
            <w:pPr>
              <w:numPr>
                <w:ilvl w:val="0"/>
                <w:numId w:val="10"/>
              </w:numPr>
              <w:spacing w:before="100" w:after="0"/>
            </w:pPr>
            <w:r>
              <w:rPr>
                <w:color w:val="000000"/>
              </w:rPr>
              <w:t>Evidence of appropriate site control;</w:t>
            </w:r>
          </w:p>
          <w:p w14:paraId="3B851425" w14:textId="77777777" w:rsidR="00564ADD" w:rsidRDefault="00564ADD" w:rsidP="00A121EE">
            <w:pPr>
              <w:numPr>
                <w:ilvl w:val="0"/>
                <w:numId w:val="10"/>
              </w:numPr>
              <w:spacing w:before="100" w:after="0"/>
            </w:pPr>
            <w:r>
              <w:rPr>
                <w:color w:val="000000"/>
              </w:rPr>
              <w:t>Zoning approval or application for zoning approval with a letter from the zoning administrator citing that the zoning request is consistent with the local plan or that the local plan could be changed to be consistent with the zoning request;</w:t>
            </w:r>
          </w:p>
          <w:p w14:paraId="7B62A575" w14:textId="77777777" w:rsidR="00564ADD" w:rsidRDefault="00564ADD" w:rsidP="00A121EE">
            <w:pPr>
              <w:numPr>
                <w:ilvl w:val="0"/>
                <w:numId w:val="10"/>
              </w:numPr>
              <w:spacing w:before="100" w:after="0"/>
            </w:pPr>
            <w:r>
              <w:rPr>
                <w:color w:val="000000"/>
              </w:rPr>
              <w:t>Evidence of availability of adequate utilities at the site;</w:t>
            </w:r>
          </w:p>
          <w:p w14:paraId="1272676D" w14:textId="77777777" w:rsidR="00564ADD" w:rsidRDefault="00564ADD" w:rsidP="00A121EE">
            <w:pPr>
              <w:numPr>
                <w:ilvl w:val="0"/>
                <w:numId w:val="10"/>
              </w:numPr>
              <w:spacing w:before="100" w:after="0"/>
            </w:pPr>
            <w:r>
              <w:rPr>
                <w:color w:val="000000"/>
              </w:rPr>
              <w:t>Commitment letters for all sources of financing;</w:t>
            </w:r>
          </w:p>
          <w:p w14:paraId="49F6860E" w14:textId="77777777" w:rsidR="00564ADD" w:rsidRDefault="00564ADD" w:rsidP="009D1558">
            <w:pPr>
              <w:spacing w:before="100" w:after="0"/>
            </w:pPr>
            <w:r>
              <w:rPr>
                <w:color w:val="000000"/>
              </w:rPr>
              <w:t> 5. A complete application - any application that is not complete may be automatically rejected;</w:t>
            </w:r>
          </w:p>
          <w:p w14:paraId="1181AF8A" w14:textId="77777777" w:rsidR="00564ADD" w:rsidRDefault="00564ADD" w:rsidP="009D1558">
            <w:pPr>
              <w:spacing w:before="100" w:after="0"/>
            </w:pPr>
            <w:r>
              <w:rPr>
                <w:color w:val="000000"/>
              </w:rPr>
              <w:t> 6. Awards will be limited to an amount not to exceed the per unit subsidy limit for the number of HTF assisted units identified in the application and are subject to underwriting and subsidy layering review. Depending on the number and quality of applications received, and the amount requested, if uncommitted funds remain after the initial application round, KHRC may consider increasing the amount of some awards in exchange for additional units or deeper rent targeting; or may elect to hold a second round of competitive applications.</w:t>
            </w:r>
          </w:p>
          <w:p w14:paraId="3737FC8D" w14:textId="77777777" w:rsidR="00564ADD" w:rsidRDefault="00564ADD" w:rsidP="009D1558">
            <w:pPr>
              <w:spacing w:before="100" w:after="0"/>
            </w:pPr>
          </w:p>
        </w:tc>
      </w:tr>
      <w:tr w:rsidR="00564ADD" w14:paraId="7E269793" w14:textId="77777777" w:rsidTr="009D1558">
        <w:trPr>
          <w:cantSplit/>
        </w:trPr>
        <w:tc>
          <w:tcPr>
            <w:tcW w:w="0" w:type="auto"/>
            <w:vMerge/>
          </w:tcPr>
          <w:p w14:paraId="35E69FC5" w14:textId="77777777" w:rsidR="00564ADD" w:rsidRDefault="00564ADD" w:rsidP="009D1558"/>
        </w:tc>
        <w:tc>
          <w:tcPr>
            <w:tcW w:w="0" w:type="auto"/>
          </w:tcPr>
          <w:p w14:paraId="6B8C183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7889D30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A72178C" w14:textId="77777777" w:rsidR="00564ADD" w:rsidRDefault="00564ADD" w:rsidP="009D1558">
            <w:pPr>
              <w:keepNext/>
              <w:spacing w:before="100" w:after="0"/>
              <w:rPr>
                <w:rFonts w:asciiTheme="minorHAnsi" w:eastAsia="Times New Roman" w:hAnsiTheme="minorHAnsi"/>
                <w:b/>
                <w:sz w:val="24"/>
                <w:szCs w:val="24"/>
              </w:rPr>
            </w:pPr>
          </w:p>
          <w:p w14:paraId="65FE4BDF"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67B18712" w14:textId="77777777" w:rsidR="00564ADD" w:rsidRDefault="00564ADD" w:rsidP="009D1558">
            <w:pPr>
              <w:spacing w:before="100" w:after="0"/>
            </w:pPr>
            <w:r>
              <w:rPr>
                <w:color w:val="000000"/>
              </w:rPr>
              <w:t>A goal of 15 HTF assisted rental units will be acquired, rehabilitated, or constructed for households with extremely low income (ELI). </w:t>
            </w:r>
          </w:p>
          <w:p w14:paraId="2097AE4F" w14:textId="77777777" w:rsidR="00564ADD" w:rsidRDefault="00564ADD" w:rsidP="009D1558">
            <w:pPr>
              <w:spacing w:before="100" w:after="0"/>
            </w:pPr>
            <w:r>
              <w:rPr>
                <w:color w:val="000000"/>
              </w:rPr>
              <w:t> </w:t>
            </w:r>
          </w:p>
          <w:p w14:paraId="7606CE55" w14:textId="77777777" w:rsidR="00564ADD" w:rsidRDefault="00564ADD" w:rsidP="009D1558">
            <w:pPr>
              <w:spacing w:before="100" w:after="0"/>
            </w:pPr>
          </w:p>
        </w:tc>
      </w:tr>
      <w:tr w:rsidR="00564ADD" w14:paraId="07650A14" w14:textId="77777777" w:rsidTr="009D1558">
        <w:trPr>
          <w:cantSplit/>
        </w:trPr>
        <w:tc>
          <w:tcPr>
            <w:tcW w:w="0" w:type="auto"/>
            <w:vMerge w:val="restart"/>
          </w:tcPr>
          <w:p w14:paraId="2991D69E" w14:textId="77777777" w:rsidR="00564ADD" w:rsidRDefault="00564ADD" w:rsidP="009D1558">
            <w:r>
              <w:rPr>
                <w:b/>
              </w:rPr>
              <w:t>12</w:t>
            </w:r>
          </w:p>
        </w:tc>
        <w:tc>
          <w:tcPr>
            <w:tcW w:w="0" w:type="auto"/>
          </w:tcPr>
          <w:p w14:paraId="5AE33ABF"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5A5198F0" w14:textId="77777777" w:rsidR="00564ADD" w:rsidRDefault="00564ADD" w:rsidP="009D1558">
            <w:pPr>
              <w:spacing w:before="100" w:after="0"/>
            </w:pPr>
            <w:r>
              <w:rPr>
                <w:color w:val="000000"/>
              </w:rPr>
              <w:t>Emergency Solutions Grant Program</w:t>
            </w:r>
          </w:p>
        </w:tc>
      </w:tr>
      <w:tr w:rsidR="00564ADD" w14:paraId="799E4593" w14:textId="77777777" w:rsidTr="009D1558">
        <w:trPr>
          <w:cantSplit/>
        </w:trPr>
        <w:tc>
          <w:tcPr>
            <w:tcW w:w="0" w:type="auto"/>
            <w:vMerge/>
          </w:tcPr>
          <w:p w14:paraId="4A406167" w14:textId="77777777" w:rsidR="00564ADD" w:rsidRDefault="00564ADD" w:rsidP="009D1558"/>
        </w:tc>
        <w:tc>
          <w:tcPr>
            <w:tcW w:w="0" w:type="auto"/>
          </w:tcPr>
          <w:p w14:paraId="22E598D7"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5D254393" w14:textId="77777777" w:rsidR="00564ADD" w:rsidRDefault="00564ADD" w:rsidP="009D1558">
            <w:pPr>
              <w:spacing w:before="100" w:after="0"/>
            </w:pPr>
            <w:r>
              <w:rPr>
                <w:color w:val="000000"/>
              </w:rPr>
              <w:t>ESG</w:t>
            </w:r>
          </w:p>
        </w:tc>
      </w:tr>
      <w:tr w:rsidR="00564ADD" w14:paraId="7567D37D" w14:textId="77777777" w:rsidTr="009D1558">
        <w:trPr>
          <w:cantSplit/>
        </w:trPr>
        <w:tc>
          <w:tcPr>
            <w:tcW w:w="0" w:type="auto"/>
            <w:vMerge/>
          </w:tcPr>
          <w:p w14:paraId="47E01D2D" w14:textId="77777777" w:rsidR="00564ADD" w:rsidRDefault="00564ADD" w:rsidP="009D1558"/>
        </w:tc>
        <w:tc>
          <w:tcPr>
            <w:tcW w:w="0" w:type="auto"/>
          </w:tcPr>
          <w:p w14:paraId="7BCC1C17"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605E88E7" w14:textId="77777777" w:rsidR="00564ADD" w:rsidRDefault="00564ADD" w:rsidP="009D1558">
            <w:pPr>
              <w:spacing w:before="100" w:after="0"/>
            </w:pPr>
            <w:r>
              <w:rPr>
                <w:color w:val="000000"/>
              </w:rPr>
              <w:t>Kansas Housing Resources Corporation (KHRC) administers the Emergency Solutions Grant (ESG) for the State to address homelessness. ESG is allocated to the state through a formula-funded program by the Department of Housing and Urban Development. </w:t>
            </w:r>
          </w:p>
          <w:p w14:paraId="25B6EB26" w14:textId="77777777" w:rsidR="00564ADD" w:rsidRDefault="00564ADD" w:rsidP="009D1558">
            <w:pPr>
              <w:spacing w:before="100" w:after="0"/>
            </w:pPr>
            <w:r>
              <w:rPr>
                <w:color w:val="000000"/>
              </w:rPr>
              <w:t>KHRC will use ESG funds for street outreach, emergency shelters, homelessness prevention, rapid re-housing, HMIS, and administrative activities. These activities will be targeted to households that are literally homeless or at imminent risk of homelessness whose income is 0-30% of Area Median Family Income and to individuals and families that are in the following at risk homeless categories: Chronically homeless, HIV/AIDS, elderly, veterans, mental health, youth, domestic violence victims and substance abuse.</w:t>
            </w:r>
          </w:p>
        </w:tc>
      </w:tr>
      <w:tr w:rsidR="00564ADD" w14:paraId="1EC621FF" w14:textId="77777777" w:rsidTr="009D1558">
        <w:trPr>
          <w:cantSplit/>
        </w:trPr>
        <w:tc>
          <w:tcPr>
            <w:tcW w:w="0" w:type="auto"/>
            <w:vMerge/>
          </w:tcPr>
          <w:p w14:paraId="2B295594" w14:textId="77777777" w:rsidR="00564ADD" w:rsidRDefault="00564ADD" w:rsidP="009D1558"/>
        </w:tc>
        <w:tc>
          <w:tcPr>
            <w:tcW w:w="0" w:type="auto"/>
          </w:tcPr>
          <w:p w14:paraId="6BC4C948"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776ACA0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6D5B74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FE4E9F2" w14:textId="77777777" w:rsidR="00564ADD" w:rsidRDefault="00564ADD" w:rsidP="009D1558">
            <w:pPr>
              <w:spacing w:before="100" w:after="0"/>
            </w:pPr>
            <w:r>
              <w:rPr>
                <w:color w:val="000000"/>
              </w:rPr>
              <w:t>KHRC is awarded these funds annually and makes them available for application to local units of government of non ESG entitlement communities of Kansas. As part of their application, local units of government allocate funds for specific activities to private nonprofit organizations that provide services to the homeless in their community. A recipient nonprofit organization must be tax exempt under Section 501 (c) (3) of the Internal Revenue Code and must have an acceptable accounting system, have a voluntary board, and practice non-discrimination in hiring practices and the provision of services.</w:t>
            </w:r>
          </w:p>
          <w:p w14:paraId="6BEFC9DE" w14:textId="77777777" w:rsidR="00564ADD" w:rsidRDefault="00564ADD" w:rsidP="009D1558">
            <w:pPr>
              <w:spacing w:before="100" w:after="0"/>
            </w:pPr>
            <w:r>
              <w:rPr>
                <w:color w:val="000000"/>
              </w:rPr>
              <w:t>ESG funds must be matched dollar-for-dollar by the local recipient. KHRC will require all sub recipients to make matching contributions to supplement the ESG program in an amount that equals the amount of ESG funds provided by KHRC. The sub-recipient must identify the source of match at the time of applying for ESG. Matching contributions may be obtained from any source, including any Federal source other than the ESG program, as well as state, local, and private sources.</w:t>
            </w:r>
          </w:p>
          <w:p w14:paraId="69204B7F" w14:textId="77777777" w:rsidR="00564ADD" w:rsidRDefault="00564ADD" w:rsidP="009D1558">
            <w:pPr>
              <w:spacing w:before="100" w:after="0"/>
              <w:rPr>
                <w:color w:val="000000"/>
              </w:rPr>
            </w:pPr>
            <w:r>
              <w:rPr>
                <w:color w:val="000000"/>
              </w:rPr>
              <w:t>The ESG regulations provide that up to 7.5% of a grantee’s funds may be spent for administering the grant. KHRC will pass on 2.5% of this allocation to local units of government.</w:t>
            </w:r>
          </w:p>
          <w:p w14:paraId="16FD3F1A" w14:textId="77777777" w:rsidR="00564ADD" w:rsidRDefault="00564ADD" w:rsidP="009D1558">
            <w:pPr>
              <w:spacing w:before="100" w:after="0"/>
              <w:rPr>
                <w:color w:val="000000"/>
              </w:rPr>
            </w:pPr>
            <w:r>
              <w:rPr>
                <w:color w:val="000000"/>
              </w:rPr>
              <w:t>The scoring criteria will include a project description, identified need, coordination of potential local homeless assistance and housing programs, past performance and administrative capacity.</w:t>
            </w:r>
          </w:p>
          <w:p w14:paraId="0C6A7482" w14:textId="77777777" w:rsidR="00564ADD" w:rsidRDefault="00564ADD" w:rsidP="009D1558">
            <w:pPr>
              <w:spacing w:before="100" w:after="0"/>
              <w:rPr>
                <w:color w:val="000000"/>
              </w:rPr>
            </w:pPr>
            <w:r>
              <w:rPr>
                <w:color w:val="000000"/>
              </w:rPr>
              <w:t xml:space="preserve">A link to the application and other resources can be found at: </w:t>
            </w:r>
            <w:hyperlink r:id="rId58" w:history="1">
              <w:r w:rsidRPr="002B3477">
                <w:rPr>
                  <w:rStyle w:val="Hyperlink"/>
                </w:rPr>
                <w:t>http://www.kshousingcorp.org/important-documents.aspx</w:t>
              </w:r>
            </w:hyperlink>
          </w:p>
          <w:p w14:paraId="6B044B35" w14:textId="77777777" w:rsidR="00564ADD" w:rsidRDefault="00564ADD" w:rsidP="009D1558">
            <w:pPr>
              <w:spacing w:before="100" w:after="0"/>
            </w:pPr>
          </w:p>
        </w:tc>
      </w:tr>
      <w:tr w:rsidR="00564ADD" w14:paraId="5FFE6427" w14:textId="77777777" w:rsidTr="009D1558">
        <w:trPr>
          <w:cantSplit/>
        </w:trPr>
        <w:tc>
          <w:tcPr>
            <w:tcW w:w="0" w:type="auto"/>
            <w:vMerge/>
          </w:tcPr>
          <w:p w14:paraId="32130349" w14:textId="77777777" w:rsidR="00564ADD" w:rsidRDefault="00564ADD" w:rsidP="009D1558"/>
        </w:tc>
        <w:tc>
          <w:tcPr>
            <w:tcW w:w="0" w:type="auto"/>
          </w:tcPr>
          <w:p w14:paraId="1E71E495"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14:paraId="125AF289"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14:paraId="46173368"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14:paraId="031BFB1F" w14:textId="77777777" w:rsidR="00564ADD" w:rsidRDefault="00564ADD" w:rsidP="009D1558">
            <w:pPr>
              <w:spacing w:before="100" w:after="0"/>
            </w:pPr>
            <w:r>
              <w:rPr>
                <w:color w:val="000000"/>
              </w:rPr>
              <w:t>KHRC will utilize the application process for the Emergency Solutions Grant (ESG) program. KHRC will sub-grant ESG funds to cities and counties in non- ESG entitlement funded areas. KHRC recognizes the importance of individual cities and counties to identify sub-recipients and coordinate the specific services outlined in ESG for their individual jurisdictions. KHRC will also accept applications and provide direct funding to agencies and organizations that serve at-risk homeless populations and are capable of providing ESG services on a statewide level for that at risk homeless population.</w:t>
            </w:r>
          </w:p>
          <w:p w14:paraId="637D7BAC" w14:textId="77777777" w:rsidR="00564ADD" w:rsidRDefault="00564ADD" w:rsidP="009D1558">
            <w:pPr>
              <w:spacing w:before="100" w:after="0"/>
            </w:pPr>
            <w:r>
              <w:rPr>
                <w:color w:val="000000"/>
              </w:rPr>
              <w:t xml:space="preserve">KHRC will announce the Notice Of Funding Availability (NOFA) for the ESG funds and begin to accept and receive applications as described above. Depending on when HUD signs the grant agreement, deadlines for receipt of applications will be established. An Application Review Committee will rank applications received in response to the NOFA. </w:t>
            </w:r>
          </w:p>
        </w:tc>
      </w:tr>
      <w:tr w:rsidR="00564ADD" w14:paraId="01661E92" w14:textId="77777777" w:rsidTr="009D1558">
        <w:trPr>
          <w:cantSplit/>
        </w:trPr>
        <w:tc>
          <w:tcPr>
            <w:tcW w:w="0" w:type="auto"/>
            <w:vMerge/>
          </w:tcPr>
          <w:p w14:paraId="3D5527E0" w14:textId="77777777" w:rsidR="00564ADD" w:rsidRDefault="00564ADD" w:rsidP="009D1558"/>
        </w:tc>
        <w:tc>
          <w:tcPr>
            <w:tcW w:w="0" w:type="auto"/>
          </w:tcPr>
          <w:p w14:paraId="06E791F2"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7CD6B50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53EB854A"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0D65471F" w14:textId="77777777" w:rsidR="00564ADD" w:rsidRDefault="00564ADD" w:rsidP="009D1558">
            <w:pPr>
              <w:spacing w:before="100" w:after="0"/>
            </w:pPr>
            <w:r>
              <w:rPr>
                <w:color w:val="000000"/>
              </w:rPr>
              <w:t>Funds are made available annually to local units of government, who in turn distribute them to agencies in their community that assist the homeless.</w:t>
            </w:r>
          </w:p>
        </w:tc>
      </w:tr>
      <w:tr w:rsidR="00564ADD" w14:paraId="450B3A11" w14:textId="77777777" w:rsidTr="009D1558">
        <w:trPr>
          <w:cantSplit/>
        </w:trPr>
        <w:tc>
          <w:tcPr>
            <w:tcW w:w="0" w:type="auto"/>
            <w:vMerge/>
          </w:tcPr>
          <w:p w14:paraId="45AF8441" w14:textId="77777777" w:rsidR="00564ADD" w:rsidRDefault="00564ADD" w:rsidP="009D1558"/>
        </w:tc>
        <w:tc>
          <w:tcPr>
            <w:tcW w:w="0" w:type="auto"/>
          </w:tcPr>
          <w:p w14:paraId="79719AD0"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164D03C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39646C1"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572517B4" w14:textId="77777777" w:rsidR="00564ADD" w:rsidRDefault="00564ADD" w:rsidP="009D1558">
            <w:pPr>
              <w:spacing w:before="100" w:after="0"/>
            </w:pPr>
            <w:r>
              <w:rPr>
                <w:color w:val="000000"/>
              </w:rPr>
              <w:t>No more that 60% of the total ESG funds may be used for emergency shelter and street outreach activities. The remaining funds will be used for the Homeless Prevention, Rapid Re-Housing and HMIS activities.</w:t>
            </w:r>
          </w:p>
        </w:tc>
      </w:tr>
      <w:tr w:rsidR="00564ADD" w14:paraId="2A09E1F4" w14:textId="77777777" w:rsidTr="009D1558">
        <w:trPr>
          <w:cantSplit/>
        </w:trPr>
        <w:tc>
          <w:tcPr>
            <w:tcW w:w="0" w:type="auto"/>
            <w:vMerge/>
          </w:tcPr>
          <w:p w14:paraId="5ABF8AAC" w14:textId="77777777" w:rsidR="00564ADD" w:rsidRDefault="00564ADD" w:rsidP="009D1558"/>
        </w:tc>
        <w:tc>
          <w:tcPr>
            <w:tcW w:w="0" w:type="auto"/>
          </w:tcPr>
          <w:p w14:paraId="0137C2ED"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533DBACA"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233B62C" w14:textId="77777777" w:rsidR="00564ADD" w:rsidRDefault="00564ADD" w:rsidP="009D1558">
            <w:pPr>
              <w:keepNext/>
              <w:spacing w:before="100" w:after="0"/>
              <w:rPr>
                <w:rFonts w:asciiTheme="minorHAnsi" w:eastAsia="Times New Roman" w:hAnsiTheme="minorHAnsi"/>
                <w:b/>
                <w:sz w:val="24"/>
                <w:szCs w:val="24"/>
              </w:rPr>
            </w:pPr>
          </w:p>
          <w:p w14:paraId="14E06C4F"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00A7E0A2" w14:textId="77777777" w:rsidR="00564ADD" w:rsidRDefault="00564ADD" w:rsidP="009D1558">
            <w:pPr>
              <w:spacing w:before="100" w:after="0"/>
              <w:rPr>
                <w:color w:val="000000"/>
              </w:rPr>
            </w:pPr>
            <w:r>
              <w:rPr>
                <w:color w:val="000000"/>
              </w:rPr>
              <w:t>The ESG funds expect to assist 9,250 persons in homeless prevention and 1,500 individuals in rapid-rehousing services over a five-year span.</w:t>
            </w:r>
          </w:p>
          <w:p w14:paraId="4361475F" w14:textId="77777777" w:rsidR="00564ADD" w:rsidRDefault="00564ADD" w:rsidP="009D1558">
            <w:pPr>
              <w:spacing w:before="100" w:after="0"/>
            </w:pPr>
            <w:r>
              <w:rPr>
                <w:color w:val="000000"/>
              </w:rPr>
              <w:t>The State of Kansas supports a continuum of care approach among State ESG recipients. KHRC collaborates on a recurring basis with the Balance of State CoC (BoS CoC) and the Johnson County CoC. All funds from the State’s ESG funding are made available to the non-ESG entitlement continuums. Continuum of Care components include affordable, accessible, and integrated permanent housing and homeless services that enable individuals and families to reach the maximum degree of self-sufficiency possible. In reviewing ESG applications, the State relies on local units of government to determine what their communities’ unique homeless needs may be, and how the ESG program can assist with those needs. This approach allows local jurisdictions to determine their own priorities and needs in addressing homelessness in their communities.</w:t>
            </w:r>
          </w:p>
          <w:p w14:paraId="05FBDAE9" w14:textId="77777777" w:rsidR="00564ADD" w:rsidRDefault="00564ADD" w:rsidP="009D1558">
            <w:pPr>
              <w:spacing w:before="100" w:after="0"/>
            </w:pPr>
            <w:r>
              <w:rPr>
                <w:color w:val="000000"/>
              </w:rPr>
              <w:t>Performance standards will be established and continue to evolve over the next few years as the ESG Interim Rule is implemented and as ESG program outcomes are determined through the evaluation of Homeless Management Information System (HMIS) data and through integration of ESG services into their local continuum of care.</w:t>
            </w:r>
          </w:p>
        </w:tc>
      </w:tr>
      <w:tr w:rsidR="00564ADD" w14:paraId="09FBEAFB" w14:textId="77777777" w:rsidTr="009D1558">
        <w:trPr>
          <w:cantSplit/>
        </w:trPr>
        <w:tc>
          <w:tcPr>
            <w:tcW w:w="0" w:type="auto"/>
            <w:vMerge w:val="restart"/>
          </w:tcPr>
          <w:p w14:paraId="582E2827" w14:textId="77777777" w:rsidR="00564ADD" w:rsidRDefault="00564ADD" w:rsidP="009D1558">
            <w:r>
              <w:rPr>
                <w:b/>
              </w:rPr>
              <w:t>13</w:t>
            </w:r>
          </w:p>
        </w:tc>
        <w:tc>
          <w:tcPr>
            <w:tcW w:w="0" w:type="auto"/>
          </w:tcPr>
          <w:p w14:paraId="7DC74A30"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14:paraId="61761476" w14:textId="77777777" w:rsidR="00564ADD" w:rsidRDefault="00564ADD" w:rsidP="009D1558">
            <w:pPr>
              <w:spacing w:before="100" w:after="0"/>
            </w:pPr>
            <w:r>
              <w:rPr>
                <w:color w:val="000000"/>
              </w:rPr>
              <w:t>Housing Opportunities for Persons With AIDS</w:t>
            </w:r>
          </w:p>
        </w:tc>
      </w:tr>
      <w:tr w:rsidR="00564ADD" w14:paraId="7537228A" w14:textId="77777777" w:rsidTr="009D1558">
        <w:trPr>
          <w:cantSplit/>
        </w:trPr>
        <w:tc>
          <w:tcPr>
            <w:tcW w:w="0" w:type="auto"/>
            <w:vMerge/>
          </w:tcPr>
          <w:p w14:paraId="2072592E" w14:textId="77777777" w:rsidR="00564ADD" w:rsidRDefault="00564ADD" w:rsidP="009D1558"/>
        </w:tc>
        <w:tc>
          <w:tcPr>
            <w:tcW w:w="0" w:type="auto"/>
          </w:tcPr>
          <w:p w14:paraId="5DD403D0"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14:paraId="29A3350E" w14:textId="77777777" w:rsidR="00564ADD" w:rsidRDefault="00564ADD" w:rsidP="009D1558">
            <w:pPr>
              <w:spacing w:before="100" w:after="0"/>
            </w:pPr>
            <w:r>
              <w:rPr>
                <w:color w:val="000000"/>
              </w:rPr>
              <w:t>HOPWA</w:t>
            </w:r>
          </w:p>
        </w:tc>
      </w:tr>
      <w:tr w:rsidR="00564ADD" w14:paraId="4D9B1187" w14:textId="77777777" w:rsidTr="009D1558">
        <w:trPr>
          <w:cantSplit/>
        </w:trPr>
        <w:tc>
          <w:tcPr>
            <w:tcW w:w="0" w:type="auto"/>
            <w:vMerge/>
          </w:tcPr>
          <w:p w14:paraId="5F34FAC6" w14:textId="77777777" w:rsidR="00564ADD" w:rsidRDefault="00564ADD" w:rsidP="009D1558"/>
        </w:tc>
        <w:tc>
          <w:tcPr>
            <w:tcW w:w="0" w:type="auto"/>
          </w:tcPr>
          <w:p w14:paraId="0E85547A"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14:paraId="2C0677EE" w14:textId="77777777" w:rsidR="00564ADD" w:rsidRDefault="00564ADD" w:rsidP="009D1558">
            <w:pPr>
              <w:spacing w:before="100" w:after="0"/>
            </w:pPr>
            <w:r>
              <w:rPr>
                <w:color w:val="000000"/>
              </w:rPr>
              <w:t>The Kansas Department of Health and Environment (KDHE) manages the Housing Opportunities for Persons with AIDS (HOPWA) program to ensure affordable housing and prevent homelessness among HIV positive individuals and their families.</w:t>
            </w:r>
          </w:p>
          <w:p w14:paraId="0F33B45D" w14:textId="77777777" w:rsidR="00564ADD" w:rsidRDefault="00564ADD" w:rsidP="009D1558">
            <w:pPr>
              <w:spacing w:before="100" w:after="0"/>
            </w:pPr>
            <w:r>
              <w:rPr>
                <w:color w:val="000000"/>
              </w:rPr>
              <w:t>HOPWA funding provides housing assistance and related supportive services to develop community-wide strategies and form partnerships with area nonprofit organizations.  HOPWA funds may be used for a wide range of housing, social services, program planning, and development costs. Ongoing analysis of quality of life through surveys and Steering Committee recommendations indicate the highest priority of need based on reduced funding will be for long-term tenant-based rental assistance (TBRA) and permanent housing placement.</w:t>
            </w:r>
          </w:p>
        </w:tc>
      </w:tr>
      <w:tr w:rsidR="00564ADD" w14:paraId="2C0D6CD7" w14:textId="77777777" w:rsidTr="009D1558">
        <w:trPr>
          <w:cantSplit/>
        </w:trPr>
        <w:tc>
          <w:tcPr>
            <w:tcW w:w="0" w:type="auto"/>
            <w:vMerge/>
          </w:tcPr>
          <w:p w14:paraId="50FC354B" w14:textId="77777777" w:rsidR="00564ADD" w:rsidRDefault="00564ADD" w:rsidP="009D1558"/>
        </w:tc>
        <w:tc>
          <w:tcPr>
            <w:tcW w:w="0" w:type="auto"/>
          </w:tcPr>
          <w:p w14:paraId="7695627F"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14:paraId="5BF0A3B0"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39C4730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407D9016" w14:textId="77777777" w:rsidR="00564ADD" w:rsidRDefault="00564ADD" w:rsidP="009D1558">
            <w:pPr>
              <w:spacing w:before="100" w:after="0"/>
            </w:pPr>
            <w:r>
              <w:rPr>
                <w:color w:val="000000"/>
              </w:rPr>
              <w:t>See above and below.</w:t>
            </w:r>
          </w:p>
        </w:tc>
      </w:tr>
      <w:tr w:rsidR="00564ADD" w14:paraId="2ACF8783" w14:textId="77777777" w:rsidTr="009D1558">
        <w:trPr>
          <w:cantSplit/>
        </w:trPr>
        <w:tc>
          <w:tcPr>
            <w:tcW w:w="0" w:type="auto"/>
            <w:vMerge/>
          </w:tcPr>
          <w:p w14:paraId="1A154D93" w14:textId="77777777" w:rsidR="00564ADD" w:rsidRDefault="00564ADD" w:rsidP="009D1558"/>
        </w:tc>
        <w:tc>
          <w:tcPr>
            <w:tcW w:w="0" w:type="auto"/>
          </w:tcPr>
          <w:p w14:paraId="3E4DAF3C"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14:paraId="4548586E" w14:textId="77777777" w:rsidR="00564ADD" w:rsidRDefault="00564ADD" w:rsidP="009D1558">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14:paraId="03754051" w14:textId="77777777" w:rsidR="00564ADD" w:rsidRDefault="00564ADD" w:rsidP="009D1558">
            <w:pPr>
              <w:spacing w:before="100" w:after="0"/>
            </w:pPr>
            <w:r>
              <w:rPr>
                <w:color w:val="000000"/>
              </w:rPr>
              <w:t>The HOPWA funding will be distributed to landlords, mortgagors, utility providers, and individual clients through the Ryan White CARE case management system. This system consists of 10 case management sites funded by the Health Resources and Services Administration (HRSA), Ryan White CARE Act, Part B.</w:t>
            </w:r>
          </w:p>
          <w:p w14:paraId="44311A6C" w14:textId="77777777" w:rsidR="00564ADD" w:rsidRDefault="00564ADD" w:rsidP="009D1558">
            <w:pPr>
              <w:spacing w:before="100" w:after="0"/>
            </w:pPr>
            <w:r>
              <w:rPr>
                <w:color w:val="000000"/>
              </w:rPr>
              <w:t>The University of Kansas, School of Medicine-Wichita, Medical Practice Association (UKSM-W MPA), is the program sponsor for the Kansas HOPWA Program. In 1993, the UKSM-W MPA received federal funding to administer a statewide Ryan White, Part C, CARE Act program under the medical direction of Dr. Donna E. Sweet. The UKSM-W MPA HIV program provides primary care for 60 percent of the clients in the Kansas Ryan White Part B program and over 80 percent of clients in Western, South Central, and Southeast Kansas.</w:t>
            </w:r>
          </w:p>
        </w:tc>
      </w:tr>
      <w:tr w:rsidR="00564ADD" w14:paraId="2B3B1B92" w14:textId="77777777" w:rsidTr="009D1558">
        <w:trPr>
          <w:cantSplit/>
        </w:trPr>
        <w:tc>
          <w:tcPr>
            <w:tcW w:w="0" w:type="auto"/>
            <w:vMerge/>
          </w:tcPr>
          <w:p w14:paraId="768E841A" w14:textId="77777777" w:rsidR="00564ADD" w:rsidRDefault="00564ADD" w:rsidP="009D1558"/>
        </w:tc>
        <w:tc>
          <w:tcPr>
            <w:tcW w:w="0" w:type="auto"/>
          </w:tcPr>
          <w:p w14:paraId="546EDFA4"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14:paraId="3C867CB5"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0E6AF556"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3852A5F5" w14:textId="77777777" w:rsidR="00564ADD" w:rsidRDefault="00564ADD" w:rsidP="009D1558">
            <w:pPr>
              <w:spacing w:before="100" w:after="0"/>
            </w:pPr>
            <w:r>
              <w:rPr>
                <w:color w:val="000000"/>
              </w:rPr>
              <w:t>As stated above, the HOPWA funding will be distributed to landlords, mortgagors, utility providers and individual clients through the Ryan White CARE case management system. This system consists of 7 case management sites funded by the Health Resources and Services Administration (HRSA), Ryan White CARE Act, Part B.</w:t>
            </w:r>
          </w:p>
          <w:p w14:paraId="55B566F1" w14:textId="77777777" w:rsidR="00564ADD" w:rsidRDefault="00564ADD" w:rsidP="009D1558">
            <w:pPr>
              <w:spacing w:before="100" w:after="0"/>
            </w:pPr>
            <w:r>
              <w:rPr>
                <w:color w:val="000000"/>
              </w:rPr>
              <w:t>The UKSM-W MPA HIV program will administer the payment of HOPWA housing assistance and other requests for assistance submitted through the Ryan White case management system.</w:t>
            </w:r>
          </w:p>
        </w:tc>
      </w:tr>
      <w:tr w:rsidR="00564ADD" w14:paraId="25E9FCBB" w14:textId="77777777" w:rsidTr="009D1558">
        <w:trPr>
          <w:cantSplit/>
        </w:trPr>
        <w:tc>
          <w:tcPr>
            <w:tcW w:w="0" w:type="auto"/>
            <w:vMerge/>
          </w:tcPr>
          <w:p w14:paraId="159D78B9" w14:textId="77777777" w:rsidR="00564ADD" w:rsidRDefault="00564ADD" w:rsidP="009D1558"/>
        </w:tc>
        <w:tc>
          <w:tcPr>
            <w:tcW w:w="0" w:type="auto"/>
          </w:tcPr>
          <w:p w14:paraId="552D0C06"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14:paraId="3C333293"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1327F690"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7F2ABEE3" w14:textId="77777777" w:rsidR="00564ADD" w:rsidRDefault="00564ADD" w:rsidP="009D1558">
            <w:pPr>
              <w:spacing w:before="100" w:after="0"/>
            </w:pPr>
            <w:r>
              <w:rPr>
                <w:color w:val="000000"/>
              </w:rPr>
              <w:t>The service area for HOPWA formula and competitive funding includes all Kansas counties except Leavenworth, Wyandotte, Johnson, Miami, Franklin, and Lynn. Kansas counties in the Kansas City metropolitan area receive HOPWA formula funding through the City of Kansas City, Missouri. The Kansas service area is classified as rural. HOPWA formula and competitive funding has provided statewide housing resources for persons living with HIV/AIDS in Kansas, beginning with direct services in the fall of 2003.</w:t>
            </w:r>
          </w:p>
        </w:tc>
      </w:tr>
      <w:tr w:rsidR="00564ADD" w14:paraId="4CD71D4E" w14:textId="77777777" w:rsidTr="009D1558">
        <w:trPr>
          <w:cantSplit/>
        </w:trPr>
        <w:tc>
          <w:tcPr>
            <w:tcW w:w="0" w:type="auto"/>
            <w:vMerge/>
          </w:tcPr>
          <w:p w14:paraId="1C916BED" w14:textId="77777777" w:rsidR="00564ADD" w:rsidRDefault="00564ADD" w:rsidP="009D1558"/>
        </w:tc>
        <w:tc>
          <w:tcPr>
            <w:tcW w:w="0" w:type="auto"/>
          </w:tcPr>
          <w:p w14:paraId="11E61C59"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14:paraId="43DA2D1E" w14:textId="77777777" w:rsidR="00564ADD" w:rsidRDefault="00564ADD" w:rsidP="009D1558">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14:paraId="2401A6E0" w14:textId="77777777" w:rsidR="00564ADD" w:rsidRDefault="00564ADD" w:rsidP="009D1558">
            <w:pPr>
              <w:keepNext/>
              <w:spacing w:before="100" w:after="0"/>
              <w:rPr>
                <w:rFonts w:asciiTheme="minorHAnsi" w:eastAsia="Times New Roman" w:hAnsiTheme="minorHAnsi"/>
                <w:b/>
                <w:sz w:val="24"/>
                <w:szCs w:val="24"/>
              </w:rPr>
            </w:pPr>
          </w:p>
          <w:p w14:paraId="6E6BA415" w14:textId="77777777" w:rsidR="00564ADD" w:rsidRDefault="00564ADD" w:rsidP="009D1558">
            <w:pPr>
              <w:keepNext/>
              <w:widowControl w:val="0"/>
              <w:spacing w:before="100" w:after="0"/>
              <w:jc w:val="center"/>
              <w:rPr>
                <w:rFonts w:asciiTheme="minorHAnsi" w:hAnsiTheme="minorHAnsi"/>
                <w:b/>
                <w:sz w:val="24"/>
                <w:szCs w:val="24"/>
              </w:rPr>
            </w:pPr>
          </w:p>
        </w:tc>
        <w:tc>
          <w:tcPr>
            <w:tcW w:w="0" w:type="auto"/>
          </w:tcPr>
          <w:p w14:paraId="3282A920" w14:textId="77777777" w:rsidR="00564ADD" w:rsidRDefault="00564ADD" w:rsidP="009D1558">
            <w:pPr>
              <w:spacing w:before="100" w:after="0"/>
            </w:pPr>
            <w:r>
              <w:t>The primary outcome measures for the HOPWA grant are:</w:t>
            </w:r>
          </w:p>
          <w:p w14:paraId="599EEEE4" w14:textId="77777777" w:rsidR="00564ADD" w:rsidRDefault="00564ADD" w:rsidP="00A121EE">
            <w:pPr>
              <w:pStyle w:val="ListParagraph"/>
              <w:numPr>
                <w:ilvl w:val="0"/>
                <w:numId w:val="59"/>
              </w:numPr>
              <w:spacing w:before="100" w:after="0"/>
            </w:pPr>
            <w:r>
              <w:t>number of households served;</w:t>
            </w:r>
          </w:p>
          <w:p w14:paraId="413F787F" w14:textId="77777777" w:rsidR="00564ADD" w:rsidRDefault="00564ADD" w:rsidP="00A121EE">
            <w:pPr>
              <w:pStyle w:val="ListParagraph"/>
              <w:numPr>
                <w:ilvl w:val="0"/>
                <w:numId w:val="59"/>
              </w:numPr>
              <w:spacing w:before="100" w:after="0"/>
            </w:pPr>
            <w:r>
              <w:t>number of preventions of homelessness; and</w:t>
            </w:r>
          </w:p>
          <w:p w14:paraId="3AFE678B" w14:textId="77777777" w:rsidR="00564ADD" w:rsidRDefault="00564ADD" w:rsidP="00A121EE">
            <w:pPr>
              <w:pStyle w:val="ListParagraph"/>
              <w:numPr>
                <w:ilvl w:val="0"/>
                <w:numId w:val="59"/>
              </w:numPr>
              <w:spacing w:before="100" w:after="0"/>
            </w:pPr>
            <w:r>
              <w:t>number of people transitioned into permanent/stable housing.</w:t>
            </w:r>
          </w:p>
        </w:tc>
      </w:tr>
    </w:tbl>
    <w:p w14:paraId="738C230F" w14:textId="77777777" w:rsidR="00564ADD" w:rsidRDefault="00564ADD" w:rsidP="00564ADD">
      <w:pPr>
        <w:spacing w:after="0" w:line="240" w:lineRule="auto"/>
        <w:rPr>
          <w:rFonts w:asciiTheme="minorHAnsi" w:hAnsiTheme="minorHAnsi"/>
          <w:b/>
          <w:sz w:val="24"/>
          <w:szCs w:val="24"/>
        </w:rPr>
        <w:sectPr w:rsidR="00564ADD">
          <w:pgSz w:w="15840" w:h="12240" w:orient="landscape" w:code="1"/>
          <w:pgMar w:top="1440" w:right="1440" w:bottom="1440" w:left="1440" w:header="720" w:footer="720" w:gutter="0"/>
          <w:cols w:space="720"/>
          <w:docGrid w:linePitch="360"/>
        </w:sectPr>
      </w:pPr>
    </w:p>
    <w:p w14:paraId="6229DB9A" w14:textId="77777777" w:rsidR="00564ADD" w:rsidRDefault="00564ADD" w:rsidP="0068663E">
      <w:pPr>
        <w:pStyle w:val="Heading2"/>
        <w:keepNext w:val="0"/>
        <w:pageBreakBefore/>
        <w:shd w:val="clear" w:color="auto" w:fill="95B3D7" w:themeFill="accent1" w:themeFillTint="99"/>
        <w:rPr>
          <w:rFonts w:ascii="Calibri" w:hAnsi="Calibri"/>
          <w:i w:val="0"/>
        </w:rPr>
      </w:pPr>
      <w:bookmarkStart w:id="63" w:name="_Toc524603046"/>
      <w:bookmarkStart w:id="64" w:name="_Toc309810475"/>
      <w:r>
        <w:rPr>
          <w:rFonts w:ascii="Calibri" w:hAnsi="Calibri"/>
          <w:i w:val="0"/>
        </w:rPr>
        <w:t>AP-35 Projects – (Optional)</w:t>
      </w:r>
      <w:bookmarkEnd w:id="63"/>
    </w:p>
    <w:p w14:paraId="7ADA852C" w14:textId="77777777" w:rsidR="00564ADD" w:rsidRDefault="00564ADD" w:rsidP="00564ADD">
      <w:pPr>
        <w:widowControl w:val="0"/>
        <w:spacing w:line="204" w:lineRule="auto"/>
        <w:rPr>
          <w:b/>
          <w:sz w:val="24"/>
          <w:szCs w:val="24"/>
        </w:rPr>
      </w:pPr>
      <w:r>
        <w:rPr>
          <w:b/>
          <w:sz w:val="24"/>
          <w:szCs w:val="24"/>
        </w:rPr>
        <w:t xml:space="preserve">Introduction: </w:t>
      </w:r>
    </w:p>
    <w:p w14:paraId="2C33EE35" w14:textId="77777777" w:rsidR="00564ADD" w:rsidRPr="005A2704" w:rsidRDefault="00564ADD" w:rsidP="00564ADD">
      <w:pPr>
        <w:keepNext/>
        <w:widowControl w:val="0"/>
        <w:spacing w:beforeAutospacing="1" w:afterAutospacing="1"/>
        <w:rPr>
          <w:rFonts w:asciiTheme="minorHAnsi" w:hAnsiTheme="minorHAnsi" w:cstheme="minorHAnsi"/>
          <w:b/>
          <w:sz w:val="28"/>
          <w:szCs w:val="24"/>
        </w:rPr>
      </w:pPr>
      <w:r w:rsidRPr="005A2704">
        <w:rPr>
          <w:rFonts w:asciiTheme="minorHAnsi" w:hAnsiTheme="minorHAnsi" w:cstheme="minorHAnsi"/>
          <w:sz w:val="24"/>
        </w:rPr>
        <w:t xml:space="preserve">The projects within this plan will support the three overarching objectives identified in </w:t>
      </w:r>
      <w:r>
        <w:rPr>
          <w:rFonts w:asciiTheme="minorHAnsi" w:hAnsiTheme="minorHAnsi" w:cstheme="minorHAnsi"/>
          <w:sz w:val="24"/>
        </w:rPr>
        <w:t>the</w:t>
      </w:r>
      <w:r w:rsidRPr="005A2704">
        <w:rPr>
          <w:rFonts w:asciiTheme="minorHAnsi" w:hAnsiTheme="minorHAnsi" w:cstheme="minorHAnsi"/>
          <w:sz w:val="24"/>
        </w:rPr>
        <w:t xml:space="preserve"> 201</w:t>
      </w:r>
      <w:r>
        <w:rPr>
          <w:rFonts w:asciiTheme="minorHAnsi" w:hAnsiTheme="minorHAnsi" w:cstheme="minorHAnsi"/>
          <w:sz w:val="24"/>
        </w:rPr>
        <w:t>9 - 2023</w:t>
      </w:r>
      <w:r w:rsidRPr="005A2704">
        <w:rPr>
          <w:rFonts w:asciiTheme="minorHAnsi" w:hAnsiTheme="minorHAnsi" w:cstheme="minorHAnsi"/>
          <w:sz w:val="24"/>
        </w:rPr>
        <w:t> Consolidated Plan:</w:t>
      </w:r>
    </w:p>
    <w:p w14:paraId="5F463F98" w14:textId="77777777" w:rsidR="00564ADD" w:rsidRPr="005A2704" w:rsidRDefault="00564ADD" w:rsidP="00A121EE">
      <w:pPr>
        <w:keepNext/>
        <w:widowControl w:val="0"/>
        <w:numPr>
          <w:ilvl w:val="0"/>
          <w:numId w:val="10"/>
        </w:numPr>
        <w:spacing w:beforeAutospacing="1" w:afterAutospacing="1"/>
        <w:rPr>
          <w:rFonts w:asciiTheme="minorHAnsi" w:hAnsiTheme="minorHAnsi" w:cstheme="minorHAnsi"/>
          <w:b/>
          <w:sz w:val="28"/>
          <w:szCs w:val="24"/>
        </w:rPr>
      </w:pPr>
      <w:r w:rsidRPr="005A2704">
        <w:rPr>
          <w:rFonts w:asciiTheme="minorHAnsi" w:hAnsiTheme="minorHAnsi" w:cstheme="minorHAnsi"/>
          <w:sz w:val="24"/>
        </w:rPr>
        <w:t>Providing decent affordable housing</w:t>
      </w:r>
    </w:p>
    <w:p w14:paraId="250289FB" w14:textId="77777777" w:rsidR="00564ADD" w:rsidRPr="005A2704" w:rsidRDefault="00564ADD" w:rsidP="00A121EE">
      <w:pPr>
        <w:keepNext/>
        <w:widowControl w:val="0"/>
        <w:numPr>
          <w:ilvl w:val="0"/>
          <w:numId w:val="10"/>
        </w:numPr>
        <w:spacing w:beforeAutospacing="1" w:afterAutospacing="1"/>
        <w:rPr>
          <w:rFonts w:asciiTheme="minorHAnsi" w:hAnsiTheme="minorHAnsi" w:cstheme="minorHAnsi"/>
          <w:b/>
          <w:sz w:val="28"/>
          <w:szCs w:val="24"/>
        </w:rPr>
      </w:pPr>
      <w:r w:rsidRPr="005A2704">
        <w:rPr>
          <w:rFonts w:asciiTheme="minorHAnsi" w:hAnsiTheme="minorHAnsi" w:cstheme="minorHAnsi"/>
          <w:sz w:val="24"/>
        </w:rPr>
        <w:t>Creating suitable living environments</w:t>
      </w:r>
    </w:p>
    <w:p w14:paraId="6D741AE7" w14:textId="77777777" w:rsidR="00564ADD" w:rsidRPr="007F1B80" w:rsidRDefault="00564ADD" w:rsidP="00A121EE">
      <w:pPr>
        <w:keepNext/>
        <w:widowControl w:val="0"/>
        <w:numPr>
          <w:ilvl w:val="0"/>
          <w:numId w:val="10"/>
        </w:numPr>
        <w:spacing w:beforeAutospacing="1" w:afterAutospacing="1"/>
        <w:rPr>
          <w:rFonts w:asciiTheme="minorHAnsi" w:hAnsiTheme="minorHAnsi" w:cstheme="minorHAnsi"/>
          <w:b/>
          <w:sz w:val="28"/>
          <w:szCs w:val="24"/>
        </w:rPr>
      </w:pPr>
      <w:r w:rsidRPr="005A2704">
        <w:rPr>
          <w:rFonts w:asciiTheme="minorHAnsi" w:hAnsiTheme="minorHAnsi" w:cstheme="minorHAnsi"/>
          <w:sz w:val="24"/>
        </w:rPr>
        <w:t>Creating economic opportunities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674"/>
      </w:tblGrid>
      <w:tr w:rsidR="00564ADD" w14:paraId="57869E18" w14:textId="77777777" w:rsidTr="009D1558">
        <w:trPr>
          <w:cantSplit/>
          <w:tblHeader/>
        </w:trPr>
        <w:tc>
          <w:tcPr>
            <w:tcW w:w="0" w:type="auto"/>
          </w:tcPr>
          <w:p w14:paraId="1A38FD04" w14:textId="77777777" w:rsidR="00564ADD" w:rsidRPr="005A2704" w:rsidRDefault="00564ADD" w:rsidP="009D1558">
            <w:pPr>
              <w:keepNext/>
              <w:widowControl w:val="0"/>
              <w:spacing w:after="0" w:line="240" w:lineRule="auto"/>
              <w:jc w:val="center"/>
              <w:rPr>
                <w:b/>
                <w:sz w:val="24"/>
              </w:rPr>
            </w:pPr>
            <w:r w:rsidRPr="005A2704">
              <w:rPr>
                <w:b/>
                <w:sz w:val="24"/>
              </w:rPr>
              <w:t>#</w:t>
            </w:r>
          </w:p>
        </w:tc>
        <w:tc>
          <w:tcPr>
            <w:tcW w:w="0" w:type="auto"/>
          </w:tcPr>
          <w:p w14:paraId="174F47EA" w14:textId="77777777" w:rsidR="00564ADD" w:rsidRPr="005A2704" w:rsidRDefault="00564ADD" w:rsidP="009D1558">
            <w:pPr>
              <w:keepNext/>
              <w:widowControl w:val="0"/>
              <w:spacing w:after="0" w:line="240" w:lineRule="auto"/>
              <w:jc w:val="center"/>
              <w:rPr>
                <w:b/>
                <w:sz w:val="24"/>
                <w:szCs w:val="24"/>
              </w:rPr>
            </w:pPr>
            <w:r w:rsidRPr="005A2704">
              <w:rPr>
                <w:b/>
                <w:sz w:val="24"/>
              </w:rPr>
              <w:t>Project Name</w:t>
            </w:r>
          </w:p>
        </w:tc>
      </w:tr>
      <w:tr w:rsidR="00564ADD" w14:paraId="423C0090" w14:textId="77777777" w:rsidTr="009D1558">
        <w:trPr>
          <w:cantSplit/>
        </w:trPr>
        <w:tc>
          <w:tcPr>
            <w:tcW w:w="0" w:type="auto"/>
            <w:vAlign w:val="bottom"/>
          </w:tcPr>
          <w:p w14:paraId="626BE080" w14:textId="77777777" w:rsidR="00564ADD" w:rsidRPr="005A2704" w:rsidRDefault="00564ADD" w:rsidP="009D1558">
            <w:pPr>
              <w:spacing w:beforeAutospacing="1" w:afterAutospacing="1"/>
              <w:jc w:val="right"/>
              <w:rPr>
                <w:sz w:val="24"/>
              </w:rPr>
            </w:pPr>
            <w:r w:rsidRPr="005A2704">
              <w:rPr>
                <w:color w:val="000000"/>
                <w:sz w:val="24"/>
              </w:rPr>
              <w:t>1</w:t>
            </w:r>
          </w:p>
        </w:tc>
        <w:tc>
          <w:tcPr>
            <w:tcW w:w="0" w:type="auto"/>
            <w:vAlign w:val="bottom"/>
          </w:tcPr>
          <w:p w14:paraId="5F9069E9" w14:textId="77777777" w:rsidR="00564ADD" w:rsidRPr="005A2704" w:rsidRDefault="00564ADD" w:rsidP="009D1558">
            <w:pPr>
              <w:spacing w:beforeAutospacing="1" w:afterAutospacing="1"/>
              <w:rPr>
                <w:sz w:val="24"/>
              </w:rPr>
            </w:pPr>
            <w:r w:rsidRPr="005A2704">
              <w:rPr>
                <w:color w:val="000000"/>
                <w:sz w:val="24"/>
              </w:rPr>
              <w:t>201</w:t>
            </w:r>
            <w:r>
              <w:rPr>
                <w:color w:val="000000"/>
                <w:sz w:val="24"/>
              </w:rPr>
              <w:t>9</w:t>
            </w:r>
            <w:r w:rsidRPr="005A2704">
              <w:rPr>
                <w:color w:val="000000"/>
                <w:sz w:val="24"/>
              </w:rPr>
              <w:t xml:space="preserve"> HOME FTHB</w:t>
            </w:r>
          </w:p>
        </w:tc>
      </w:tr>
      <w:tr w:rsidR="00564ADD" w14:paraId="28C6297A" w14:textId="77777777" w:rsidTr="009D1558">
        <w:trPr>
          <w:cantSplit/>
        </w:trPr>
        <w:tc>
          <w:tcPr>
            <w:tcW w:w="0" w:type="auto"/>
            <w:vAlign w:val="bottom"/>
          </w:tcPr>
          <w:p w14:paraId="12EE63E4" w14:textId="77777777" w:rsidR="00564ADD" w:rsidRPr="005A2704" w:rsidRDefault="00564ADD" w:rsidP="009D1558">
            <w:pPr>
              <w:spacing w:beforeAutospacing="1" w:afterAutospacing="1"/>
              <w:jc w:val="right"/>
              <w:rPr>
                <w:sz w:val="24"/>
              </w:rPr>
            </w:pPr>
            <w:r w:rsidRPr="005A2704">
              <w:rPr>
                <w:color w:val="000000"/>
                <w:sz w:val="24"/>
              </w:rPr>
              <w:t>2</w:t>
            </w:r>
          </w:p>
        </w:tc>
        <w:tc>
          <w:tcPr>
            <w:tcW w:w="0" w:type="auto"/>
            <w:vAlign w:val="bottom"/>
          </w:tcPr>
          <w:p w14:paraId="5E7AD18E" w14:textId="77777777" w:rsidR="00564ADD" w:rsidRPr="005A2704" w:rsidRDefault="00564ADD" w:rsidP="009D1558">
            <w:pPr>
              <w:spacing w:beforeAutospacing="1" w:afterAutospacing="1"/>
              <w:rPr>
                <w:sz w:val="24"/>
              </w:rPr>
            </w:pPr>
            <w:r w:rsidRPr="005A2704">
              <w:rPr>
                <w:color w:val="000000"/>
                <w:sz w:val="24"/>
              </w:rPr>
              <w:t>201</w:t>
            </w:r>
            <w:r>
              <w:rPr>
                <w:color w:val="000000"/>
                <w:sz w:val="24"/>
              </w:rPr>
              <w:t>9</w:t>
            </w:r>
            <w:r w:rsidRPr="005A2704">
              <w:rPr>
                <w:color w:val="000000"/>
                <w:sz w:val="24"/>
              </w:rPr>
              <w:t xml:space="preserve"> HOME TBRA</w:t>
            </w:r>
          </w:p>
        </w:tc>
      </w:tr>
      <w:tr w:rsidR="00564ADD" w14:paraId="03C4C4EF" w14:textId="77777777" w:rsidTr="009D1558">
        <w:trPr>
          <w:cantSplit/>
        </w:trPr>
        <w:tc>
          <w:tcPr>
            <w:tcW w:w="0" w:type="auto"/>
            <w:vAlign w:val="bottom"/>
          </w:tcPr>
          <w:p w14:paraId="5531EE95" w14:textId="77777777" w:rsidR="00564ADD" w:rsidRPr="005A2704" w:rsidRDefault="00564ADD" w:rsidP="009D1558">
            <w:pPr>
              <w:spacing w:beforeAutospacing="1" w:afterAutospacing="1"/>
              <w:jc w:val="right"/>
              <w:rPr>
                <w:sz w:val="24"/>
              </w:rPr>
            </w:pPr>
            <w:r w:rsidRPr="005A2704">
              <w:rPr>
                <w:color w:val="000000"/>
                <w:sz w:val="24"/>
              </w:rPr>
              <w:t>3</w:t>
            </w:r>
          </w:p>
        </w:tc>
        <w:tc>
          <w:tcPr>
            <w:tcW w:w="0" w:type="auto"/>
            <w:vAlign w:val="bottom"/>
          </w:tcPr>
          <w:p w14:paraId="779AABFB"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HOME RECAP HP</w:t>
            </w:r>
          </w:p>
        </w:tc>
      </w:tr>
      <w:tr w:rsidR="00564ADD" w14:paraId="6C0D628A" w14:textId="77777777" w:rsidTr="009D1558">
        <w:trPr>
          <w:cantSplit/>
        </w:trPr>
        <w:tc>
          <w:tcPr>
            <w:tcW w:w="0" w:type="auto"/>
            <w:vAlign w:val="bottom"/>
          </w:tcPr>
          <w:p w14:paraId="2EC3A4F8" w14:textId="77777777" w:rsidR="00564ADD" w:rsidRPr="005A2704" w:rsidRDefault="00564ADD" w:rsidP="009D1558">
            <w:pPr>
              <w:spacing w:beforeAutospacing="1" w:afterAutospacing="1"/>
              <w:jc w:val="right"/>
              <w:rPr>
                <w:sz w:val="24"/>
              </w:rPr>
            </w:pPr>
            <w:r w:rsidRPr="005A2704">
              <w:rPr>
                <w:color w:val="000000"/>
                <w:sz w:val="24"/>
              </w:rPr>
              <w:t>4</w:t>
            </w:r>
          </w:p>
        </w:tc>
        <w:tc>
          <w:tcPr>
            <w:tcW w:w="0" w:type="auto"/>
            <w:vAlign w:val="bottom"/>
          </w:tcPr>
          <w:p w14:paraId="229C9503"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HOME Rental</w:t>
            </w:r>
          </w:p>
        </w:tc>
      </w:tr>
      <w:tr w:rsidR="00564ADD" w14:paraId="3E32722B" w14:textId="77777777" w:rsidTr="009D1558">
        <w:trPr>
          <w:cantSplit/>
        </w:trPr>
        <w:tc>
          <w:tcPr>
            <w:tcW w:w="0" w:type="auto"/>
            <w:vAlign w:val="bottom"/>
          </w:tcPr>
          <w:p w14:paraId="588A28CA" w14:textId="77777777" w:rsidR="00564ADD" w:rsidRPr="005A2704" w:rsidRDefault="00564ADD" w:rsidP="009D1558">
            <w:pPr>
              <w:spacing w:beforeAutospacing="1" w:afterAutospacing="1"/>
              <w:jc w:val="right"/>
              <w:rPr>
                <w:sz w:val="24"/>
              </w:rPr>
            </w:pPr>
            <w:r w:rsidRPr="005A2704">
              <w:rPr>
                <w:color w:val="000000"/>
                <w:sz w:val="24"/>
              </w:rPr>
              <w:t>5</w:t>
            </w:r>
          </w:p>
        </w:tc>
        <w:tc>
          <w:tcPr>
            <w:tcW w:w="0" w:type="auto"/>
            <w:vAlign w:val="bottom"/>
          </w:tcPr>
          <w:p w14:paraId="474BB383"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HTF</w:t>
            </w:r>
          </w:p>
        </w:tc>
      </w:tr>
      <w:tr w:rsidR="00564ADD" w14:paraId="6009BBBF" w14:textId="77777777" w:rsidTr="009D1558">
        <w:trPr>
          <w:cantSplit/>
        </w:trPr>
        <w:tc>
          <w:tcPr>
            <w:tcW w:w="0" w:type="auto"/>
            <w:vAlign w:val="bottom"/>
          </w:tcPr>
          <w:p w14:paraId="3052C3B3" w14:textId="77777777" w:rsidR="00564ADD" w:rsidRPr="005A2704" w:rsidRDefault="00564ADD" w:rsidP="009D1558">
            <w:pPr>
              <w:spacing w:beforeAutospacing="1" w:afterAutospacing="1"/>
              <w:jc w:val="right"/>
              <w:rPr>
                <w:sz w:val="24"/>
              </w:rPr>
            </w:pPr>
            <w:r w:rsidRPr="005A2704">
              <w:rPr>
                <w:color w:val="000000"/>
                <w:sz w:val="24"/>
              </w:rPr>
              <w:t>6</w:t>
            </w:r>
          </w:p>
        </w:tc>
        <w:tc>
          <w:tcPr>
            <w:tcW w:w="0" w:type="auto"/>
            <w:vAlign w:val="bottom"/>
          </w:tcPr>
          <w:p w14:paraId="722A68F7"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HOPWA - MPA</w:t>
            </w:r>
          </w:p>
        </w:tc>
      </w:tr>
      <w:tr w:rsidR="00564ADD" w14:paraId="4D90AD83" w14:textId="77777777" w:rsidTr="009D1558">
        <w:trPr>
          <w:cantSplit/>
        </w:trPr>
        <w:tc>
          <w:tcPr>
            <w:tcW w:w="0" w:type="auto"/>
            <w:vAlign w:val="bottom"/>
          </w:tcPr>
          <w:p w14:paraId="70747D81" w14:textId="77777777" w:rsidR="00564ADD" w:rsidRPr="005A2704" w:rsidRDefault="00564ADD" w:rsidP="009D1558">
            <w:pPr>
              <w:spacing w:beforeAutospacing="1" w:afterAutospacing="1"/>
              <w:jc w:val="right"/>
              <w:rPr>
                <w:sz w:val="24"/>
              </w:rPr>
            </w:pPr>
            <w:r w:rsidRPr="005A2704">
              <w:rPr>
                <w:color w:val="000000"/>
                <w:sz w:val="24"/>
              </w:rPr>
              <w:t>7</w:t>
            </w:r>
          </w:p>
        </w:tc>
        <w:tc>
          <w:tcPr>
            <w:tcW w:w="0" w:type="auto"/>
            <w:vAlign w:val="bottom"/>
          </w:tcPr>
          <w:p w14:paraId="3FFFA604" w14:textId="77777777" w:rsidR="00564ADD" w:rsidRPr="005A2704" w:rsidRDefault="00564ADD" w:rsidP="009D1558">
            <w:pPr>
              <w:spacing w:beforeAutospacing="1" w:afterAutospacing="1"/>
              <w:rPr>
                <w:sz w:val="24"/>
              </w:rPr>
            </w:pPr>
            <w:r w:rsidRPr="005A2704">
              <w:rPr>
                <w:color w:val="000000"/>
                <w:sz w:val="24"/>
              </w:rPr>
              <w:t>HESG 1</w:t>
            </w:r>
            <w:r>
              <w:rPr>
                <w:color w:val="000000"/>
                <w:sz w:val="24"/>
              </w:rPr>
              <w:t>9</w:t>
            </w:r>
            <w:r w:rsidRPr="005A2704">
              <w:rPr>
                <w:color w:val="000000"/>
                <w:sz w:val="24"/>
              </w:rPr>
              <w:t xml:space="preserve"> KANSAS HOUSING RESOURCES CORP</w:t>
            </w:r>
          </w:p>
        </w:tc>
      </w:tr>
      <w:tr w:rsidR="00564ADD" w14:paraId="5F21E488" w14:textId="77777777" w:rsidTr="009D1558">
        <w:trPr>
          <w:cantSplit/>
        </w:trPr>
        <w:tc>
          <w:tcPr>
            <w:tcW w:w="0" w:type="auto"/>
            <w:vAlign w:val="bottom"/>
          </w:tcPr>
          <w:p w14:paraId="425D4E0F" w14:textId="77777777" w:rsidR="00564ADD" w:rsidRPr="005A2704" w:rsidRDefault="00564ADD" w:rsidP="009D1558">
            <w:pPr>
              <w:spacing w:beforeAutospacing="1" w:afterAutospacing="1"/>
              <w:jc w:val="right"/>
              <w:rPr>
                <w:sz w:val="24"/>
              </w:rPr>
            </w:pPr>
            <w:r w:rsidRPr="005A2704">
              <w:rPr>
                <w:color w:val="000000"/>
                <w:sz w:val="24"/>
              </w:rPr>
              <w:t>8</w:t>
            </w:r>
          </w:p>
        </w:tc>
        <w:tc>
          <w:tcPr>
            <w:tcW w:w="0" w:type="auto"/>
            <w:vAlign w:val="bottom"/>
          </w:tcPr>
          <w:p w14:paraId="10887CA1"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State Revolving Loan Fund</w:t>
            </w:r>
          </w:p>
        </w:tc>
      </w:tr>
      <w:tr w:rsidR="00564ADD" w14:paraId="1E93AFCC" w14:textId="77777777" w:rsidTr="009D1558">
        <w:trPr>
          <w:cantSplit/>
        </w:trPr>
        <w:tc>
          <w:tcPr>
            <w:tcW w:w="0" w:type="auto"/>
            <w:vAlign w:val="bottom"/>
          </w:tcPr>
          <w:p w14:paraId="32493084" w14:textId="77777777" w:rsidR="00564ADD" w:rsidRPr="005A2704" w:rsidRDefault="00564ADD" w:rsidP="009D1558">
            <w:pPr>
              <w:spacing w:beforeAutospacing="1" w:afterAutospacing="1"/>
              <w:jc w:val="right"/>
              <w:rPr>
                <w:sz w:val="24"/>
              </w:rPr>
            </w:pPr>
            <w:r w:rsidRPr="005A2704">
              <w:rPr>
                <w:color w:val="000000"/>
                <w:sz w:val="24"/>
              </w:rPr>
              <w:t>9</w:t>
            </w:r>
          </w:p>
        </w:tc>
        <w:tc>
          <w:tcPr>
            <w:tcW w:w="0" w:type="auto"/>
            <w:vAlign w:val="bottom"/>
          </w:tcPr>
          <w:p w14:paraId="3CD6FC23"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CDBG Regular Money</w:t>
            </w:r>
          </w:p>
        </w:tc>
      </w:tr>
      <w:tr w:rsidR="00564ADD" w14:paraId="7F5F60C9" w14:textId="77777777" w:rsidTr="009D1558">
        <w:trPr>
          <w:cantSplit/>
        </w:trPr>
        <w:tc>
          <w:tcPr>
            <w:tcW w:w="0" w:type="auto"/>
            <w:vAlign w:val="bottom"/>
          </w:tcPr>
          <w:p w14:paraId="22CBD9DC" w14:textId="77777777" w:rsidR="00564ADD" w:rsidRPr="005A2704" w:rsidRDefault="00564ADD" w:rsidP="009D1558">
            <w:pPr>
              <w:spacing w:beforeAutospacing="1" w:afterAutospacing="1"/>
              <w:jc w:val="right"/>
              <w:rPr>
                <w:sz w:val="24"/>
              </w:rPr>
            </w:pPr>
            <w:r w:rsidRPr="005A2704">
              <w:rPr>
                <w:color w:val="000000"/>
                <w:sz w:val="24"/>
              </w:rPr>
              <w:t>10</w:t>
            </w:r>
          </w:p>
        </w:tc>
        <w:tc>
          <w:tcPr>
            <w:tcW w:w="0" w:type="auto"/>
            <w:vAlign w:val="bottom"/>
          </w:tcPr>
          <w:p w14:paraId="0171A1F8" w14:textId="77777777" w:rsidR="00564ADD" w:rsidRPr="005A2704" w:rsidRDefault="00564ADD" w:rsidP="009D1558">
            <w:pPr>
              <w:spacing w:beforeAutospacing="1" w:afterAutospacing="1"/>
              <w:rPr>
                <w:sz w:val="24"/>
              </w:rPr>
            </w:pPr>
            <w:r>
              <w:rPr>
                <w:color w:val="000000"/>
                <w:sz w:val="24"/>
              </w:rPr>
              <w:t>2019</w:t>
            </w:r>
            <w:r w:rsidRPr="005A2704">
              <w:rPr>
                <w:color w:val="000000"/>
                <w:sz w:val="24"/>
              </w:rPr>
              <w:t xml:space="preserve"> Local Revolving Loan Fund</w:t>
            </w:r>
          </w:p>
        </w:tc>
      </w:tr>
    </w:tbl>
    <w:p w14:paraId="0910F9FB" w14:textId="5E03C762" w:rsidR="00564ADD" w:rsidRDefault="00564ADD" w:rsidP="00564AD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7</w:t>
      </w:r>
      <w:r>
        <w:rPr>
          <w:rFonts w:asciiTheme="minorHAnsi" w:hAnsiTheme="minorHAnsi"/>
        </w:rPr>
        <w:fldChar w:fldCharType="end"/>
      </w:r>
      <w:r>
        <w:rPr>
          <w:rFonts w:asciiTheme="minorHAnsi" w:hAnsiTheme="minorHAnsi"/>
        </w:rPr>
        <w:t xml:space="preserve"> – Project Information</w:t>
      </w:r>
    </w:p>
    <w:p w14:paraId="6B52D40B" w14:textId="77777777" w:rsidR="00564ADD" w:rsidRDefault="00564ADD" w:rsidP="00564ADD">
      <w:pPr>
        <w:spacing w:after="0" w:line="240" w:lineRule="auto"/>
        <w:rPr>
          <w:b/>
          <w:sz w:val="24"/>
          <w:szCs w:val="24"/>
        </w:rPr>
      </w:pPr>
    </w:p>
    <w:p w14:paraId="639D9D3C" w14:textId="77777777" w:rsidR="00564ADD" w:rsidRDefault="00564ADD" w:rsidP="00564ADD">
      <w:pPr>
        <w:widowControl w:val="0"/>
        <w:rPr>
          <w:b/>
          <w:sz w:val="24"/>
          <w:szCs w:val="24"/>
        </w:rPr>
      </w:pPr>
      <w:r>
        <w:rPr>
          <w:b/>
          <w:sz w:val="24"/>
          <w:szCs w:val="24"/>
        </w:rPr>
        <w:t>Describe the reasons for allocation priorities and any obstacles to addressing underserved needs</w:t>
      </w:r>
    </w:p>
    <w:p w14:paraId="30A5EEB9" w14:textId="77777777" w:rsidR="00564ADD" w:rsidRPr="00E12B8C" w:rsidRDefault="00564ADD" w:rsidP="00564ADD">
      <w:pPr>
        <w:keepNext/>
        <w:widowControl w:val="0"/>
        <w:spacing w:beforeAutospacing="1" w:afterAutospacing="1"/>
        <w:rPr>
          <w:rFonts w:cs="Arial"/>
          <w:sz w:val="24"/>
          <w:szCs w:val="24"/>
        </w:rPr>
      </w:pPr>
      <w:r w:rsidRPr="00E12B8C">
        <w:rPr>
          <w:rFonts w:cs="Arial"/>
          <w:sz w:val="24"/>
        </w:rPr>
        <w:t>State funding is allocated in such a way as to address areas of greatest need and the needs determined by communities through their participation</w:t>
      </w:r>
      <w:r>
        <w:rPr>
          <w:rFonts w:cs="Arial"/>
          <w:sz w:val="24"/>
        </w:rPr>
        <w:t xml:space="preserve"> in the development of the priority needs as part of the Strategic Plan</w:t>
      </w:r>
      <w:r w:rsidRPr="00E12B8C">
        <w:rPr>
          <w:rFonts w:cs="Arial"/>
          <w:sz w:val="24"/>
        </w:rPr>
        <w:t xml:space="preserve">. Obstacles to addressing underserved needs relate to </w:t>
      </w:r>
      <w:r>
        <w:rPr>
          <w:rFonts w:cs="Arial"/>
          <w:sz w:val="24"/>
        </w:rPr>
        <w:t>limited capacity and limited funding that fails to grant resources to all qualified applicants</w:t>
      </w:r>
      <w:r w:rsidRPr="00E12B8C">
        <w:rPr>
          <w:rFonts w:cs="Arial"/>
          <w:sz w:val="24"/>
        </w:rPr>
        <w:t>.</w:t>
      </w:r>
    </w:p>
    <w:p w14:paraId="68C40692" w14:textId="77777777" w:rsidR="00564ADD" w:rsidRDefault="00564ADD" w:rsidP="00564ADD">
      <w:pPr>
        <w:rPr>
          <w:rFonts w:cs="Arial"/>
        </w:rPr>
        <w:sectPr w:rsidR="00564ADD">
          <w:pgSz w:w="12240" w:h="15840" w:code="1"/>
          <w:pgMar w:top="1440" w:right="1440" w:bottom="1440" w:left="1440" w:header="720" w:footer="720" w:gutter="0"/>
          <w:cols w:space="720"/>
          <w:docGrid w:linePitch="360"/>
        </w:sectPr>
      </w:pPr>
    </w:p>
    <w:p w14:paraId="433D074D" w14:textId="77777777" w:rsidR="00564ADD" w:rsidRDefault="00564ADD" w:rsidP="0068663E">
      <w:pPr>
        <w:pStyle w:val="Heading2"/>
        <w:keepNext w:val="0"/>
        <w:shd w:val="clear" w:color="auto" w:fill="95B3D7" w:themeFill="accent1" w:themeFillTint="99"/>
        <w:rPr>
          <w:rFonts w:ascii="Calibri" w:hAnsi="Calibri"/>
          <w:i w:val="0"/>
        </w:rPr>
      </w:pPr>
      <w:bookmarkStart w:id="65" w:name="_Toc524603047"/>
      <w:r>
        <w:rPr>
          <w:rFonts w:ascii="Calibri" w:hAnsi="Calibri"/>
          <w:i w:val="0"/>
        </w:rPr>
        <w:t>AP-38 Project Summary</w:t>
      </w:r>
      <w:bookmarkEnd w:id="65"/>
    </w:p>
    <w:p w14:paraId="174DDCE8" w14:textId="77777777" w:rsidR="00564ADD" w:rsidRDefault="00564ADD" w:rsidP="00564ADD">
      <w:pPr>
        <w:widowControl w:val="0"/>
        <w:rPr>
          <w:b/>
          <w:sz w:val="24"/>
          <w:szCs w:val="24"/>
        </w:rPr>
      </w:pPr>
      <w:r>
        <w:rPr>
          <w:b/>
          <w:sz w:val="24"/>
          <w:szCs w:val="24"/>
        </w:rPr>
        <w:t>Project Summary Information</w:t>
      </w:r>
    </w:p>
    <w:p w14:paraId="21207225" w14:textId="77777777" w:rsidR="00564ADD" w:rsidRDefault="00564ADD" w:rsidP="00564A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802"/>
        <w:gridCol w:w="1108"/>
      </w:tblGrid>
      <w:tr w:rsidR="00564ADD" w14:paraId="35CD34CD" w14:textId="77777777" w:rsidTr="009D1558">
        <w:trPr>
          <w:cantSplit/>
        </w:trPr>
        <w:tc>
          <w:tcPr>
            <w:tcW w:w="0" w:type="auto"/>
            <w:vMerge w:val="restart"/>
          </w:tcPr>
          <w:p w14:paraId="74C7C251" w14:textId="77777777" w:rsidR="00564ADD" w:rsidRDefault="00564ADD" w:rsidP="009D1558">
            <w:r>
              <w:rPr>
                <w:b/>
              </w:rPr>
              <w:t>1</w:t>
            </w:r>
          </w:p>
        </w:tc>
        <w:tc>
          <w:tcPr>
            <w:tcW w:w="0" w:type="auto"/>
          </w:tcPr>
          <w:p w14:paraId="2E768534" w14:textId="77777777" w:rsidR="00564ADD" w:rsidRDefault="00564ADD" w:rsidP="009D1558">
            <w:pPr>
              <w:keepNext/>
              <w:spacing w:before="100" w:after="0"/>
              <w:rPr>
                <w:b/>
              </w:rPr>
            </w:pPr>
            <w:r>
              <w:rPr>
                <w:b/>
              </w:rPr>
              <w:t>Project Name</w:t>
            </w:r>
          </w:p>
        </w:tc>
        <w:tc>
          <w:tcPr>
            <w:tcW w:w="0" w:type="auto"/>
          </w:tcPr>
          <w:p w14:paraId="13E0E566" w14:textId="77777777" w:rsidR="00564ADD" w:rsidRDefault="00564ADD" w:rsidP="009D1558">
            <w:pPr>
              <w:spacing w:before="100" w:after="0"/>
            </w:pPr>
            <w:r>
              <w:rPr>
                <w:color w:val="000000"/>
              </w:rPr>
              <w:t xml:space="preserve">Project #1 </w:t>
            </w:r>
          </w:p>
        </w:tc>
      </w:tr>
      <w:tr w:rsidR="00564ADD" w14:paraId="5219CD99" w14:textId="77777777" w:rsidTr="009D1558">
        <w:trPr>
          <w:cantSplit/>
        </w:trPr>
        <w:tc>
          <w:tcPr>
            <w:tcW w:w="0" w:type="auto"/>
            <w:vMerge/>
          </w:tcPr>
          <w:p w14:paraId="1C6F5F89" w14:textId="77777777" w:rsidR="00564ADD" w:rsidRDefault="00564ADD" w:rsidP="009D1558"/>
        </w:tc>
        <w:tc>
          <w:tcPr>
            <w:tcW w:w="0" w:type="auto"/>
          </w:tcPr>
          <w:p w14:paraId="77B0D40C" w14:textId="77777777" w:rsidR="00564ADD" w:rsidRDefault="00564ADD" w:rsidP="009D1558">
            <w:pPr>
              <w:keepNext/>
              <w:spacing w:before="100" w:after="0"/>
              <w:rPr>
                <w:b/>
              </w:rPr>
            </w:pPr>
            <w:r>
              <w:rPr>
                <w:b/>
              </w:rPr>
              <w:t>Target Area</w:t>
            </w:r>
          </w:p>
        </w:tc>
        <w:tc>
          <w:tcPr>
            <w:tcW w:w="0" w:type="auto"/>
          </w:tcPr>
          <w:p w14:paraId="55C3C2EC" w14:textId="77777777" w:rsidR="00564ADD" w:rsidRDefault="00564ADD" w:rsidP="009D1558">
            <w:pPr>
              <w:spacing w:before="100" w:after="0"/>
            </w:pPr>
            <w:r>
              <w:rPr>
                <w:color w:val="000000"/>
              </w:rPr>
              <w:t xml:space="preserve"> </w:t>
            </w:r>
          </w:p>
        </w:tc>
      </w:tr>
      <w:tr w:rsidR="00564ADD" w14:paraId="709B10B6" w14:textId="77777777" w:rsidTr="009D1558">
        <w:trPr>
          <w:cantSplit/>
        </w:trPr>
        <w:tc>
          <w:tcPr>
            <w:tcW w:w="0" w:type="auto"/>
            <w:vMerge/>
          </w:tcPr>
          <w:p w14:paraId="42F135B5" w14:textId="77777777" w:rsidR="00564ADD" w:rsidRDefault="00564ADD" w:rsidP="009D1558"/>
        </w:tc>
        <w:tc>
          <w:tcPr>
            <w:tcW w:w="0" w:type="auto"/>
          </w:tcPr>
          <w:p w14:paraId="3AA63367" w14:textId="77777777" w:rsidR="00564ADD" w:rsidRDefault="00564ADD" w:rsidP="009D1558">
            <w:pPr>
              <w:keepNext/>
              <w:spacing w:before="100" w:after="0"/>
              <w:rPr>
                <w:b/>
              </w:rPr>
            </w:pPr>
            <w:r>
              <w:rPr>
                <w:b/>
              </w:rPr>
              <w:t>Goals Supported</w:t>
            </w:r>
          </w:p>
        </w:tc>
        <w:tc>
          <w:tcPr>
            <w:tcW w:w="0" w:type="auto"/>
          </w:tcPr>
          <w:p w14:paraId="150EB74F" w14:textId="77777777" w:rsidR="00564ADD" w:rsidRDefault="00564ADD" w:rsidP="009D1558">
            <w:pPr>
              <w:spacing w:before="100" w:after="0"/>
            </w:pPr>
          </w:p>
        </w:tc>
      </w:tr>
      <w:tr w:rsidR="00564ADD" w14:paraId="5EDA3243" w14:textId="77777777" w:rsidTr="009D1558">
        <w:trPr>
          <w:cantSplit/>
        </w:trPr>
        <w:tc>
          <w:tcPr>
            <w:tcW w:w="0" w:type="auto"/>
            <w:vMerge/>
          </w:tcPr>
          <w:p w14:paraId="07DD0D1B" w14:textId="77777777" w:rsidR="00564ADD" w:rsidRDefault="00564ADD" w:rsidP="009D1558"/>
        </w:tc>
        <w:tc>
          <w:tcPr>
            <w:tcW w:w="0" w:type="auto"/>
          </w:tcPr>
          <w:p w14:paraId="464C895E" w14:textId="77777777" w:rsidR="00564ADD" w:rsidRDefault="00564ADD" w:rsidP="009D1558">
            <w:pPr>
              <w:keepNext/>
              <w:spacing w:before="100" w:after="0"/>
              <w:rPr>
                <w:b/>
              </w:rPr>
            </w:pPr>
            <w:r>
              <w:rPr>
                <w:b/>
              </w:rPr>
              <w:t>Needs Addressed</w:t>
            </w:r>
          </w:p>
        </w:tc>
        <w:tc>
          <w:tcPr>
            <w:tcW w:w="0" w:type="auto"/>
          </w:tcPr>
          <w:p w14:paraId="013EBCB6" w14:textId="77777777" w:rsidR="00564ADD" w:rsidRDefault="00564ADD" w:rsidP="009D1558">
            <w:pPr>
              <w:spacing w:before="100" w:after="0"/>
            </w:pPr>
          </w:p>
        </w:tc>
      </w:tr>
      <w:tr w:rsidR="00564ADD" w14:paraId="5B8383DC" w14:textId="77777777" w:rsidTr="009D1558">
        <w:trPr>
          <w:cantSplit/>
        </w:trPr>
        <w:tc>
          <w:tcPr>
            <w:tcW w:w="0" w:type="auto"/>
            <w:vMerge/>
          </w:tcPr>
          <w:p w14:paraId="73C70B41" w14:textId="77777777" w:rsidR="00564ADD" w:rsidRDefault="00564ADD" w:rsidP="009D1558"/>
        </w:tc>
        <w:tc>
          <w:tcPr>
            <w:tcW w:w="0" w:type="auto"/>
          </w:tcPr>
          <w:p w14:paraId="3607BCE4" w14:textId="77777777" w:rsidR="00564ADD" w:rsidRDefault="00564ADD" w:rsidP="009D1558">
            <w:pPr>
              <w:keepNext/>
              <w:spacing w:before="100" w:after="0"/>
              <w:rPr>
                <w:b/>
              </w:rPr>
            </w:pPr>
            <w:r>
              <w:rPr>
                <w:b/>
              </w:rPr>
              <w:t>Funding</w:t>
            </w:r>
          </w:p>
        </w:tc>
        <w:tc>
          <w:tcPr>
            <w:tcW w:w="0" w:type="auto"/>
          </w:tcPr>
          <w:p w14:paraId="61E64F77" w14:textId="77777777" w:rsidR="00564ADD" w:rsidRDefault="00564ADD" w:rsidP="009D1558">
            <w:pPr>
              <w:spacing w:before="100" w:after="0"/>
            </w:pPr>
          </w:p>
        </w:tc>
      </w:tr>
      <w:tr w:rsidR="00564ADD" w14:paraId="5BA808E2" w14:textId="77777777" w:rsidTr="009D1558">
        <w:trPr>
          <w:cantSplit/>
        </w:trPr>
        <w:tc>
          <w:tcPr>
            <w:tcW w:w="0" w:type="auto"/>
            <w:vMerge/>
          </w:tcPr>
          <w:p w14:paraId="5F6683E2" w14:textId="77777777" w:rsidR="00564ADD" w:rsidRDefault="00564ADD" w:rsidP="009D1558"/>
        </w:tc>
        <w:tc>
          <w:tcPr>
            <w:tcW w:w="0" w:type="auto"/>
          </w:tcPr>
          <w:p w14:paraId="7ADE63B1" w14:textId="77777777" w:rsidR="00564ADD" w:rsidRDefault="00564ADD" w:rsidP="009D1558">
            <w:pPr>
              <w:keepNext/>
              <w:spacing w:before="100" w:after="0"/>
              <w:rPr>
                <w:b/>
              </w:rPr>
            </w:pPr>
            <w:r>
              <w:rPr>
                <w:b/>
              </w:rPr>
              <w:t>Description</w:t>
            </w:r>
          </w:p>
        </w:tc>
        <w:tc>
          <w:tcPr>
            <w:tcW w:w="0" w:type="auto"/>
          </w:tcPr>
          <w:p w14:paraId="40A38166" w14:textId="77777777" w:rsidR="00564ADD" w:rsidRDefault="00564ADD" w:rsidP="009D1558">
            <w:pPr>
              <w:spacing w:before="100" w:after="0"/>
            </w:pPr>
          </w:p>
        </w:tc>
      </w:tr>
      <w:tr w:rsidR="00564ADD" w14:paraId="0EF64FF0" w14:textId="77777777" w:rsidTr="009D1558">
        <w:trPr>
          <w:cantSplit/>
        </w:trPr>
        <w:tc>
          <w:tcPr>
            <w:tcW w:w="0" w:type="auto"/>
            <w:vMerge/>
          </w:tcPr>
          <w:p w14:paraId="5869B658" w14:textId="77777777" w:rsidR="00564ADD" w:rsidRDefault="00564ADD" w:rsidP="009D1558"/>
        </w:tc>
        <w:tc>
          <w:tcPr>
            <w:tcW w:w="0" w:type="auto"/>
          </w:tcPr>
          <w:p w14:paraId="6A852B8D" w14:textId="77777777" w:rsidR="00564ADD" w:rsidRDefault="00564ADD" w:rsidP="009D1558">
            <w:pPr>
              <w:keepNext/>
              <w:spacing w:before="100" w:after="0"/>
              <w:rPr>
                <w:b/>
              </w:rPr>
            </w:pPr>
            <w:r>
              <w:rPr>
                <w:b/>
              </w:rPr>
              <w:t>Target Date</w:t>
            </w:r>
          </w:p>
        </w:tc>
        <w:tc>
          <w:tcPr>
            <w:tcW w:w="0" w:type="auto"/>
          </w:tcPr>
          <w:p w14:paraId="11E4BB68" w14:textId="77777777" w:rsidR="00564ADD" w:rsidRDefault="00564ADD" w:rsidP="009D1558">
            <w:pPr>
              <w:spacing w:before="100" w:after="0"/>
            </w:pPr>
            <w:r>
              <w:rPr>
                <w:color w:val="000000"/>
              </w:rPr>
              <w:t xml:space="preserve"> </w:t>
            </w:r>
          </w:p>
        </w:tc>
      </w:tr>
      <w:tr w:rsidR="00564ADD" w14:paraId="6FC4A32E" w14:textId="77777777" w:rsidTr="009D1558">
        <w:trPr>
          <w:cantSplit/>
        </w:trPr>
        <w:tc>
          <w:tcPr>
            <w:tcW w:w="0" w:type="auto"/>
            <w:vMerge/>
          </w:tcPr>
          <w:p w14:paraId="1A6564C9" w14:textId="77777777" w:rsidR="00564ADD" w:rsidRDefault="00564ADD" w:rsidP="009D1558"/>
        </w:tc>
        <w:tc>
          <w:tcPr>
            <w:tcW w:w="0" w:type="auto"/>
          </w:tcPr>
          <w:p w14:paraId="3ED82825"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588E4F8" w14:textId="77777777" w:rsidR="00564ADD" w:rsidRDefault="00564ADD" w:rsidP="009D1558">
            <w:pPr>
              <w:spacing w:before="100" w:after="0"/>
            </w:pPr>
            <w:r>
              <w:rPr>
                <w:color w:val="000000"/>
              </w:rPr>
              <w:t xml:space="preserve"> </w:t>
            </w:r>
          </w:p>
        </w:tc>
      </w:tr>
      <w:tr w:rsidR="00564ADD" w14:paraId="128651FB" w14:textId="77777777" w:rsidTr="009D1558">
        <w:trPr>
          <w:cantSplit/>
        </w:trPr>
        <w:tc>
          <w:tcPr>
            <w:tcW w:w="0" w:type="auto"/>
            <w:vMerge/>
          </w:tcPr>
          <w:p w14:paraId="65B5188A" w14:textId="77777777" w:rsidR="00564ADD" w:rsidRDefault="00564ADD" w:rsidP="009D1558"/>
        </w:tc>
        <w:tc>
          <w:tcPr>
            <w:tcW w:w="0" w:type="auto"/>
          </w:tcPr>
          <w:p w14:paraId="6F7B57A6"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9DE5C42" w14:textId="77777777" w:rsidR="00564ADD" w:rsidRDefault="00564ADD" w:rsidP="009D1558">
            <w:pPr>
              <w:spacing w:before="100" w:after="0"/>
            </w:pPr>
            <w:r>
              <w:rPr>
                <w:color w:val="000000"/>
              </w:rPr>
              <w:t xml:space="preserve"> </w:t>
            </w:r>
          </w:p>
        </w:tc>
      </w:tr>
      <w:tr w:rsidR="00564ADD" w14:paraId="5612771B" w14:textId="77777777" w:rsidTr="009D1558">
        <w:trPr>
          <w:cantSplit/>
        </w:trPr>
        <w:tc>
          <w:tcPr>
            <w:tcW w:w="0" w:type="auto"/>
            <w:vMerge/>
          </w:tcPr>
          <w:p w14:paraId="4603C347" w14:textId="77777777" w:rsidR="00564ADD" w:rsidRDefault="00564ADD" w:rsidP="009D1558"/>
        </w:tc>
        <w:tc>
          <w:tcPr>
            <w:tcW w:w="0" w:type="auto"/>
          </w:tcPr>
          <w:p w14:paraId="1967645F"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2E82415E" w14:textId="77777777" w:rsidR="00564ADD" w:rsidRDefault="00564ADD" w:rsidP="009D1558">
            <w:pPr>
              <w:spacing w:before="100" w:after="0"/>
            </w:pPr>
            <w:r>
              <w:rPr>
                <w:color w:val="000000"/>
              </w:rPr>
              <w:t xml:space="preserve"> </w:t>
            </w:r>
          </w:p>
        </w:tc>
      </w:tr>
      <w:tr w:rsidR="00564ADD" w14:paraId="22DD8C81" w14:textId="77777777" w:rsidTr="009D1558">
        <w:trPr>
          <w:cantSplit/>
        </w:trPr>
        <w:tc>
          <w:tcPr>
            <w:tcW w:w="0" w:type="auto"/>
            <w:vMerge w:val="restart"/>
          </w:tcPr>
          <w:p w14:paraId="1D703D59" w14:textId="77777777" w:rsidR="00564ADD" w:rsidRDefault="00564ADD" w:rsidP="009D1558">
            <w:r>
              <w:rPr>
                <w:b/>
              </w:rPr>
              <w:t>2</w:t>
            </w:r>
          </w:p>
        </w:tc>
        <w:tc>
          <w:tcPr>
            <w:tcW w:w="0" w:type="auto"/>
          </w:tcPr>
          <w:p w14:paraId="75EE4071" w14:textId="77777777" w:rsidR="00564ADD" w:rsidRDefault="00564ADD" w:rsidP="009D1558">
            <w:pPr>
              <w:keepNext/>
              <w:spacing w:before="100" w:after="0"/>
              <w:rPr>
                <w:b/>
              </w:rPr>
            </w:pPr>
            <w:r>
              <w:rPr>
                <w:b/>
              </w:rPr>
              <w:t>Project Name</w:t>
            </w:r>
          </w:p>
        </w:tc>
        <w:tc>
          <w:tcPr>
            <w:tcW w:w="0" w:type="auto"/>
          </w:tcPr>
          <w:p w14:paraId="502B2955" w14:textId="77777777" w:rsidR="00564ADD" w:rsidRDefault="00564ADD" w:rsidP="009D1558">
            <w:pPr>
              <w:spacing w:before="100" w:after="0"/>
            </w:pPr>
          </w:p>
        </w:tc>
      </w:tr>
      <w:tr w:rsidR="00564ADD" w14:paraId="13A9CA93" w14:textId="77777777" w:rsidTr="009D1558">
        <w:trPr>
          <w:cantSplit/>
        </w:trPr>
        <w:tc>
          <w:tcPr>
            <w:tcW w:w="0" w:type="auto"/>
            <w:vMerge/>
          </w:tcPr>
          <w:p w14:paraId="2863F68C" w14:textId="77777777" w:rsidR="00564ADD" w:rsidRDefault="00564ADD" w:rsidP="009D1558"/>
        </w:tc>
        <w:tc>
          <w:tcPr>
            <w:tcW w:w="0" w:type="auto"/>
          </w:tcPr>
          <w:p w14:paraId="1DF62FDB" w14:textId="77777777" w:rsidR="00564ADD" w:rsidRDefault="00564ADD" w:rsidP="009D1558">
            <w:pPr>
              <w:keepNext/>
              <w:spacing w:before="100" w:after="0"/>
              <w:rPr>
                <w:b/>
              </w:rPr>
            </w:pPr>
            <w:r>
              <w:rPr>
                <w:b/>
              </w:rPr>
              <w:t>Target Area</w:t>
            </w:r>
          </w:p>
        </w:tc>
        <w:tc>
          <w:tcPr>
            <w:tcW w:w="0" w:type="auto"/>
          </w:tcPr>
          <w:p w14:paraId="0896939E" w14:textId="77777777" w:rsidR="00564ADD" w:rsidRDefault="00564ADD" w:rsidP="009D1558">
            <w:pPr>
              <w:spacing w:before="100" w:after="0"/>
            </w:pPr>
            <w:r>
              <w:rPr>
                <w:color w:val="000000"/>
              </w:rPr>
              <w:t xml:space="preserve"> </w:t>
            </w:r>
          </w:p>
        </w:tc>
      </w:tr>
      <w:tr w:rsidR="00564ADD" w14:paraId="57FCC5BA" w14:textId="77777777" w:rsidTr="009D1558">
        <w:trPr>
          <w:cantSplit/>
        </w:trPr>
        <w:tc>
          <w:tcPr>
            <w:tcW w:w="0" w:type="auto"/>
            <w:vMerge/>
          </w:tcPr>
          <w:p w14:paraId="73CD2963" w14:textId="77777777" w:rsidR="00564ADD" w:rsidRDefault="00564ADD" w:rsidP="009D1558"/>
        </w:tc>
        <w:tc>
          <w:tcPr>
            <w:tcW w:w="0" w:type="auto"/>
          </w:tcPr>
          <w:p w14:paraId="20B9BFD1" w14:textId="77777777" w:rsidR="00564ADD" w:rsidRDefault="00564ADD" w:rsidP="009D1558">
            <w:pPr>
              <w:keepNext/>
              <w:spacing w:before="100" w:after="0"/>
              <w:rPr>
                <w:b/>
              </w:rPr>
            </w:pPr>
            <w:r>
              <w:rPr>
                <w:b/>
              </w:rPr>
              <w:t>Goals Supported</w:t>
            </w:r>
          </w:p>
        </w:tc>
        <w:tc>
          <w:tcPr>
            <w:tcW w:w="0" w:type="auto"/>
          </w:tcPr>
          <w:p w14:paraId="11006A5A" w14:textId="77777777" w:rsidR="00564ADD" w:rsidRDefault="00564ADD" w:rsidP="009D1558">
            <w:pPr>
              <w:spacing w:before="100" w:after="0"/>
            </w:pPr>
          </w:p>
        </w:tc>
      </w:tr>
      <w:tr w:rsidR="00564ADD" w14:paraId="5ECD0BED" w14:textId="77777777" w:rsidTr="009D1558">
        <w:trPr>
          <w:cantSplit/>
        </w:trPr>
        <w:tc>
          <w:tcPr>
            <w:tcW w:w="0" w:type="auto"/>
            <w:vMerge/>
          </w:tcPr>
          <w:p w14:paraId="173A51E8" w14:textId="77777777" w:rsidR="00564ADD" w:rsidRDefault="00564ADD" w:rsidP="009D1558"/>
        </w:tc>
        <w:tc>
          <w:tcPr>
            <w:tcW w:w="0" w:type="auto"/>
          </w:tcPr>
          <w:p w14:paraId="3364E2E3" w14:textId="77777777" w:rsidR="00564ADD" w:rsidRDefault="00564ADD" w:rsidP="009D1558">
            <w:pPr>
              <w:keepNext/>
              <w:spacing w:before="100" w:after="0"/>
              <w:rPr>
                <w:b/>
              </w:rPr>
            </w:pPr>
            <w:r>
              <w:rPr>
                <w:b/>
              </w:rPr>
              <w:t>Needs Addressed</w:t>
            </w:r>
          </w:p>
        </w:tc>
        <w:tc>
          <w:tcPr>
            <w:tcW w:w="0" w:type="auto"/>
          </w:tcPr>
          <w:p w14:paraId="4060DB62" w14:textId="77777777" w:rsidR="00564ADD" w:rsidRDefault="00564ADD" w:rsidP="009D1558">
            <w:pPr>
              <w:spacing w:before="100" w:after="0"/>
            </w:pPr>
          </w:p>
        </w:tc>
      </w:tr>
      <w:tr w:rsidR="00564ADD" w14:paraId="1653FB13" w14:textId="77777777" w:rsidTr="009D1558">
        <w:trPr>
          <w:cantSplit/>
        </w:trPr>
        <w:tc>
          <w:tcPr>
            <w:tcW w:w="0" w:type="auto"/>
            <w:vMerge/>
          </w:tcPr>
          <w:p w14:paraId="7B4F6E51" w14:textId="77777777" w:rsidR="00564ADD" w:rsidRDefault="00564ADD" w:rsidP="009D1558"/>
        </w:tc>
        <w:tc>
          <w:tcPr>
            <w:tcW w:w="0" w:type="auto"/>
          </w:tcPr>
          <w:p w14:paraId="314816DB" w14:textId="77777777" w:rsidR="00564ADD" w:rsidRDefault="00564ADD" w:rsidP="009D1558">
            <w:pPr>
              <w:keepNext/>
              <w:spacing w:before="100" w:after="0"/>
              <w:rPr>
                <w:b/>
              </w:rPr>
            </w:pPr>
            <w:r>
              <w:rPr>
                <w:b/>
              </w:rPr>
              <w:t>Funding</w:t>
            </w:r>
          </w:p>
        </w:tc>
        <w:tc>
          <w:tcPr>
            <w:tcW w:w="0" w:type="auto"/>
          </w:tcPr>
          <w:p w14:paraId="35A1AC19" w14:textId="77777777" w:rsidR="00564ADD" w:rsidRDefault="00564ADD" w:rsidP="009D1558">
            <w:pPr>
              <w:spacing w:before="100" w:after="0"/>
            </w:pPr>
          </w:p>
        </w:tc>
      </w:tr>
      <w:tr w:rsidR="00564ADD" w14:paraId="74221910" w14:textId="77777777" w:rsidTr="009D1558">
        <w:trPr>
          <w:cantSplit/>
        </w:trPr>
        <w:tc>
          <w:tcPr>
            <w:tcW w:w="0" w:type="auto"/>
            <w:vMerge/>
          </w:tcPr>
          <w:p w14:paraId="2ED3C006" w14:textId="77777777" w:rsidR="00564ADD" w:rsidRDefault="00564ADD" w:rsidP="009D1558"/>
        </w:tc>
        <w:tc>
          <w:tcPr>
            <w:tcW w:w="0" w:type="auto"/>
          </w:tcPr>
          <w:p w14:paraId="0C7A81E5" w14:textId="77777777" w:rsidR="00564ADD" w:rsidRDefault="00564ADD" w:rsidP="009D1558">
            <w:pPr>
              <w:keepNext/>
              <w:spacing w:before="100" w:after="0"/>
              <w:rPr>
                <w:b/>
              </w:rPr>
            </w:pPr>
            <w:r>
              <w:rPr>
                <w:b/>
              </w:rPr>
              <w:t>Description</w:t>
            </w:r>
          </w:p>
        </w:tc>
        <w:tc>
          <w:tcPr>
            <w:tcW w:w="0" w:type="auto"/>
          </w:tcPr>
          <w:p w14:paraId="52D5EE41" w14:textId="77777777" w:rsidR="00564ADD" w:rsidRDefault="00564ADD" w:rsidP="009D1558">
            <w:pPr>
              <w:spacing w:before="100" w:after="0"/>
            </w:pPr>
          </w:p>
        </w:tc>
      </w:tr>
      <w:tr w:rsidR="00564ADD" w14:paraId="5DB3C67C" w14:textId="77777777" w:rsidTr="009D1558">
        <w:trPr>
          <w:cantSplit/>
        </w:trPr>
        <w:tc>
          <w:tcPr>
            <w:tcW w:w="0" w:type="auto"/>
            <w:vMerge/>
          </w:tcPr>
          <w:p w14:paraId="5B2878C4" w14:textId="77777777" w:rsidR="00564ADD" w:rsidRDefault="00564ADD" w:rsidP="009D1558"/>
        </w:tc>
        <w:tc>
          <w:tcPr>
            <w:tcW w:w="0" w:type="auto"/>
          </w:tcPr>
          <w:p w14:paraId="3AADDE15" w14:textId="77777777" w:rsidR="00564ADD" w:rsidRDefault="00564ADD" w:rsidP="009D1558">
            <w:pPr>
              <w:keepNext/>
              <w:spacing w:before="100" w:after="0"/>
              <w:rPr>
                <w:b/>
              </w:rPr>
            </w:pPr>
            <w:r>
              <w:rPr>
                <w:b/>
              </w:rPr>
              <w:t>Target Date</w:t>
            </w:r>
          </w:p>
        </w:tc>
        <w:tc>
          <w:tcPr>
            <w:tcW w:w="0" w:type="auto"/>
          </w:tcPr>
          <w:p w14:paraId="3B2D8E2A" w14:textId="77777777" w:rsidR="00564ADD" w:rsidRDefault="00564ADD" w:rsidP="009D1558">
            <w:pPr>
              <w:spacing w:before="100" w:after="0"/>
            </w:pPr>
            <w:r>
              <w:rPr>
                <w:color w:val="000000"/>
              </w:rPr>
              <w:t xml:space="preserve"> </w:t>
            </w:r>
          </w:p>
        </w:tc>
      </w:tr>
      <w:tr w:rsidR="00564ADD" w14:paraId="2776FD32" w14:textId="77777777" w:rsidTr="009D1558">
        <w:trPr>
          <w:cantSplit/>
        </w:trPr>
        <w:tc>
          <w:tcPr>
            <w:tcW w:w="0" w:type="auto"/>
            <w:vMerge/>
          </w:tcPr>
          <w:p w14:paraId="54D26C18" w14:textId="77777777" w:rsidR="00564ADD" w:rsidRDefault="00564ADD" w:rsidP="009D1558"/>
        </w:tc>
        <w:tc>
          <w:tcPr>
            <w:tcW w:w="0" w:type="auto"/>
          </w:tcPr>
          <w:p w14:paraId="2789C7E3"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BC609E8" w14:textId="77777777" w:rsidR="00564ADD" w:rsidRDefault="00564ADD" w:rsidP="009D1558">
            <w:pPr>
              <w:spacing w:before="100" w:after="0"/>
            </w:pPr>
            <w:r>
              <w:rPr>
                <w:color w:val="000000"/>
              </w:rPr>
              <w:t xml:space="preserve"> </w:t>
            </w:r>
          </w:p>
        </w:tc>
      </w:tr>
      <w:tr w:rsidR="00564ADD" w14:paraId="0F16489F" w14:textId="77777777" w:rsidTr="009D1558">
        <w:trPr>
          <w:cantSplit/>
        </w:trPr>
        <w:tc>
          <w:tcPr>
            <w:tcW w:w="0" w:type="auto"/>
            <w:vMerge/>
          </w:tcPr>
          <w:p w14:paraId="1ADC4101" w14:textId="77777777" w:rsidR="00564ADD" w:rsidRDefault="00564ADD" w:rsidP="009D1558"/>
        </w:tc>
        <w:tc>
          <w:tcPr>
            <w:tcW w:w="0" w:type="auto"/>
          </w:tcPr>
          <w:p w14:paraId="0EB6950A"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D8053AA" w14:textId="77777777" w:rsidR="00564ADD" w:rsidRDefault="00564ADD" w:rsidP="009D1558">
            <w:pPr>
              <w:spacing w:before="100" w:after="0"/>
            </w:pPr>
            <w:r>
              <w:rPr>
                <w:color w:val="000000"/>
              </w:rPr>
              <w:t xml:space="preserve"> </w:t>
            </w:r>
          </w:p>
        </w:tc>
      </w:tr>
      <w:tr w:rsidR="00564ADD" w14:paraId="2F90D17D" w14:textId="77777777" w:rsidTr="009D1558">
        <w:trPr>
          <w:cantSplit/>
        </w:trPr>
        <w:tc>
          <w:tcPr>
            <w:tcW w:w="0" w:type="auto"/>
            <w:vMerge/>
          </w:tcPr>
          <w:p w14:paraId="64ECC783" w14:textId="77777777" w:rsidR="00564ADD" w:rsidRDefault="00564ADD" w:rsidP="009D1558"/>
        </w:tc>
        <w:tc>
          <w:tcPr>
            <w:tcW w:w="0" w:type="auto"/>
          </w:tcPr>
          <w:p w14:paraId="6AAEDEEE"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51AB3158" w14:textId="77777777" w:rsidR="00564ADD" w:rsidRDefault="00564ADD" w:rsidP="009D1558">
            <w:pPr>
              <w:spacing w:before="100" w:after="0"/>
            </w:pPr>
            <w:r>
              <w:rPr>
                <w:color w:val="000000"/>
              </w:rPr>
              <w:t xml:space="preserve"> </w:t>
            </w:r>
          </w:p>
        </w:tc>
      </w:tr>
      <w:tr w:rsidR="00564ADD" w14:paraId="0EC53B80" w14:textId="77777777" w:rsidTr="009D1558">
        <w:trPr>
          <w:cantSplit/>
        </w:trPr>
        <w:tc>
          <w:tcPr>
            <w:tcW w:w="0" w:type="auto"/>
            <w:vMerge w:val="restart"/>
          </w:tcPr>
          <w:p w14:paraId="61C17E0D" w14:textId="77777777" w:rsidR="00564ADD" w:rsidRDefault="00564ADD" w:rsidP="009D1558">
            <w:r>
              <w:rPr>
                <w:b/>
              </w:rPr>
              <w:t>3</w:t>
            </w:r>
          </w:p>
        </w:tc>
        <w:tc>
          <w:tcPr>
            <w:tcW w:w="0" w:type="auto"/>
          </w:tcPr>
          <w:p w14:paraId="570DAA2A" w14:textId="77777777" w:rsidR="00564ADD" w:rsidRDefault="00564ADD" w:rsidP="009D1558">
            <w:pPr>
              <w:keepNext/>
              <w:spacing w:before="100" w:after="0"/>
              <w:rPr>
                <w:b/>
              </w:rPr>
            </w:pPr>
            <w:r>
              <w:rPr>
                <w:b/>
              </w:rPr>
              <w:t>Project Name</w:t>
            </w:r>
          </w:p>
        </w:tc>
        <w:tc>
          <w:tcPr>
            <w:tcW w:w="0" w:type="auto"/>
          </w:tcPr>
          <w:p w14:paraId="4245E73F" w14:textId="77777777" w:rsidR="00564ADD" w:rsidRDefault="00564ADD" w:rsidP="009D1558">
            <w:pPr>
              <w:spacing w:before="100" w:after="0"/>
            </w:pPr>
          </w:p>
        </w:tc>
      </w:tr>
      <w:tr w:rsidR="00564ADD" w14:paraId="0A93C8F7" w14:textId="77777777" w:rsidTr="009D1558">
        <w:trPr>
          <w:cantSplit/>
        </w:trPr>
        <w:tc>
          <w:tcPr>
            <w:tcW w:w="0" w:type="auto"/>
            <w:vMerge/>
          </w:tcPr>
          <w:p w14:paraId="3F884849" w14:textId="77777777" w:rsidR="00564ADD" w:rsidRDefault="00564ADD" w:rsidP="009D1558"/>
        </w:tc>
        <w:tc>
          <w:tcPr>
            <w:tcW w:w="0" w:type="auto"/>
          </w:tcPr>
          <w:p w14:paraId="6A49E77E" w14:textId="77777777" w:rsidR="00564ADD" w:rsidRDefault="00564ADD" w:rsidP="009D1558">
            <w:pPr>
              <w:keepNext/>
              <w:spacing w:before="100" w:after="0"/>
              <w:rPr>
                <w:b/>
              </w:rPr>
            </w:pPr>
            <w:r>
              <w:rPr>
                <w:b/>
              </w:rPr>
              <w:t>Target Area</w:t>
            </w:r>
          </w:p>
        </w:tc>
        <w:tc>
          <w:tcPr>
            <w:tcW w:w="0" w:type="auto"/>
          </w:tcPr>
          <w:p w14:paraId="3042B7D9" w14:textId="77777777" w:rsidR="00564ADD" w:rsidRDefault="00564ADD" w:rsidP="009D1558">
            <w:pPr>
              <w:spacing w:before="100" w:after="0"/>
            </w:pPr>
            <w:r>
              <w:rPr>
                <w:color w:val="000000"/>
              </w:rPr>
              <w:t xml:space="preserve"> </w:t>
            </w:r>
          </w:p>
        </w:tc>
      </w:tr>
      <w:tr w:rsidR="00564ADD" w14:paraId="25019CE9" w14:textId="77777777" w:rsidTr="009D1558">
        <w:trPr>
          <w:cantSplit/>
        </w:trPr>
        <w:tc>
          <w:tcPr>
            <w:tcW w:w="0" w:type="auto"/>
            <w:vMerge/>
          </w:tcPr>
          <w:p w14:paraId="629169FE" w14:textId="77777777" w:rsidR="00564ADD" w:rsidRDefault="00564ADD" w:rsidP="009D1558"/>
        </w:tc>
        <w:tc>
          <w:tcPr>
            <w:tcW w:w="0" w:type="auto"/>
          </w:tcPr>
          <w:p w14:paraId="7F9C334D" w14:textId="77777777" w:rsidR="00564ADD" w:rsidRDefault="00564ADD" w:rsidP="009D1558">
            <w:pPr>
              <w:keepNext/>
              <w:spacing w:before="100" w:after="0"/>
              <w:rPr>
                <w:b/>
              </w:rPr>
            </w:pPr>
            <w:r>
              <w:rPr>
                <w:b/>
              </w:rPr>
              <w:t>Goals Supported</w:t>
            </w:r>
          </w:p>
        </w:tc>
        <w:tc>
          <w:tcPr>
            <w:tcW w:w="0" w:type="auto"/>
          </w:tcPr>
          <w:p w14:paraId="2668FEBF" w14:textId="77777777" w:rsidR="00564ADD" w:rsidRDefault="00564ADD" w:rsidP="009D1558">
            <w:pPr>
              <w:spacing w:before="100" w:after="0"/>
            </w:pPr>
          </w:p>
        </w:tc>
      </w:tr>
      <w:tr w:rsidR="00564ADD" w14:paraId="2330740D" w14:textId="77777777" w:rsidTr="009D1558">
        <w:trPr>
          <w:cantSplit/>
        </w:trPr>
        <w:tc>
          <w:tcPr>
            <w:tcW w:w="0" w:type="auto"/>
            <w:vMerge/>
          </w:tcPr>
          <w:p w14:paraId="49ED60F9" w14:textId="77777777" w:rsidR="00564ADD" w:rsidRDefault="00564ADD" w:rsidP="009D1558"/>
        </w:tc>
        <w:tc>
          <w:tcPr>
            <w:tcW w:w="0" w:type="auto"/>
          </w:tcPr>
          <w:p w14:paraId="32AE117E" w14:textId="77777777" w:rsidR="00564ADD" w:rsidRDefault="00564ADD" w:rsidP="009D1558">
            <w:pPr>
              <w:keepNext/>
              <w:spacing w:before="100" w:after="0"/>
              <w:rPr>
                <w:b/>
              </w:rPr>
            </w:pPr>
            <w:r>
              <w:rPr>
                <w:b/>
              </w:rPr>
              <w:t>Needs Addressed</w:t>
            </w:r>
          </w:p>
        </w:tc>
        <w:tc>
          <w:tcPr>
            <w:tcW w:w="0" w:type="auto"/>
          </w:tcPr>
          <w:p w14:paraId="5AE1CADD" w14:textId="77777777" w:rsidR="00564ADD" w:rsidRDefault="00564ADD" w:rsidP="009D1558">
            <w:pPr>
              <w:spacing w:before="100" w:after="0"/>
            </w:pPr>
          </w:p>
        </w:tc>
      </w:tr>
      <w:tr w:rsidR="00564ADD" w14:paraId="1873D880" w14:textId="77777777" w:rsidTr="009D1558">
        <w:trPr>
          <w:cantSplit/>
        </w:trPr>
        <w:tc>
          <w:tcPr>
            <w:tcW w:w="0" w:type="auto"/>
            <w:vMerge/>
          </w:tcPr>
          <w:p w14:paraId="14E0E28E" w14:textId="77777777" w:rsidR="00564ADD" w:rsidRDefault="00564ADD" w:rsidP="009D1558"/>
        </w:tc>
        <w:tc>
          <w:tcPr>
            <w:tcW w:w="0" w:type="auto"/>
          </w:tcPr>
          <w:p w14:paraId="12600E2C" w14:textId="77777777" w:rsidR="00564ADD" w:rsidRDefault="00564ADD" w:rsidP="009D1558">
            <w:pPr>
              <w:keepNext/>
              <w:spacing w:before="100" w:after="0"/>
              <w:rPr>
                <w:b/>
              </w:rPr>
            </w:pPr>
            <w:r>
              <w:rPr>
                <w:b/>
              </w:rPr>
              <w:t>Funding</w:t>
            </w:r>
          </w:p>
        </w:tc>
        <w:tc>
          <w:tcPr>
            <w:tcW w:w="0" w:type="auto"/>
          </w:tcPr>
          <w:p w14:paraId="0A0C6463" w14:textId="77777777" w:rsidR="00564ADD" w:rsidRDefault="00564ADD" w:rsidP="009D1558">
            <w:pPr>
              <w:spacing w:before="100" w:after="0"/>
            </w:pPr>
          </w:p>
        </w:tc>
      </w:tr>
      <w:tr w:rsidR="00564ADD" w14:paraId="7E2D0898" w14:textId="77777777" w:rsidTr="009D1558">
        <w:trPr>
          <w:cantSplit/>
        </w:trPr>
        <w:tc>
          <w:tcPr>
            <w:tcW w:w="0" w:type="auto"/>
            <w:vMerge/>
          </w:tcPr>
          <w:p w14:paraId="2F455242" w14:textId="77777777" w:rsidR="00564ADD" w:rsidRDefault="00564ADD" w:rsidP="009D1558"/>
        </w:tc>
        <w:tc>
          <w:tcPr>
            <w:tcW w:w="0" w:type="auto"/>
          </w:tcPr>
          <w:p w14:paraId="11718AD1" w14:textId="77777777" w:rsidR="00564ADD" w:rsidRDefault="00564ADD" w:rsidP="009D1558">
            <w:pPr>
              <w:keepNext/>
              <w:spacing w:before="100" w:after="0"/>
              <w:rPr>
                <w:b/>
              </w:rPr>
            </w:pPr>
            <w:r>
              <w:rPr>
                <w:b/>
              </w:rPr>
              <w:t>Description</w:t>
            </w:r>
          </w:p>
        </w:tc>
        <w:tc>
          <w:tcPr>
            <w:tcW w:w="0" w:type="auto"/>
          </w:tcPr>
          <w:p w14:paraId="4BE7296D" w14:textId="77777777" w:rsidR="00564ADD" w:rsidRDefault="00564ADD" w:rsidP="009D1558">
            <w:pPr>
              <w:spacing w:before="100" w:after="0"/>
            </w:pPr>
            <w:r>
              <w:rPr>
                <w:color w:val="000000"/>
              </w:rPr>
              <w:t xml:space="preserve"> </w:t>
            </w:r>
          </w:p>
        </w:tc>
      </w:tr>
      <w:tr w:rsidR="00564ADD" w14:paraId="751621D5" w14:textId="77777777" w:rsidTr="009D1558">
        <w:trPr>
          <w:cantSplit/>
        </w:trPr>
        <w:tc>
          <w:tcPr>
            <w:tcW w:w="0" w:type="auto"/>
            <w:vMerge/>
          </w:tcPr>
          <w:p w14:paraId="20AFB2CC" w14:textId="77777777" w:rsidR="00564ADD" w:rsidRDefault="00564ADD" w:rsidP="009D1558"/>
        </w:tc>
        <w:tc>
          <w:tcPr>
            <w:tcW w:w="0" w:type="auto"/>
          </w:tcPr>
          <w:p w14:paraId="0F6AEE17" w14:textId="77777777" w:rsidR="00564ADD" w:rsidRDefault="00564ADD" w:rsidP="009D1558">
            <w:pPr>
              <w:keepNext/>
              <w:spacing w:before="100" w:after="0"/>
              <w:rPr>
                <w:b/>
              </w:rPr>
            </w:pPr>
            <w:r>
              <w:rPr>
                <w:b/>
              </w:rPr>
              <w:t>Target Date</w:t>
            </w:r>
          </w:p>
        </w:tc>
        <w:tc>
          <w:tcPr>
            <w:tcW w:w="0" w:type="auto"/>
          </w:tcPr>
          <w:p w14:paraId="143CA1C1" w14:textId="77777777" w:rsidR="00564ADD" w:rsidRDefault="00564ADD" w:rsidP="009D1558">
            <w:pPr>
              <w:spacing w:before="100" w:after="0"/>
            </w:pPr>
            <w:r>
              <w:rPr>
                <w:color w:val="000000"/>
              </w:rPr>
              <w:t xml:space="preserve"> </w:t>
            </w:r>
          </w:p>
        </w:tc>
      </w:tr>
      <w:tr w:rsidR="00564ADD" w14:paraId="73402AAC" w14:textId="77777777" w:rsidTr="009D1558">
        <w:trPr>
          <w:cantSplit/>
        </w:trPr>
        <w:tc>
          <w:tcPr>
            <w:tcW w:w="0" w:type="auto"/>
            <w:vMerge/>
          </w:tcPr>
          <w:p w14:paraId="6D1CD579" w14:textId="77777777" w:rsidR="00564ADD" w:rsidRDefault="00564ADD" w:rsidP="009D1558"/>
        </w:tc>
        <w:tc>
          <w:tcPr>
            <w:tcW w:w="0" w:type="auto"/>
          </w:tcPr>
          <w:p w14:paraId="06366EC8"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144B0D1" w14:textId="77777777" w:rsidR="00564ADD" w:rsidRDefault="00564ADD" w:rsidP="009D1558">
            <w:pPr>
              <w:spacing w:before="100" w:after="0"/>
            </w:pPr>
            <w:r>
              <w:rPr>
                <w:color w:val="000000"/>
              </w:rPr>
              <w:t xml:space="preserve"> </w:t>
            </w:r>
          </w:p>
        </w:tc>
      </w:tr>
      <w:tr w:rsidR="00564ADD" w14:paraId="59402A62" w14:textId="77777777" w:rsidTr="009D1558">
        <w:trPr>
          <w:cantSplit/>
        </w:trPr>
        <w:tc>
          <w:tcPr>
            <w:tcW w:w="0" w:type="auto"/>
            <w:vMerge/>
          </w:tcPr>
          <w:p w14:paraId="7FB20649" w14:textId="77777777" w:rsidR="00564ADD" w:rsidRDefault="00564ADD" w:rsidP="009D1558"/>
        </w:tc>
        <w:tc>
          <w:tcPr>
            <w:tcW w:w="0" w:type="auto"/>
          </w:tcPr>
          <w:p w14:paraId="6BA81DD2"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B8CF282" w14:textId="77777777" w:rsidR="00564ADD" w:rsidRDefault="00564ADD" w:rsidP="009D1558">
            <w:pPr>
              <w:spacing w:before="100" w:after="0"/>
            </w:pPr>
            <w:r>
              <w:rPr>
                <w:color w:val="000000"/>
              </w:rPr>
              <w:t xml:space="preserve"> </w:t>
            </w:r>
          </w:p>
        </w:tc>
      </w:tr>
      <w:tr w:rsidR="00564ADD" w14:paraId="345F70BC" w14:textId="77777777" w:rsidTr="009D1558">
        <w:trPr>
          <w:cantSplit/>
        </w:trPr>
        <w:tc>
          <w:tcPr>
            <w:tcW w:w="0" w:type="auto"/>
            <w:vMerge/>
          </w:tcPr>
          <w:p w14:paraId="0DA6E48C" w14:textId="77777777" w:rsidR="00564ADD" w:rsidRDefault="00564ADD" w:rsidP="009D1558"/>
        </w:tc>
        <w:tc>
          <w:tcPr>
            <w:tcW w:w="0" w:type="auto"/>
          </w:tcPr>
          <w:p w14:paraId="569A7466"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7E7046F7" w14:textId="77777777" w:rsidR="00564ADD" w:rsidRDefault="00564ADD" w:rsidP="009D1558">
            <w:pPr>
              <w:spacing w:before="100" w:after="0"/>
            </w:pPr>
            <w:r>
              <w:rPr>
                <w:color w:val="000000"/>
              </w:rPr>
              <w:t xml:space="preserve"> </w:t>
            </w:r>
          </w:p>
        </w:tc>
      </w:tr>
      <w:tr w:rsidR="00564ADD" w14:paraId="7FB6561D" w14:textId="77777777" w:rsidTr="009D1558">
        <w:trPr>
          <w:cantSplit/>
        </w:trPr>
        <w:tc>
          <w:tcPr>
            <w:tcW w:w="0" w:type="auto"/>
            <w:vMerge w:val="restart"/>
          </w:tcPr>
          <w:p w14:paraId="4C74B1A4" w14:textId="77777777" w:rsidR="00564ADD" w:rsidRDefault="00564ADD" w:rsidP="009D1558">
            <w:r>
              <w:rPr>
                <w:b/>
              </w:rPr>
              <w:t>4</w:t>
            </w:r>
          </w:p>
        </w:tc>
        <w:tc>
          <w:tcPr>
            <w:tcW w:w="0" w:type="auto"/>
          </w:tcPr>
          <w:p w14:paraId="33CFB626" w14:textId="77777777" w:rsidR="00564ADD" w:rsidRDefault="00564ADD" w:rsidP="009D1558">
            <w:pPr>
              <w:keepNext/>
              <w:spacing w:before="100" w:after="0"/>
              <w:rPr>
                <w:b/>
              </w:rPr>
            </w:pPr>
            <w:r>
              <w:rPr>
                <w:b/>
              </w:rPr>
              <w:t>Project Name</w:t>
            </w:r>
          </w:p>
        </w:tc>
        <w:tc>
          <w:tcPr>
            <w:tcW w:w="0" w:type="auto"/>
          </w:tcPr>
          <w:p w14:paraId="428B93EA" w14:textId="77777777" w:rsidR="00564ADD" w:rsidRDefault="00564ADD" w:rsidP="009D1558">
            <w:pPr>
              <w:spacing w:before="100" w:after="0"/>
            </w:pPr>
          </w:p>
        </w:tc>
      </w:tr>
      <w:tr w:rsidR="00564ADD" w14:paraId="26D1CDC9" w14:textId="77777777" w:rsidTr="009D1558">
        <w:trPr>
          <w:cantSplit/>
        </w:trPr>
        <w:tc>
          <w:tcPr>
            <w:tcW w:w="0" w:type="auto"/>
            <w:vMerge/>
          </w:tcPr>
          <w:p w14:paraId="11129C23" w14:textId="77777777" w:rsidR="00564ADD" w:rsidRDefault="00564ADD" w:rsidP="009D1558"/>
        </w:tc>
        <w:tc>
          <w:tcPr>
            <w:tcW w:w="0" w:type="auto"/>
          </w:tcPr>
          <w:p w14:paraId="11FC9919" w14:textId="77777777" w:rsidR="00564ADD" w:rsidRDefault="00564ADD" w:rsidP="009D1558">
            <w:pPr>
              <w:keepNext/>
              <w:spacing w:before="100" w:after="0"/>
              <w:rPr>
                <w:b/>
              </w:rPr>
            </w:pPr>
            <w:r>
              <w:rPr>
                <w:b/>
              </w:rPr>
              <w:t>Target Area</w:t>
            </w:r>
          </w:p>
        </w:tc>
        <w:tc>
          <w:tcPr>
            <w:tcW w:w="0" w:type="auto"/>
          </w:tcPr>
          <w:p w14:paraId="228A1845" w14:textId="77777777" w:rsidR="00564ADD" w:rsidRDefault="00564ADD" w:rsidP="009D1558">
            <w:pPr>
              <w:spacing w:before="100" w:after="0"/>
            </w:pPr>
            <w:r>
              <w:rPr>
                <w:color w:val="000000"/>
              </w:rPr>
              <w:t xml:space="preserve"> </w:t>
            </w:r>
          </w:p>
        </w:tc>
      </w:tr>
      <w:tr w:rsidR="00564ADD" w14:paraId="37F84087" w14:textId="77777777" w:rsidTr="009D1558">
        <w:trPr>
          <w:cantSplit/>
        </w:trPr>
        <w:tc>
          <w:tcPr>
            <w:tcW w:w="0" w:type="auto"/>
            <w:vMerge/>
          </w:tcPr>
          <w:p w14:paraId="59D04CC5" w14:textId="77777777" w:rsidR="00564ADD" w:rsidRDefault="00564ADD" w:rsidP="009D1558"/>
        </w:tc>
        <w:tc>
          <w:tcPr>
            <w:tcW w:w="0" w:type="auto"/>
          </w:tcPr>
          <w:p w14:paraId="271DF69D" w14:textId="77777777" w:rsidR="00564ADD" w:rsidRDefault="00564ADD" w:rsidP="009D1558">
            <w:pPr>
              <w:keepNext/>
              <w:spacing w:before="100" w:after="0"/>
              <w:rPr>
                <w:b/>
              </w:rPr>
            </w:pPr>
            <w:r>
              <w:rPr>
                <w:b/>
              </w:rPr>
              <w:t>Goals Supported</w:t>
            </w:r>
          </w:p>
        </w:tc>
        <w:tc>
          <w:tcPr>
            <w:tcW w:w="0" w:type="auto"/>
          </w:tcPr>
          <w:p w14:paraId="438A9EBB" w14:textId="77777777" w:rsidR="00564ADD" w:rsidRDefault="00564ADD" w:rsidP="009D1558">
            <w:pPr>
              <w:spacing w:before="100" w:after="0"/>
            </w:pPr>
          </w:p>
        </w:tc>
      </w:tr>
      <w:tr w:rsidR="00564ADD" w14:paraId="11DD0B85" w14:textId="77777777" w:rsidTr="009D1558">
        <w:trPr>
          <w:cantSplit/>
        </w:trPr>
        <w:tc>
          <w:tcPr>
            <w:tcW w:w="0" w:type="auto"/>
            <w:vMerge/>
          </w:tcPr>
          <w:p w14:paraId="49D057A7" w14:textId="77777777" w:rsidR="00564ADD" w:rsidRDefault="00564ADD" w:rsidP="009D1558"/>
        </w:tc>
        <w:tc>
          <w:tcPr>
            <w:tcW w:w="0" w:type="auto"/>
          </w:tcPr>
          <w:p w14:paraId="58BF8EFD" w14:textId="77777777" w:rsidR="00564ADD" w:rsidRDefault="00564ADD" w:rsidP="009D1558">
            <w:pPr>
              <w:keepNext/>
              <w:spacing w:before="100" w:after="0"/>
              <w:rPr>
                <w:b/>
              </w:rPr>
            </w:pPr>
            <w:r>
              <w:rPr>
                <w:b/>
              </w:rPr>
              <w:t>Needs Addressed</w:t>
            </w:r>
          </w:p>
        </w:tc>
        <w:tc>
          <w:tcPr>
            <w:tcW w:w="0" w:type="auto"/>
          </w:tcPr>
          <w:p w14:paraId="47DD5A46" w14:textId="77777777" w:rsidR="00564ADD" w:rsidRDefault="00564ADD" w:rsidP="009D1558">
            <w:pPr>
              <w:spacing w:before="100" w:after="0"/>
            </w:pPr>
            <w:r>
              <w:rPr>
                <w:color w:val="000000"/>
              </w:rPr>
              <w:t xml:space="preserve"> </w:t>
            </w:r>
          </w:p>
        </w:tc>
      </w:tr>
      <w:tr w:rsidR="00564ADD" w14:paraId="2E7CE01A" w14:textId="77777777" w:rsidTr="009D1558">
        <w:trPr>
          <w:cantSplit/>
        </w:trPr>
        <w:tc>
          <w:tcPr>
            <w:tcW w:w="0" w:type="auto"/>
            <w:vMerge/>
          </w:tcPr>
          <w:p w14:paraId="680FA9DB" w14:textId="77777777" w:rsidR="00564ADD" w:rsidRDefault="00564ADD" w:rsidP="009D1558"/>
        </w:tc>
        <w:tc>
          <w:tcPr>
            <w:tcW w:w="0" w:type="auto"/>
          </w:tcPr>
          <w:p w14:paraId="3BF42DC5" w14:textId="77777777" w:rsidR="00564ADD" w:rsidRDefault="00564ADD" w:rsidP="009D1558">
            <w:pPr>
              <w:keepNext/>
              <w:spacing w:before="100" w:after="0"/>
              <w:rPr>
                <w:b/>
              </w:rPr>
            </w:pPr>
            <w:r>
              <w:rPr>
                <w:b/>
              </w:rPr>
              <w:t>Funding</w:t>
            </w:r>
          </w:p>
        </w:tc>
        <w:tc>
          <w:tcPr>
            <w:tcW w:w="0" w:type="auto"/>
          </w:tcPr>
          <w:p w14:paraId="218CB808" w14:textId="77777777" w:rsidR="00564ADD" w:rsidRDefault="00564ADD" w:rsidP="009D1558">
            <w:pPr>
              <w:spacing w:before="100" w:after="0"/>
            </w:pPr>
          </w:p>
        </w:tc>
      </w:tr>
      <w:tr w:rsidR="00564ADD" w14:paraId="18BFBEC2" w14:textId="77777777" w:rsidTr="009D1558">
        <w:trPr>
          <w:cantSplit/>
        </w:trPr>
        <w:tc>
          <w:tcPr>
            <w:tcW w:w="0" w:type="auto"/>
            <w:vMerge/>
          </w:tcPr>
          <w:p w14:paraId="07AE0D15" w14:textId="77777777" w:rsidR="00564ADD" w:rsidRDefault="00564ADD" w:rsidP="009D1558"/>
        </w:tc>
        <w:tc>
          <w:tcPr>
            <w:tcW w:w="0" w:type="auto"/>
          </w:tcPr>
          <w:p w14:paraId="3B38849E" w14:textId="77777777" w:rsidR="00564ADD" w:rsidRDefault="00564ADD" w:rsidP="009D1558">
            <w:pPr>
              <w:keepNext/>
              <w:spacing w:before="100" w:after="0"/>
              <w:rPr>
                <w:b/>
              </w:rPr>
            </w:pPr>
            <w:r>
              <w:rPr>
                <w:b/>
              </w:rPr>
              <w:t>Description</w:t>
            </w:r>
          </w:p>
        </w:tc>
        <w:tc>
          <w:tcPr>
            <w:tcW w:w="0" w:type="auto"/>
          </w:tcPr>
          <w:p w14:paraId="02447EC3" w14:textId="77777777" w:rsidR="00564ADD" w:rsidRDefault="00564ADD" w:rsidP="009D1558">
            <w:pPr>
              <w:spacing w:before="100" w:after="0"/>
            </w:pPr>
            <w:r>
              <w:rPr>
                <w:color w:val="000000"/>
              </w:rPr>
              <w:t xml:space="preserve"> </w:t>
            </w:r>
          </w:p>
        </w:tc>
      </w:tr>
      <w:tr w:rsidR="00564ADD" w14:paraId="0AF01D98" w14:textId="77777777" w:rsidTr="009D1558">
        <w:trPr>
          <w:cantSplit/>
        </w:trPr>
        <w:tc>
          <w:tcPr>
            <w:tcW w:w="0" w:type="auto"/>
            <w:vMerge/>
          </w:tcPr>
          <w:p w14:paraId="0F05C9A3" w14:textId="77777777" w:rsidR="00564ADD" w:rsidRDefault="00564ADD" w:rsidP="009D1558"/>
        </w:tc>
        <w:tc>
          <w:tcPr>
            <w:tcW w:w="0" w:type="auto"/>
          </w:tcPr>
          <w:p w14:paraId="6C151C52" w14:textId="77777777" w:rsidR="00564ADD" w:rsidRDefault="00564ADD" w:rsidP="009D1558">
            <w:pPr>
              <w:keepNext/>
              <w:spacing w:before="100" w:after="0"/>
              <w:rPr>
                <w:b/>
              </w:rPr>
            </w:pPr>
            <w:r>
              <w:rPr>
                <w:b/>
              </w:rPr>
              <w:t>Target Date</w:t>
            </w:r>
          </w:p>
        </w:tc>
        <w:tc>
          <w:tcPr>
            <w:tcW w:w="0" w:type="auto"/>
          </w:tcPr>
          <w:p w14:paraId="00EC7924" w14:textId="77777777" w:rsidR="00564ADD" w:rsidRDefault="00564ADD" w:rsidP="009D1558">
            <w:pPr>
              <w:spacing w:before="100" w:after="0"/>
            </w:pPr>
            <w:r>
              <w:rPr>
                <w:color w:val="000000"/>
              </w:rPr>
              <w:t xml:space="preserve"> </w:t>
            </w:r>
          </w:p>
        </w:tc>
      </w:tr>
      <w:tr w:rsidR="00564ADD" w14:paraId="163178BF" w14:textId="77777777" w:rsidTr="009D1558">
        <w:trPr>
          <w:cantSplit/>
        </w:trPr>
        <w:tc>
          <w:tcPr>
            <w:tcW w:w="0" w:type="auto"/>
            <w:vMerge/>
          </w:tcPr>
          <w:p w14:paraId="38ABF696" w14:textId="77777777" w:rsidR="00564ADD" w:rsidRDefault="00564ADD" w:rsidP="009D1558"/>
        </w:tc>
        <w:tc>
          <w:tcPr>
            <w:tcW w:w="0" w:type="auto"/>
          </w:tcPr>
          <w:p w14:paraId="381F9778"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2F02B6F4" w14:textId="77777777" w:rsidR="00564ADD" w:rsidRDefault="00564ADD" w:rsidP="009D1558">
            <w:pPr>
              <w:spacing w:before="100" w:after="0"/>
            </w:pPr>
            <w:r>
              <w:rPr>
                <w:color w:val="000000"/>
              </w:rPr>
              <w:t xml:space="preserve"> </w:t>
            </w:r>
          </w:p>
        </w:tc>
      </w:tr>
      <w:tr w:rsidR="00564ADD" w14:paraId="119DA3A2" w14:textId="77777777" w:rsidTr="009D1558">
        <w:trPr>
          <w:cantSplit/>
        </w:trPr>
        <w:tc>
          <w:tcPr>
            <w:tcW w:w="0" w:type="auto"/>
            <w:vMerge/>
          </w:tcPr>
          <w:p w14:paraId="02F20385" w14:textId="77777777" w:rsidR="00564ADD" w:rsidRDefault="00564ADD" w:rsidP="009D1558"/>
        </w:tc>
        <w:tc>
          <w:tcPr>
            <w:tcW w:w="0" w:type="auto"/>
          </w:tcPr>
          <w:p w14:paraId="197DA769"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48C336E" w14:textId="77777777" w:rsidR="00564ADD" w:rsidRDefault="00564ADD" w:rsidP="009D1558">
            <w:pPr>
              <w:spacing w:before="100" w:after="0"/>
            </w:pPr>
            <w:r>
              <w:rPr>
                <w:color w:val="000000"/>
              </w:rPr>
              <w:t xml:space="preserve"> </w:t>
            </w:r>
          </w:p>
        </w:tc>
      </w:tr>
      <w:tr w:rsidR="00564ADD" w14:paraId="7CCA2684" w14:textId="77777777" w:rsidTr="009D1558">
        <w:trPr>
          <w:cantSplit/>
        </w:trPr>
        <w:tc>
          <w:tcPr>
            <w:tcW w:w="0" w:type="auto"/>
            <w:vMerge/>
          </w:tcPr>
          <w:p w14:paraId="679B38D1" w14:textId="77777777" w:rsidR="00564ADD" w:rsidRDefault="00564ADD" w:rsidP="009D1558"/>
        </w:tc>
        <w:tc>
          <w:tcPr>
            <w:tcW w:w="0" w:type="auto"/>
          </w:tcPr>
          <w:p w14:paraId="48DFA841"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4746A8E5" w14:textId="77777777" w:rsidR="00564ADD" w:rsidRDefault="00564ADD" w:rsidP="009D1558">
            <w:pPr>
              <w:spacing w:before="100" w:after="0"/>
            </w:pPr>
            <w:r>
              <w:rPr>
                <w:color w:val="000000"/>
              </w:rPr>
              <w:t xml:space="preserve"> </w:t>
            </w:r>
          </w:p>
        </w:tc>
      </w:tr>
      <w:tr w:rsidR="00564ADD" w14:paraId="1C4CFB5F" w14:textId="77777777" w:rsidTr="009D1558">
        <w:trPr>
          <w:cantSplit/>
        </w:trPr>
        <w:tc>
          <w:tcPr>
            <w:tcW w:w="0" w:type="auto"/>
            <w:vMerge w:val="restart"/>
          </w:tcPr>
          <w:p w14:paraId="7234812C" w14:textId="77777777" w:rsidR="00564ADD" w:rsidRDefault="00564ADD" w:rsidP="009D1558">
            <w:r>
              <w:rPr>
                <w:b/>
              </w:rPr>
              <w:t>5</w:t>
            </w:r>
          </w:p>
        </w:tc>
        <w:tc>
          <w:tcPr>
            <w:tcW w:w="0" w:type="auto"/>
          </w:tcPr>
          <w:p w14:paraId="634C727D" w14:textId="77777777" w:rsidR="00564ADD" w:rsidRDefault="00564ADD" w:rsidP="009D1558">
            <w:pPr>
              <w:keepNext/>
              <w:spacing w:before="100" w:after="0"/>
              <w:rPr>
                <w:b/>
              </w:rPr>
            </w:pPr>
            <w:r>
              <w:rPr>
                <w:b/>
              </w:rPr>
              <w:t>Project Name</w:t>
            </w:r>
          </w:p>
        </w:tc>
        <w:tc>
          <w:tcPr>
            <w:tcW w:w="0" w:type="auto"/>
          </w:tcPr>
          <w:p w14:paraId="06D108D8" w14:textId="77777777" w:rsidR="00564ADD" w:rsidRDefault="00564ADD" w:rsidP="009D1558">
            <w:pPr>
              <w:spacing w:before="100" w:after="0"/>
            </w:pPr>
          </w:p>
        </w:tc>
      </w:tr>
      <w:tr w:rsidR="00564ADD" w14:paraId="18ECB748" w14:textId="77777777" w:rsidTr="009D1558">
        <w:trPr>
          <w:cantSplit/>
        </w:trPr>
        <w:tc>
          <w:tcPr>
            <w:tcW w:w="0" w:type="auto"/>
            <w:vMerge/>
          </w:tcPr>
          <w:p w14:paraId="50542821" w14:textId="77777777" w:rsidR="00564ADD" w:rsidRDefault="00564ADD" w:rsidP="009D1558"/>
        </w:tc>
        <w:tc>
          <w:tcPr>
            <w:tcW w:w="0" w:type="auto"/>
          </w:tcPr>
          <w:p w14:paraId="479451CE" w14:textId="77777777" w:rsidR="00564ADD" w:rsidRDefault="00564ADD" w:rsidP="009D1558">
            <w:pPr>
              <w:keepNext/>
              <w:spacing w:before="100" w:after="0"/>
              <w:rPr>
                <w:b/>
              </w:rPr>
            </w:pPr>
            <w:r>
              <w:rPr>
                <w:b/>
              </w:rPr>
              <w:t>Target Area</w:t>
            </w:r>
          </w:p>
        </w:tc>
        <w:tc>
          <w:tcPr>
            <w:tcW w:w="0" w:type="auto"/>
          </w:tcPr>
          <w:p w14:paraId="2013212E" w14:textId="77777777" w:rsidR="00564ADD" w:rsidRDefault="00564ADD" w:rsidP="009D1558">
            <w:pPr>
              <w:spacing w:before="100" w:after="0"/>
            </w:pPr>
            <w:r>
              <w:rPr>
                <w:color w:val="000000"/>
              </w:rPr>
              <w:t xml:space="preserve"> </w:t>
            </w:r>
          </w:p>
        </w:tc>
      </w:tr>
      <w:tr w:rsidR="00564ADD" w14:paraId="2F5F33C8" w14:textId="77777777" w:rsidTr="009D1558">
        <w:trPr>
          <w:cantSplit/>
        </w:trPr>
        <w:tc>
          <w:tcPr>
            <w:tcW w:w="0" w:type="auto"/>
            <w:vMerge/>
          </w:tcPr>
          <w:p w14:paraId="4C400944" w14:textId="77777777" w:rsidR="00564ADD" w:rsidRDefault="00564ADD" w:rsidP="009D1558"/>
        </w:tc>
        <w:tc>
          <w:tcPr>
            <w:tcW w:w="0" w:type="auto"/>
          </w:tcPr>
          <w:p w14:paraId="4FB053D0" w14:textId="77777777" w:rsidR="00564ADD" w:rsidRDefault="00564ADD" w:rsidP="009D1558">
            <w:pPr>
              <w:keepNext/>
              <w:spacing w:before="100" w:after="0"/>
              <w:rPr>
                <w:b/>
              </w:rPr>
            </w:pPr>
            <w:r>
              <w:rPr>
                <w:b/>
              </w:rPr>
              <w:t>Goals Supported</w:t>
            </w:r>
          </w:p>
        </w:tc>
        <w:tc>
          <w:tcPr>
            <w:tcW w:w="0" w:type="auto"/>
          </w:tcPr>
          <w:p w14:paraId="3A8C31CC" w14:textId="77777777" w:rsidR="00564ADD" w:rsidRDefault="00564ADD" w:rsidP="009D1558">
            <w:pPr>
              <w:spacing w:before="100" w:after="0"/>
            </w:pPr>
            <w:r>
              <w:rPr>
                <w:color w:val="000000"/>
              </w:rPr>
              <w:t xml:space="preserve"> </w:t>
            </w:r>
          </w:p>
        </w:tc>
      </w:tr>
      <w:tr w:rsidR="00564ADD" w14:paraId="338185A0" w14:textId="77777777" w:rsidTr="009D1558">
        <w:trPr>
          <w:cantSplit/>
        </w:trPr>
        <w:tc>
          <w:tcPr>
            <w:tcW w:w="0" w:type="auto"/>
            <w:vMerge/>
          </w:tcPr>
          <w:p w14:paraId="72523CDF" w14:textId="77777777" w:rsidR="00564ADD" w:rsidRDefault="00564ADD" w:rsidP="009D1558"/>
        </w:tc>
        <w:tc>
          <w:tcPr>
            <w:tcW w:w="0" w:type="auto"/>
          </w:tcPr>
          <w:p w14:paraId="57F62036" w14:textId="77777777" w:rsidR="00564ADD" w:rsidRDefault="00564ADD" w:rsidP="009D1558">
            <w:pPr>
              <w:keepNext/>
              <w:spacing w:before="100" w:after="0"/>
              <w:rPr>
                <w:b/>
              </w:rPr>
            </w:pPr>
            <w:r>
              <w:rPr>
                <w:b/>
              </w:rPr>
              <w:t>Needs Addressed</w:t>
            </w:r>
          </w:p>
        </w:tc>
        <w:tc>
          <w:tcPr>
            <w:tcW w:w="0" w:type="auto"/>
          </w:tcPr>
          <w:p w14:paraId="183E925C" w14:textId="77777777" w:rsidR="00564ADD" w:rsidRDefault="00564ADD" w:rsidP="009D1558">
            <w:pPr>
              <w:spacing w:before="100" w:after="0"/>
            </w:pPr>
          </w:p>
        </w:tc>
      </w:tr>
      <w:tr w:rsidR="00564ADD" w14:paraId="396BAD33" w14:textId="77777777" w:rsidTr="009D1558">
        <w:trPr>
          <w:cantSplit/>
        </w:trPr>
        <w:tc>
          <w:tcPr>
            <w:tcW w:w="0" w:type="auto"/>
            <w:vMerge/>
          </w:tcPr>
          <w:p w14:paraId="0AF0196E" w14:textId="77777777" w:rsidR="00564ADD" w:rsidRDefault="00564ADD" w:rsidP="009D1558"/>
        </w:tc>
        <w:tc>
          <w:tcPr>
            <w:tcW w:w="0" w:type="auto"/>
          </w:tcPr>
          <w:p w14:paraId="380C3D52" w14:textId="77777777" w:rsidR="00564ADD" w:rsidRDefault="00564ADD" w:rsidP="009D1558">
            <w:pPr>
              <w:keepNext/>
              <w:spacing w:before="100" w:after="0"/>
              <w:rPr>
                <w:b/>
              </w:rPr>
            </w:pPr>
            <w:r>
              <w:rPr>
                <w:b/>
              </w:rPr>
              <w:t>Funding</w:t>
            </w:r>
          </w:p>
        </w:tc>
        <w:tc>
          <w:tcPr>
            <w:tcW w:w="0" w:type="auto"/>
          </w:tcPr>
          <w:p w14:paraId="48993AA5" w14:textId="77777777" w:rsidR="00564ADD" w:rsidRDefault="00564ADD" w:rsidP="009D1558">
            <w:pPr>
              <w:spacing w:before="100" w:after="0"/>
            </w:pPr>
          </w:p>
        </w:tc>
      </w:tr>
      <w:tr w:rsidR="00564ADD" w14:paraId="3E1D6883" w14:textId="77777777" w:rsidTr="009D1558">
        <w:trPr>
          <w:cantSplit/>
        </w:trPr>
        <w:tc>
          <w:tcPr>
            <w:tcW w:w="0" w:type="auto"/>
            <w:vMerge/>
          </w:tcPr>
          <w:p w14:paraId="72E04E86" w14:textId="77777777" w:rsidR="00564ADD" w:rsidRDefault="00564ADD" w:rsidP="009D1558"/>
        </w:tc>
        <w:tc>
          <w:tcPr>
            <w:tcW w:w="0" w:type="auto"/>
          </w:tcPr>
          <w:p w14:paraId="22315215" w14:textId="77777777" w:rsidR="00564ADD" w:rsidRDefault="00564ADD" w:rsidP="009D1558">
            <w:pPr>
              <w:keepNext/>
              <w:spacing w:before="100" w:after="0"/>
              <w:rPr>
                <w:b/>
              </w:rPr>
            </w:pPr>
            <w:r>
              <w:rPr>
                <w:b/>
              </w:rPr>
              <w:t>Description</w:t>
            </w:r>
          </w:p>
        </w:tc>
        <w:tc>
          <w:tcPr>
            <w:tcW w:w="0" w:type="auto"/>
          </w:tcPr>
          <w:p w14:paraId="5926BC94" w14:textId="77777777" w:rsidR="00564ADD" w:rsidRDefault="00564ADD" w:rsidP="009D1558">
            <w:pPr>
              <w:spacing w:before="100" w:after="0"/>
            </w:pPr>
            <w:r>
              <w:rPr>
                <w:color w:val="000000"/>
              </w:rPr>
              <w:t xml:space="preserve"> </w:t>
            </w:r>
          </w:p>
        </w:tc>
      </w:tr>
      <w:tr w:rsidR="00564ADD" w14:paraId="2513A531" w14:textId="77777777" w:rsidTr="009D1558">
        <w:trPr>
          <w:cantSplit/>
        </w:trPr>
        <w:tc>
          <w:tcPr>
            <w:tcW w:w="0" w:type="auto"/>
            <w:vMerge/>
          </w:tcPr>
          <w:p w14:paraId="093F2EE7" w14:textId="77777777" w:rsidR="00564ADD" w:rsidRDefault="00564ADD" w:rsidP="009D1558"/>
        </w:tc>
        <w:tc>
          <w:tcPr>
            <w:tcW w:w="0" w:type="auto"/>
          </w:tcPr>
          <w:p w14:paraId="57F70811" w14:textId="77777777" w:rsidR="00564ADD" w:rsidRDefault="00564ADD" w:rsidP="009D1558">
            <w:pPr>
              <w:keepNext/>
              <w:spacing w:before="100" w:after="0"/>
              <w:rPr>
                <w:b/>
              </w:rPr>
            </w:pPr>
            <w:r>
              <w:rPr>
                <w:b/>
              </w:rPr>
              <w:t>Target Date</w:t>
            </w:r>
          </w:p>
        </w:tc>
        <w:tc>
          <w:tcPr>
            <w:tcW w:w="0" w:type="auto"/>
          </w:tcPr>
          <w:p w14:paraId="3AFD5E33" w14:textId="77777777" w:rsidR="00564ADD" w:rsidRDefault="00564ADD" w:rsidP="009D1558">
            <w:pPr>
              <w:spacing w:before="100" w:after="0"/>
            </w:pPr>
            <w:r>
              <w:rPr>
                <w:color w:val="000000"/>
              </w:rPr>
              <w:t xml:space="preserve"> </w:t>
            </w:r>
          </w:p>
        </w:tc>
      </w:tr>
      <w:tr w:rsidR="00564ADD" w14:paraId="20289280" w14:textId="77777777" w:rsidTr="009D1558">
        <w:trPr>
          <w:cantSplit/>
        </w:trPr>
        <w:tc>
          <w:tcPr>
            <w:tcW w:w="0" w:type="auto"/>
            <w:vMerge/>
          </w:tcPr>
          <w:p w14:paraId="7DB51A65" w14:textId="77777777" w:rsidR="00564ADD" w:rsidRDefault="00564ADD" w:rsidP="009D1558"/>
        </w:tc>
        <w:tc>
          <w:tcPr>
            <w:tcW w:w="0" w:type="auto"/>
          </w:tcPr>
          <w:p w14:paraId="27C28D7A"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DBA53AA" w14:textId="77777777" w:rsidR="00564ADD" w:rsidRDefault="00564ADD" w:rsidP="009D1558">
            <w:pPr>
              <w:spacing w:before="100" w:after="0"/>
            </w:pPr>
            <w:r>
              <w:rPr>
                <w:color w:val="000000"/>
              </w:rPr>
              <w:t xml:space="preserve"> </w:t>
            </w:r>
          </w:p>
        </w:tc>
      </w:tr>
      <w:tr w:rsidR="00564ADD" w14:paraId="6B58F3B9" w14:textId="77777777" w:rsidTr="009D1558">
        <w:trPr>
          <w:cantSplit/>
        </w:trPr>
        <w:tc>
          <w:tcPr>
            <w:tcW w:w="0" w:type="auto"/>
            <w:vMerge/>
          </w:tcPr>
          <w:p w14:paraId="4F890826" w14:textId="77777777" w:rsidR="00564ADD" w:rsidRDefault="00564ADD" w:rsidP="009D1558"/>
        </w:tc>
        <w:tc>
          <w:tcPr>
            <w:tcW w:w="0" w:type="auto"/>
          </w:tcPr>
          <w:p w14:paraId="570A76DD"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77EED0D" w14:textId="77777777" w:rsidR="00564ADD" w:rsidRDefault="00564ADD" w:rsidP="009D1558">
            <w:pPr>
              <w:spacing w:before="100" w:after="0"/>
            </w:pPr>
            <w:r>
              <w:rPr>
                <w:color w:val="000000"/>
              </w:rPr>
              <w:t xml:space="preserve"> </w:t>
            </w:r>
          </w:p>
        </w:tc>
      </w:tr>
      <w:tr w:rsidR="00564ADD" w14:paraId="554A13E4" w14:textId="77777777" w:rsidTr="009D1558">
        <w:trPr>
          <w:cantSplit/>
        </w:trPr>
        <w:tc>
          <w:tcPr>
            <w:tcW w:w="0" w:type="auto"/>
            <w:vMerge/>
          </w:tcPr>
          <w:p w14:paraId="4E8ADE8B" w14:textId="77777777" w:rsidR="00564ADD" w:rsidRDefault="00564ADD" w:rsidP="009D1558"/>
        </w:tc>
        <w:tc>
          <w:tcPr>
            <w:tcW w:w="0" w:type="auto"/>
          </w:tcPr>
          <w:p w14:paraId="40884859"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474C4D9B" w14:textId="77777777" w:rsidR="00564ADD" w:rsidRDefault="00564ADD" w:rsidP="009D1558">
            <w:pPr>
              <w:spacing w:before="100" w:after="0"/>
            </w:pPr>
            <w:r>
              <w:rPr>
                <w:color w:val="000000"/>
              </w:rPr>
              <w:t xml:space="preserve"> </w:t>
            </w:r>
          </w:p>
        </w:tc>
      </w:tr>
      <w:tr w:rsidR="00564ADD" w14:paraId="295F0BEF" w14:textId="77777777" w:rsidTr="009D1558">
        <w:trPr>
          <w:cantSplit/>
        </w:trPr>
        <w:tc>
          <w:tcPr>
            <w:tcW w:w="0" w:type="auto"/>
            <w:vMerge w:val="restart"/>
          </w:tcPr>
          <w:p w14:paraId="15E9F0D7" w14:textId="77777777" w:rsidR="00564ADD" w:rsidRDefault="00564ADD" w:rsidP="009D1558">
            <w:r>
              <w:rPr>
                <w:b/>
              </w:rPr>
              <w:t>6</w:t>
            </w:r>
          </w:p>
        </w:tc>
        <w:tc>
          <w:tcPr>
            <w:tcW w:w="0" w:type="auto"/>
          </w:tcPr>
          <w:p w14:paraId="4AC927DE" w14:textId="77777777" w:rsidR="00564ADD" w:rsidRDefault="00564ADD" w:rsidP="009D1558">
            <w:pPr>
              <w:keepNext/>
              <w:spacing w:before="100" w:after="0"/>
              <w:rPr>
                <w:b/>
              </w:rPr>
            </w:pPr>
            <w:r>
              <w:rPr>
                <w:b/>
              </w:rPr>
              <w:t>Project Name</w:t>
            </w:r>
          </w:p>
        </w:tc>
        <w:tc>
          <w:tcPr>
            <w:tcW w:w="0" w:type="auto"/>
          </w:tcPr>
          <w:p w14:paraId="220B5F98" w14:textId="77777777" w:rsidR="00564ADD" w:rsidRDefault="00564ADD" w:rsidP="009D1558">
            <w:pPr>
              <w:spacing w:before="100" w:after="0"/>
            </w:pPr>
          </w:p>
        </w:tc>
      </w:tr>
      <w:tr w:rsidR="00564ADD" w14:paraId="4993E321" w14:textId="77777777" w:rsidTr="009D1558">
        <w:trPr>
          <w:cantSplit/>
        </w:trPr>
        <w:tc>
          <w:tcPr>
            <w:tcW w:w="0" w:type="auto"/>
            <w:vMerge/>
          </w:tcPr>
          <w:p w14:paraId="3E598EC4" w14:textId="77777777" w:rsidR="00564ADD" w:rsidRDefault="00564ADD" w:rsidP="009D1558"/>
        </w:tc>
        <w:tc>
          <w:tcPr>
            <w:tcW w:w="0" w:type="auto"/>
          </w:tcPr>
          <w:p w14:paraId="0CC6BEDC" w14:textId="77777777" w:rsidR="00564ADD" w:rsidRDefault="00564ADD" w:rsidP="009D1558">
            <w:pPr>
              <w:keepNext/>
              <w:spacing w:before="100" w:after="0"/>
              <w:rPr>
                <w:b/>
              </w:rPr>
            </w:pPr>
            <w:r>
              <w:rPr>
                <w:b/>
              </w:rPr>
              <w:t>Target Area</w:t>
            </w:r>
          </w:p>
        </w:tc>
        <w:tc>
          <w:tcPr>
            <w:tcW w:w="0" w:type="auto"/>
          </w:tcPr>
          <w:p w14:paraId="3F94C69A" w14:textId="77777777" w:rsidR="00564ADD" w:rsidRDefault="00564ADD" w:rsidP="009D1558">
            <w:pPr>
              <w:spacing w:before="100" w:after="0"/>
            </w:pPr>
            <w:r>
              <w:rPr>
                <w:color w:val="000000"/>
              </w:rPr>
              <w:t xml:space="preserve"> </w:t>
            </w:r>
          </w:p>
        </w:tc>
      </w:tr>
      <w:tr w:rsidR="00564ADD" w14:paraId="6EAB0EF4" w14:textId="77777777" w:rsidTr="009D1558">
        <w:trPr>
          <w:cantSplit/>
        </w:trPr>
        <w:tc>
          <w:tcPr>
            <w:tcW w:w="0" w:type="auto"/>
            <w:vMerge/>
          </w:tcPr>
          <w:p w14:paraId="497D3304" w14:textId="77777777" w:rsidR="00564ADD" w:rsidRDefault="00564ADD" w:rsidP="009D1558"/>
        </w:tc>
        <w:tc>
          <w:tcPr>
            <w:tcW w:w="0" w:type="auto"/>
          </w:tcPr>
          <w:p w14:paraId="631B0BF9" w14:textId="77777777" w:rsidR="00564ADD" w:rsidRDefault="00564ADD" w:rsidP="009D1558">
            <w:pPr>
              <w:keepNext/>
              <w:spacing w:before="100" w:after="0"/>
              <w:rPr>
                <w:b/>
              </w:rPr>
            </w:pPr>
            <w:r>
              <w:rPr>
                <w:b/>
              </w:rPr>
              <w:t>Goals Supported</w:t>
            </w:r>
          </w:p>
        </w:tc>
        <w:tc>
          <w:tcPr>
            <w:tcW w:w="0" w:type="auto"/>
          </w:tcPr>
          <w:p w14:paraId="1FA74266" w14:textId="77777777" w:rsidR="00564ADD" w:rsidRDefault="00564ADD" w:rsidP="009D1558">
            <w:pPr>
              <w:spacing w:before="100" w:after="0"/>
            </w:pPr>
          </w:p>
        </w:tc>
      </w:tr>
      <w:tr w:rsidR="00564ADD" w14:paraId="08EA8E2D" w14:textId="77777777" w:rsidTr="009D1558">
        <w:trPr>
          <w:cantSplit/>
        </w:trPr>
        <w:tc>
          <w:tcPr>
            <w:tcW w:w="0" w:type="auto"/>
            <w:vMerge/>
          </w:tcPr>
          <w:p w14:paraId="3369A6EB" w14:textId="77777777" w:rsidR="00564ADD" w:rsidRDefault="00564ADD" w:rsidP="009D1558"/>
        </w:tc>
        <w:tc>
          <w:tcPr>
            <w:tcW w:w="0" w:type="auto"/>
          </w:tcPr>
          <w:p w14:paraId="77355E02" w14:textId="77777777" w:rsidR="00564ADD" w:rsidRDefault="00564ADD" w:rsidP="009D1558">
            <w:pPr>
              <w:keepNext/>
              <w:spacing w:before="100" w:after="0"/>
              <w:rPr>
                <w:b/>
              </w:rPr>
            </w:pPr>
            <w:r>
              <w:rPr>
                <w:b/>
              </w:rPr>
              <w:t>Needs Addressed</w:t>
            </w:r>
          </w:p>
        </w:tc>
        <w:tc>
          <w:tcPr>
            <w:tcW w:w="0" w:type="auto"/>
          </w:tcPr>
          <w:p w14:paraId="55646E5B" w14:textId="77777777" w:rsidR="00564ADD" w:rsidRDefault="00564ADD" w:rsidP="009D1558">
            <w:pPr>
              <w:spacing w:before="100" w:after="0"/>
            </w:pPr>
          </w:p>
        </w:tc>
      </w:tr>
      <w:tr w:rsidR="00564ADD" w14:paraId="0868E0CA" w14:textId="77777777" w:rsidTr="009D1558">
        <w:trPr>
          <w:cantSplit/>
        </w:trPr>
        <w:tc>
          <w:tcPr>
            <w:tcW w:w="0" w:type="auto"/>
            <w:vMerge/>
          </w:tcPr>
          <w:p w14:paraId="295D0427" w14:textId="77777777" w:rsidR="00564ADD" w:rsidRDefault="00564ADD" w:rsidP="009D1558"/>
        </w:tc>
        <w:tc>
          <w:tcPr>
            <w:tcW w:w="0" w:type="auto"/>
          </w:tcPr>
          <w:p w14:paraId="707521A9" w14:textId="77777777" w:rsidR="00564ADD" w:rsidRDefault="00564ADD" w:rsidP="009D1558">
            <w:pPr>
              <w:keepNext/>
              <w:spacing w:before="100" w:after="0"/>
              <w:rPr>
                <w:b/>
              </w:rPr>
            </w:pPr>
            <w:r>
              <w:rPr>
                <w:b/>
              </w:rPr>
              <w:t>Funding</w:t>
            </w:r>
          </w:p>
        </w:tc>
        <w:tc>
          <w:tcPr>
            <w:tcW w:w="0" w:type="auto"/>
          </w:tcPr>
          <w:p w14:paraId="589933E6" w14:textId="77777777" w:rsidR="00564ADD" w:rsidRDefault="00564ADD" w:rsidP="009D1558">
            <w:pPr>
              <w:spacing w:before="100" w:after="0"/>
            </w:pPr>
          </w:p>
        </w:tc>
      </w:tr>
      <w:tr w:rsidR="00564ADD" w14:paraId="4A7BD57C" w14:textId="77777777" w:rsidTr="009D1558">
        <w:trPr>
          <w:cantSplit/>
        </w:trPr>
        <w:tc>
          <w:tcPr>
            <w:tcW w:w="0" w:type="auto"/>
            <w:vMerge/>
          </w:tcPr>
          <w:p w14:paraId="3A845DE1" w14:textId="77777777" w:rsidR="00564ADD" w:rsidRDefault="00564ADD" w:rsidP="009D1558"/>
        </w:tc>
        <w:tc>
          <w:tcPr>
            <w:tcW w:w="0" w:type="auto"/>
          </w:tcPr>
          <w:p w14:paraId="031258EF" w14:textId="77777777" w:rsidR="00564ADD" w:rsidRDefault="00564ADD" w:rsidP="009D1558">
            <w:pPr>
              <w:keepNext/>
              <w:spacing w:before="100" w:after="0"/>
              <w:rPr>
                <w:b/>
              </w:rPr>
            </w:pPr>
            <w:r>
              <w:rPr>
                <w:b/>
              </w:rPr>
              <w:t>Description</w:t>
            </w:r>
          </w:p>
        </w:tc>
        <w:tc>
          <w:tcPr>
            <w:tcW w:w="0" w:type="auto"/>
          </w:tcPr>
          <w:p w14:paraId="71EA7448" w14:textId="77777777" w:rsidR="00564ADD" w:rsidRDefault="00564ADD" w:rsidP="009D1558">
            <w:pPr>
              <w:spacing w:before="100" w:after="0"/>
            </w:pPr>
            <w:r>
              <w:rPr>
                <w:color w:val="000000"/>
              </w:rPr>
              <w:t xml:space="preserve"> </w:t>
            </w:r>
          </w:p>
        </w:tc>
      </w:tr>
      <w:tr w:rsidR="00564ADD" w14:paraId="41D5CBA0" w14:textId="77777777" w:rsidTr="009D1558">
        <w:trPr>
          <w:cantSplit/>
        </w:trPr>
        <w:tc>
          <w:tcPr>
            <w:tcW w:w="0" w:type="auto"/>
            <w:vMerge/>
          </w:tcPr>
          <w:p w14:paraId="0BB9D309" w14:textId="77777777" w:rsidR="00564ADD" w:rsidRDefault="00564ADD" w:rsidP="009D1558"/>
        </w:tc>
        <w:tc>
          <w:tcPr>
            <w:tcW w:w="0" w:type="auto"/>
          </w:tcPr>
          <w:p w14:paraId="72E1C3B4" w14:textId="77777777" w:rsidR="00564ADD" w:rsidRDefault="00564ADD" w:rsidP="009D1558">
            <w:pPr>
              <w:keepNext/>
              <w:spacing w:before="100" w:after="0"/>
              <w:rPr>
                <w:b/>
              </w:rPr>
            </w:pPr>
            <w:r>
              <w:rPr>
                <w:b/>
              </w:rPr>
              <w:t>Target Date</w:t>
            </w:r>
          </w:p>
        </w:tc>
        <w:tc>
          <w:tcPr>
            <w:tcW w:w="0" w:type="auto"/>
          </w:tcPr>
          <w:p w14:paraId="5A1DBC83" w14:textId="77777777" w:rsidR="00564ADD" w:rsidRDefault="00564ADD" w:rsidP="009D1558">
            <w:pPr>
              <w:spacing w:before="100" w:after="0"/>
            </w:pPr>
            <w:r>
              <w:rPr>
                <w:color w:val="000000"/>
              </w:rPr>
              <w:t xml:space="preserve"> </w:t>
            </w:r>
          </w:p>
        </w:tc>
      </w:tr>
      <w:tr w:rsidR="00564ADD" w14:paraId="4B087E2A" w14:textId="77777777" w:rsidTr="009D1558">
        <w:trPr>
          <w:cantSplit/>
        </w:trPr>
        <w:tc>
          <w:tcPr>
            <w:tcW w:w="0" w:type="auto"/>
            <w:vMerge/>
          </w:tcPr>
          <w:p w14:paraId="41F19164" w14:textId="77777777" w:rsidR="00564ADD" w:rsidRDefault="00564ADD" w:rsidP="009D1558"/>
        </w:tc>
        <w:tc>
          <w:tcPr>
            <w:tcW w:w="0" w:type="auto"/>
          </w:tcPr>
          <w:p w14:paraId="6B63821E"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3839C1A" w14:textId="77777777" w:rsidR="00564ADD" w:rsidRDefault="00564ADD" w:rsidP="009D1558">
            <w:pPr>
              <w:spacing w:before="100" w:after="0"/>
            </w:pPr>
            <w:r>
              <w:rPr>
                <w:color w:val="000000"/>
              </w:rPr>
              <w:t xml:space="preserve"> </w:t>
            </w:r>
          </w:p>
        </w:tc>
      </w:tr>
      <w:tr w:rsidR="00564ADD" w14:paraId="31524549" w14:textId="77777777" w:rsidTr="009D1558">
        <w:trPr>
          <w:cantSplit/>
        </w:trPr>
        <w:tc>
          <w:tcPr>
            <w:tcW w:w="0" w:type="auto"/>
            <w:vMerge/>
          </w:tcPr>
          <w:p w14:paraId="1FDD009B" w14:textId="77777777" w:rsidR="00564ADD" w:rsidRDefault="00564ADD" w:rsidP="009D1558"/>
        </w:tc>
        <w:tc>
          <w:tcPr>
            <w:tcW w:w="0" w:type="auto"/>
          </w:tcPr>
          <w:p w14:paraId="7C6CEAA2"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9724F1F" w14:textId="77777777" w:rsidR="00564ADD" w:rsidRDefault="00564ADD" w:rsidP="009D1558">
            <w:pPr>
              <w:spacing w:before="100" w:after="0"/>
            </w:pPr>
            <w:r>
              <w:rPr>
                <w:color w:val="000000"/>
              </w:rPr>
              <w:t xml:space="preserve"> </w:t>
            </w:r>
          </w:p>
        </w:tc>
      </w:tr>
      <w:tr w:rsidR="00564ADD" w14:paraId="5AFB5A97" w14:textId="77777777" w:rsidTr="009D1558">
        <w:trPr>
          <w:cantSplit/>
        </w:trPr>
        <w:tc>
          <w:tcPr>
            <w:tcW w:w="0" w:type="auto"/>
            <w:vMerge/>
          </w:tcPr>
          <w:p w14:paraId="3C38C016" w14:textId="77777777" w:rsidR="00564ADD" w:rsidRDefault="00564ADD" w:rsidP="009D1558"/>
        </w:tc>
        <w:tc>
          <w:tcPr>
            <w:tcW w:w="0" w:type="auto"/>
          </w:tcPr>
          <w:p w14:paraId="682DD92B"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41F123E8" w14:textId="77777777" w:rsidR="00564ADD" w:rsidRDefault="00564ADD" w:rsidP="009D1558">
            <w:pPr>
              <w:spacing w:before="100" w:after="0"/>
            </w:pPr>
            <w:r>
              <w:rPr>
                <w:color w:val="000000"/>
              </w:rPr>
              <w:t xml:space="preserve"> </w:t>
            </w:r>
          </w:p>
        </w:tc>
      </w:tr>
      <w:tr w:rsidR="00564ADD" w14:paraId="06076FB0" w14:textId="77777777" w:rsidTr="009D1558">
        <w:trPr>
          <w:cantSplit/>
        </w:trPr>
        <w:tc>
          <w:tcPr>
            <w:tcW w:w="0" w:type="auto"/>
            <w:vMerge w:val="restart"/>
          </w:tcPr>
          <w:p w14:paraId="77CF2E7D" w14:textId="77777777" w:rsidR="00564ADD" w:rsidRDefault="00564ADD" w:rsidP="009D1558">
            <w:r>
              <w:rPr>
                <w:b/>
              </w:rPr>
              <w:t>7</w:t>
            </w:r>
          </w:p>
        </w:tc>
        <w:tc>
          <w:tcPr>
            <w:tcW w:w="0" w:type="auto"/>
          </w:tcPr>
          <w:p w14:paraId="6237773B" w14:textId="77777777" w:rsidR="00564ADD" w:rsidRDefault="00564ADD" w:rsidP="009D1558">
            <w:pPr>
              <w:keepNext/>
              <w:spacing w:before="100" w:after="0"/>
              <w:rPr>
                <w:b/>
              </w:rPr>
            </w:pPr>
            <w:r>
              <w:rPr>
                <w:b/>
              </w:rPr>
              <w:t>Project Name</w:t>
            </w:r>
          </w:p>
        </w:tc>
        <w:tc>
          <w:tcPr>
            <w:tcW w:w="0" w:type="auto"/>
          </w:tcPr>
          <w:p w14:paraId="04E5FC29" w14:textId="77777777" w:rsidR="00564ADD" w:rsidRDefault="00564ADD" w:rsidP="009D1558">
            <w:pPr>
              <w:spacing w:before="100" w:after="0"/>
            </w:pPr>
          </w:p>
        </w:tc>
      </w:tr>
      <w:tr w:rsidR="00564ADD" w14:paraId="11FE81FA" w14:textId="77777777" w:rsidTr="009D1558">
        <w:trPr>
          <w:cantSplit/>
        </w:trPr>
        <w:tc>
          <w:tcPr>
            <w:tcW w:w="0" w:type="auto"/>
            <w:vMerge/>
          </w:tcPr>
          <w:p w14:paraId="66546EA7" w14:textId="77777777" w:rsidR="00564ADD" w:rsidRDefault="00564ADD" w:rsidP="009D1558"/>
        </w:tc>
        <w:tc>
          <w:tcPr>
            <w:tcW w:w="0" w:type="auto"/>
          </w:tcPr>
          <w:p w14:paraId="5025F3F4" w14:textId="77777777" w:rsidR="00564ADD" w:rsidRDefault="00564ADD" w:rsidP="009D1558">
            <w:pPr>
              <w:keepNext/>
              <w:spacing w:before="100" w:after="0"/>
              <w:rPr>
                <w:b/>
              </w:rPr>
            </w:pPr>
            <w:r>
              <w:rPr>
                <w:b/>
              </w:rPr>
              <w:t>Target Area</w:t>
            </w:r>
          </w:p>
        </w:tc>
        <w:tc>
          <w:tcPr>
            <w:tcW w:w="0" w:type="auto"/>
          </w:tcPr>
          <w:p w14:paraId="5B0CB812" w14:textId="77777777" w:rsidR="00564ADD" w:rsidRDefault="00564ADD" w:rsidP="009D1558">
            <w:pPr>
              <w:spacing w:before="100" w:after="0"/>
            </w:pPr>
            <w:r>
              <w:rPr>
                <w:color w:val="000000"/>
              </w:rPr>
              <w:t xml:space="preserve"> </w:t>
            </w:r>
          </w:p>
        </w:tc>
      </w:tr>
      <w:tr w:rsidR="00564ADD" w14:paraId="3A3397A5" w14:textId="77777777" w:rsidTr="009D1558">
        <w:trPr>
          <w:cantSplit/>
        </w:trPr>
        <w:tc>
          <w:tcPr>
            <w:tcW w:w="0" w:type="auto"/>
            <w:vMerge/>
          </w:tcPr>
          <w:p w14:paraId="6BCD1BD3" w14:textId="77777777" w:rsidR="00564ADD" w:rsidRDefault="00564ADD" w:rsidP="009D1558"/>
        </w:tc>
        <w:tc>
          <w:tcPr>
            <w:tcW w:w="0" w:type="auto"/>
          </w:tcPr>
          <w:p w14:paraId="36B15CD9" w14:textId="77777777" w:rsidR="00564ADD" w:rsidRDefault="00564ADD" w:rsidP="009D1558">
            <w:pPr>
              <w:keepNext/>
              <w:spacing w:before="100" w:after="0"/>
              <w:rPr>
                <w:b/>
              </w:rPr>
            </w:pPr>
            <w:r>
              <w:rPr>
                <w:b/>
              </w:rPr>
              <w:t>Goals Supported</w:t>
            </w:r>
          </w:p>
        </w:tc>
        <w:tc>
          <w:tcPr>
            <w:tcW w:w="0" w:type="auto"/>
          </w:tcPr>
          <w:p w14:paraId="4D43B996" w14:textId="77777777" w:rsidR="00564ADD" w:rsidRDefault="00564ADD" w:rsidP="009D1558">
            <w:pPr>
              <w:spacing w:before="100" w:after="0"/>
            </w:pPr>
          </w:p>
        </w:tc>
      </w:tr>
      <w:tr w:rsidR="00564ADD" w14:paraId="1FC94FA6" w14:textId="77777777" w:rsidTr="009D1558">
        <w:trPr>
          <w:cantSplit/>
        </w:trPr>
        <w:tc>
          <w:tcPr>
            <w:tcW w:w="0" w:type="auto"/>
            <w:vMerge/>
          </w:tcPr>
          <w:p w14:paraId="684D5AD9" w14:textId="77777777" w:rsidR="00564ADD" w:rsidRDefault="00564ADD" w:rsidP="009D1558"/>
        </w:tc>
        <w:tc>
          <w:tcPr>
            <w:tcW w:w="0" w:type="auto"/>
          </w:tcPr>
          <w:p w14:paraId="7AA322BA" w14:textId="77777777" w:rsidR="00564ADD" w:rsidRDefault="00564ADD" w:rsidP="009D1558">
            <w:pPr>
              <w:keepNext/>
              <w:spacing w:before="100" w:after="0"/>
              <w:rPr>
                <w:b/>
              </w:rPr>
            </w:pPr>
            <w:r>
              <w:rPr>
                <w:b/>
              </w:rPr>
              <w:t>Needs Addressed</w:t>
            </w:r>
          </w:p>
        </w:tc>
        <w:tc>
          <w:tcPr>
            <w:tcW w:w="0" w:type="auto"/>
          </w:tcPr>
          <w:p w14:paraId="5F7828FD" w14:textId="77777777" w:rsidR="00564ADD" w:rsidRDefault="00564ADD" w:rsidP="009D1558">
            <w:pPr>
              <w:spacing w:before="100" w:after="0"/>
            </w:pPr>
          </w:p>
        </w:tc>
      </w:tr>
      <w:tr w:rsidR="00564ADD" w14:paraId="41D125A3" w14:textId="77777777" w:rsidTr="009D1558">
        <w:trPr>
          <w:cantSplit/>
        </w:trPr>
        <w:tc>
          <w:tcPr>
            <w:tcW w:w="0" w:type="auto"/>
            <w:vMerge/>
          </w:tcPr>
          <w:p w14:paraId="09014FB3" w14:textId="77777777" w:rsidR="00564ADD" w:rsidRDefault="00564ADD" w:rsidP="009D1558"/>
        </w:tc>
        <w:tc>
          <w:tcPr>
            <w:tcW w:w="0" w:type="auto"/>
          </w:tcPr>
          <w:p w14:paraId="125B48F1" w14:textId="77777777" w:rsidR="00564ADD" w:rsidRDefault="00564ADD" w:rsidP="009D1558">
            <w:pPr>
              <w:keepNext/>
              <w:spacing w:before="100" w:after="0"/>
              <w:rPr>
                <w:b/>
              </w:rPr>
            </w:pPr>
            <w:r>
              <w:rPr>
                <w:b/>
              </w:rPr>
              <w:t>Funding</w:t>
            </w:r>
          </w:p>
        </w:tc>
        <w:tc>
          <w:tcPr>
            <w:tcW w:w="0" w:type="auto"/>
          </w:tcPr>
          <w:p w14:paraId="530A00E5" w14:textId="77777777" w:rsidR="00564ADD" w:rsidRDefault="00564ADD" w:rsidP="009D1558">
            <w:pPr>
              <w:spacing w:before="100" w:after="0"/>
            </w:pPr>
          </w:p>
        </w:tc>
      </w:tr>
      <w:tr w:rsidR="00564ADD" w14:paraId="4C2C15A9" w14:textId="77777777" w:rsidTr="009D1558">
        <w:trPr>
          <w:cantSplit/>
        </w:trPr>
        <w:tc>
          <w:tcPr>
            <w:tcW w:w="0" w:type="auto"/>
            <w:vMerge/>
          </w:tcPr>
          <w:p w14:paraId="0F9DACE5" w14:textId="77777777" w:rsidR="00564ADD" w:rsidRDefault="00564ADD" w:rsidP="009D1558"/>
        </w:tc>
        <w:tc>
          <w:tcPr>
            <w:tcW w:w="0" w:type="auto"/>
          </w:tcPr>
          <w:p w14:paraId="2EFE7607" w14:textId="77777777" w:rsidR="00564ADD" w:rsidRDefault="00564ADD" w:rsidP="009D1558">
            <w:pPr>
              <w:keepNext/>
              <w:spacing w:before="100" w:after="0"/>
              <w:rPr>
                <w:b/>
              </w:rPr>
            </w:pPr>
            <w:r>
              <w:rPr>
                <w:b/>
              </w:rPr>
              <w:t>Description</w:t>
            </w:r>
          </w:p>
        </w:tc>
        <w:tc>
          <w:tcPr>
            <w:tcW w:w="0" w:type="auto"/>
          </w:tcPr>
          <w:p w14:paraId="7302C428" w14:textId="77777777" w:rsidR="00564ADD" w:rsidRDefault="00564ADD" w:rsidP="009D1558">
            <w:pPr>
              <w:spacing w:before="100" w:after="0"/>
            </w:pPr>
            <w:r>
              <w:rPr>
                <w:color w:val="000000"/>
              </w:rPr>
              <w:t xml:space="preserve"> </w:t>
            </w:r>
          </w:p>
        </w:tc>
      </w:tr>
      <w:tr w:rsidR="00564ADD" w14:paraId="65D94336" w14:textId="77777777" w:rsidTr="009D1558">
        <w:trPr>
          <w:cantSplit/>
        </w:trPr>
        <w:tc>
          <w:tcPr>
            <w:tcW w:w="0" w:type="auto"/>
            <w:vMerge/>
          </w:tcPr>
          <w:p w14:paraId="5247DA39" w14:textId="77777777" w:rsidR="00564ADD" w:rsidRDefault="00564ADD" w:rsidP="009D1558"/>
        </w:tc>
        <w:tc>
          <w:tcPr>
            <w:tcW w:w="0" w:type="auto"/>
          </w:tcPr>
          <w:p w14:paraId="298B90C7" w14:textId="77777777" w:rsidR="00564ADD" w:rsidRDefault="00564ADD" w:rsidP="009D1558">
            <w:pPr>
              <w:keepNext/>
              <w:spacing w:before="100" w:after="0"/>
              <w:rPr>
                <w:b/>
              </w:rPr>
            </w:pPr>
            <w:r>
              <w:rPr>
                <w:b/>
              </w:rPr>
              <w:t>Target Date</w:t>
            </w:r>
          </w:p>
        </w:tc>
        <w:tc>
          <w:tcPr>
            <w:tcW w:w="0" w:type="auto"/>
          </w:tcPr>
          <w:p w14:paraId="6A3DF47D" w14:textId="77777777" w:rsidR="00564ADD" w:rsidRDefault="00564ADD" w:rsidP="009D1558">
            <w:pPr>
              <w:spacing w:before="100" w:after="0"/>
            </w:pPr>
            <w:r>
              <w:rPr>
                <w:color w:val="000000"/>
              </w:rPr>
              <w:t xml:space="preserve"> </w:t>
            </w:r>
          </w:p>
        </w:tc>
      </w:tr>
      <w:tr w:rsidR="00564ADD" w14:paraId="6644B019" w14:textId="77777777" w:rsidTr="009D1558">
        <w:trPr>
          <w:cantSplit/>
        </w:trPr>
        <w:tc>
          <w:tcPr>
            <w:tcW w:w="0" w:type="auto"/>
            <w:vMerge/>
          </w:tcPr>
          <w:p w14:paraId="5AF46CB8" w14:textId="77777777" w:rsidR="00564ADD" w:rsidRDefault="00564ADD" w:rsidP="009D1558"/>
        </w:tc>
        <w:tc>
          <w:tcPr>
            <w:tcW w:w="0" w:type="auto"/>
          </w:tcPr>
          <w:p w14:paraId="6DFBC394"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E8B04D1" w14:textId="77777777" w:rsidR="00564ADD" w:rsidRDefault="00564ADD" w:rsidP="009D1558">
            <w:pPr>
              <w:spacing w:before="100" w:after="0"/>
            </w:pPr>
            <w:r>
              <w:rPr>
                <w:color w:val="000000"/>
              </w:rPr>
              <w:t xml:space="preserve"> </w:t>
            </w:r>
          </w:p>
        </w:tc>
      </w:tr>
      <w:tr w:rsidR="00564ADD" w14:paraId="1D66505C" w14:textId="77777777" w:rsidTr="009D1558">
        <w:trPr>
          <w:cantSplit/>
        </w:trPr>
        <w:tc>
          <w:tcPr>
            <w:tcW w:w="0" w:type="auto"/>
            <w:vMerge/>
          </w:tcPr>
          <w:p w14:paraId="742497C1" w14:textId="77777777" w:rsidR="00564ADD" w:rsidRDefault="00564ADD" w:rsidP="009D1558"/>
        </w:tc>
        <w:tc>
          <w:tcPr>
            <w:tcW w:w="0" w:type="auto"/>
          </w:tcPr>
          <w:p w14:paraId="3ADEBDCD"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E243086" w14:textId="77777777" w:rsidR="00564ADD" w:rsidRDefault="00564ADD" w:rsidP="009D1558">
            <w:pPr>
              <w:spacing w:before="100" w:after="0"/>
            </w:pPr>
            <w:r>
              <w:rPr>
                <w:color w:val="000000"/>
              </w:rPr>
              <w:t xml:space="preserve"> </w:t>
            </w:r>
          </w:p>
        </w:tc>
      </w:tr>
      <w:tr w:rsidR="00564ADD" w14:paraId="774FFB89" w14:textId="77777777" w:rsidTr="009D1558">
        <w:trPr>
          <w:cantSplit/>
        </w:trPr>
        <w:tc>
          <w:tcPr>
            <w:tcW w:w="0" w:type="auto"/>
            <w:vMerge/>
          </w:tcPr>
          <w:p w14:paraId="79259E6D" w14:textId="77777777" w:rsidR="00564ADD" w:rsidRDefault="00564ADD" w:rsidP="009D1558"/>
        </w:tc>
        <w:tc>
          <w:tcPr>
            <w:tcW w:w="0" w:type="auto"/>
          </w:tcPr>
          <w:p w14:paraId="333BC6F7"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174CC5E1" w14:textId="77777777" w:rsidR="00564ADD" w:rsidRDefault="00564ADD" w:rsidP="009D1558">
            <w:pPr>
              <w:spacing w:before="100" w:after="0"/>
            </w:pPr>
            <w:r>
              <w:rPr>
                <w:color w:val="000000"/>
              </w:rPr>
              <w:t xml:space="preserve"> </w:t>
            </w:r>
          </w:p>
        </w:tc>
      </w:tr>
      <w:tr w:rsidR="00564ADD" w14:paraId="341A302C" w14:textId="77777777" w:rsidTr="009D1558">
        <w:trPr>
          <w:cantSplit/>
        </w:trPr>
        <w:tc>
          <w:tcPr>
            <w:tcW w:w="0" w:type="auto"/>
            <w:vMerge w:val="restart"/>
          </w:tcPr>
          <w:p w14:paraId="5271BCD1" w14:textId="77777777" w:rsidR="00564ADD" w:rsidRDefault="00564ADD" w:rsidP="009D1558">
            <w:r>
              <w:rPr>
                <w:b/>
              </w:rPr>
              <w:t>8</w:t>
            </w:r>
          </w:p>
        </w:tc>
        <w:tc>
          <w:tcPr>
            <w:tcW w:w="0" w:type="auto"/>
          </w:tcPr>
          <w:p w14:paraId="7065761D" w14:textId="77777777" w:rsidR="00564ADD" w:rsidRDefault="00564ADD" w:rsidP="009D1558">
            <w:pPr>
              <w:keepNext/>
              <w:spacing w:before="100" w:after="0"/>
              <w:rPr>
                <w:b/>
              </w:rPr>
            </w:pPr>
            <w:r>
              <w:rPr>
                <w:b/>
              </w:rPr>
              <w:t>Project Name</w:t>
            </w:r>
          </w:p>
        </w:tc>
        <w:tc>
          <w:tcPr>
            <w:tcW w:w="0" w:type="auto"/>
          </w:tcPr>
          <w:p w14:paraId="7F712EB7" w14:textId="77777777" w:rsidR="00564ADD" w:rsidRDefault="00564ADD" w:rsidP="009D1558">
            <w:pPr>
              <w:spacing w:before="100" w:after="0"/>
            </w:pPr>
          </w:p>
        </w:tc>
      </w:tr>
      <w:tr w:rsidR="00564ADD" w14:paraId="6F6886EE" w14:textId="77777777" w:rsidTr="009D1558">
        <w:trPr>
          <w:cantSplit/>
        </w:trPr>
        <w:tc>
          <w:tcPr>
            <w:tcW w:w="0" w:type="auto"/>
            <w:vMerge/>
          </w:tcPr>
          <w:p w14:paraId="6BB6CE0A" w14:textId="77777777" w:rsidR="00564ADD" w:rsidRDefault="00564ADD" w:rsidP="009D1558"/>
        </w:tc>
        <w:tc>
          <w:tcPr>
            <w:tcW w:w="0" w:type="auto"/>
          </w:tcPr>
          <w:p w14:paraId="5F0B4F77" w14:textId="77777777" w:rsidR="00564ADD" w:rsidRDefault="00564ADD" w:rsidP="009D1558">
            <w:pPr>
              <w:keepNext/>
              <w:spacing w:before="100" w:after="0"/>
              <w:rPr>
                <w:b/>
              </w:rPr>
            </w:pPr>
            <w:r>
              <w:rPr>
                <w:b/>
              </w:rPr>
              <w:t>Target Area</w:t>
            </w:r>
          </w:p>
        </w:tc>
        <w:tc>
          <w:tcPr>
            <w:tcW w:w="0" w:type="auto"/>
          </w:tcPr>
          <w:p w14:paraId="4FF46F8E" w14:textId="77777777" w:rsidR="00564ADD" w:rsidRDefault="00564ADD" w:rsidP="009D1558">
            <w:pPr>
              <w:spacing w:before="100" w:after="0"/>
            </w:pPr>
            <w:r>
              <w:rPr>
                <w:color w:val="000000"/>
              </w:rPr>
              <w:t xml:space="preserve"> </w:t>
            </w:r>
          </w:p>
        </w:tc>
      </w:tr>
      <w:tr w:rsidR="00564ADD" w14:paraId="6B096CB7" w14:textId="77777777" w:rsidTr="009D1558">
        <w:trPr>
          <w:cantSplit/>
        </w:trPr>
        <w:tc>
          <w:tcPr>
            <w:tcW w:w="0" w:type="auto"/>
            <w:vMerge/>
          </w:tcPr>
          <w:p w14:paraId="180D4B54" w14:textId="77777777" w:rsidR="00564ADD" w:rsidRDefault="00564ADD" w:rsidP="009D1558"/>
        </w:tc>
        <w:tc>
          <w:tcPr>
            <w:tcW w:w="0" w:type="auto"/>
          </w:tcPr>
          <w:p w14:paraId="510F9A86" w14:textId="77777777" w:rsidR="00564ADD" w:rsidRDefault="00564ADD" w:rsidP="009D1558">
            <w:pPr>
              <w:keepNext/>
              <w:spacing w:before="100" w:after="0"/>
              <w:rPr>
                <w:b/>
              </w:rPr>
            </w:pPr>
            <w:r>
              <w:rPr>
                <w:b/>
              </w:rPr>
              <w:t>Goals Supported</w:t>
            </w:r>
          </w:p>
        </w:tc>
        <w:tc>
          <w:tcPr>
            <w:tcW w:w="0" w:type="auto"/>
          </w:tcPr>
          <w:p w14:paraId="5EA7EBAE" w14:textId="77777777" w:rsidR="00564ADD" w:rsidRDefault="00564ADD" w:rsidP="009D1558">
            <w:pPr>
              <w:spacing w:before="100" w:after="0"/>
            </w:pPr>
            <w:r>
              <w:rPr>
                <w:color w:val="000000"/>
              </w:rPr>
              <w:t xml:space="preserve"> </w:t>
            </w:r>
          </w:p>
        </w:tc>
      </w:tr>
      <w:tr w:rsidR="00564ADD" w14:paraId="272040FA" w14:textId="77777777" w:rsidTr="009D1558">
        <w:trPr>
          <w:cantSplit/>
        </w:trPr>
        <w:tc>
          <w:tcPr>
            <w:tcW w:w="0" w:type="auto"/>
            <w:vMerge/>
          </w:tcPr>
          <w:p w14:paraId="639CA802" w14:textId="77777777" w:rsidR="00564ADD" w:rsidRDefault="00564ADD" w:rsidP="009D1558"/>
        </w:tc>
        <w:tc>
          <w:tcPr>
            <w:tcW w:w="0" w:type="auto"/>
          </w:tcPr>
          <w:p w14:paraId="0BE63490" w14:textId="77777777" w:rsidR="00564ADD" w:rsidRDefault="00564ADD" w:rsidP="009D1558">
            <w:pPr>
              <w:keepNext/>
              <w:spacing w:before="100" w:after="0"/>
              <w:rPr>
                <w:b/>
              </w:rPr>
            </w:pPr>
            <w:r>
              <w:rPr>
                <w:b/>
              </w:rPr>
              <w:t>Needs Addressed</w:t>
            </w:r>
          </w:p>
        </w:tc>
        <w:tc>
          <w:tcPr>
            <w:tcW w:w="0" w:type="auto"/>
          </w:tcPr>
          <w:p w14:paraId="197B3801" w14:textId="77777777" w:rsidR="00564ADD" w:rsidRDefault="00564ADD" w:rsidP="009D1558">
            <w:pPr>
              <w:spacing w:before="100" w:after="0"/>
            </w:pPr>
          </w:p>
        </w:tc>
      </w:tr>
      <w:tr w:rsidR="00564ADD" w14:paraId="0EF470C4" w14:textId="77777777" w:rsidTr="009D1558">
        <w:trPr>
          <w:cantSplit/>
        </w:trPr>
        <w:tc>
          <w:tcPr>
            <w:tcW w:w="0" w:type="auto"/>
            <w:vMerge/>
          </w:tcPr>
          <w:p w14:paraId="1B697CA8" w14:textId="77777777" w:rsidR="00564ADD" w:rsidRDefault="00564ADD" w:rsidP="009D1558"/>
        </w:tc>
        <w:tc>
          <w:tcPr>
            <w:tcW w:w="0" w:type="auto"/>
          </w:tcPr>
          <w:p w14:paraId="38DFF799" w14:textId="77777777" w:rsidR="00564ADD" w:rsidRDefault="00564ADD" w:rsidP="009D1558">
            <w:pPr>
              <w:keepNext/>
              <w:spacing w:before="100" w:after="0"/>
              <w:rPr>
                <w:b/>
              </w:rPr>
            </w:pPr>
            <w:r>
              <w:rPr>
                <w:b/>
              </w:rPr>
              <w:t>Funding</w:t>
            </w:r>
          </w:p>
        </w:tc>
        <w:tc>
          <w:tcPr>
            <w:tcW w:w="0" w:type="auto"/>
          </w:tcPr>
          <w:p w14:paraId="032A75C3" w14:textId="77777777" w:rsidR="00564ADD" w:rsidRDefault="00564ADD" w:rsidP="009D1558">
            <w:pPr>
              <w:spacing w:before="100" w:after="0"/>
            </w:pPr>
          </w:p>
        </w:tc>
      </w:tr>
      <w:tr w:rsidR="00564ADD" w14:paraId="07D4D450" w14:textId="77777777" w:rsidTr="009D1558">
        <w:trPr>
          <w:cantSplit/>
        </w:trPr>
        <w:tc>
          <w:tcPr>
            <w:tcW w:w="0" w:type="auto"/>
            <w:vMerge/>
          </w:tcPr>
          <w:p w14:paraId="5296C826" w14:textId="77777777" w:rsidR="00564ADD" w:rsidRDefault="00564ADD" w:rsidP="009D1558"/>
        </w:tc>
        <w:tc>
          <w:tcPr>
            <w:tcW w:w="0" w:type="auto"/>
          </w:tcPr>
          <w:p w14:paraId="7D894C71" w14:textId="77777777" w:rsidR="00564ADD" w:rsidRDefault="00564ADD" w:rsidP="009D1558">
            <w:pPr>
              <w:keepNext/>
              <w:spacing w:before="100" w:after="0"/>
              <w:rPr>
                <w:b/>
              </w:rPr>
            </w:pPr>
            <w:r>
              <w:rPr>
                <w:b/>
              </w:rPr>
              <w:t>Description</w:t>
            </w:r>
          </w:p>
        </w:tc>
        <w:tc>
          <w:tcPr>
            <w:tcW w:w="0" w:type="auto"/>
          </w:tcPr>
          <w:p w14:paraId="174687CF" w14:textId="77777777" w:rsidR="00564ADD" w:rsidRDefault="00564ADD" w:rsidP="009D1558">
            <w:pPr>
              <w:spacing w:before="100" w:after="0"/>
            </w:pPr>
            <w:r>
              <w:rPr>
                <w:color w:val="000000"/>
              </w:rPr>
              <w:t xml:space="preserve"> </w:t>
            </w:r>
          </w:p>
        </w:tc>
      </w:tr>
      <w:tr w:rsidR="00564ADD" w14:paraId="635D6DDA" w14:textId="77777777" w:rsidTr="009D1558">
        <w:trPr>
          <w:cantSplit/>
        </w:trPr>
        <w:tc>
          <w:tcPr>
            <w:tcW w:w="0" w:type="auto"/>
            <w:vMerge/>
          </w:tcPr>
          <w:p w14:paraId="0AE1B8D0" w14:textId="77777777" w:rsidR="00564ADD" w:rsidRDefault="00564ADD" w:rsidP="009D1558"/>
        </w:tc>
        <w:tc>
          <w:tcPr>
            <w:tcW w:w="0" w:type="auto"/>
          </w:tcPr>
          <w:p w14:paraId="107BBC70" w14:textId="77777777" w:rsidR="00564ADD" w:rsidRDefault="00564ADD" w:rsidP="009D1558">
            <w:pPr>
              <w:keepNext/>
              <w:spacing w:before="100" w:after="0"/>
              <w:rPr>
                <w:b/>
              </w:rPr>
            </w:pPr>
            <w:r>
              <w:rPr>
                <w:b/>
              </w:rPr>
              <w:t>Target Date</w:t>
            </w:r>
          </w:p>
        </w:tc>
        <w:tc>
          <w:tcPr>
            <w:tcW w:w="0" w:type="auto"/>
          </w:tcPr>
          <w:p w14:paraId="75F8C2FD" w14:textId="77777777" w:rsidR="00564ADD" w:rsidRDefault="00564ADD" w:rsidP="009D1558">
            <w:pPr>
              <w:spacing w:before="100" w:after="0"/>
            </w:pPr>
            <w:r>
              <w:rPr>
                <w:color w:val="000000"/>
              </w:rPr>
              <w:t xml:space="preserve"> </w:t>
            </w:r>
          </w:p>
        </w:tc>
      </w:tr>
      <w:tr w:rsidR="00564ADD" w14:paraId="7DF4638B" w14:textId="77777777" w:rsidTr="009D1558">
        <w:trPr>
          <w:cantSplit/>
        </w:trPr>
        <w:tc>
          <w:tcPr>
            <w:tcW w:w="0" w:type="auto"/>
            <w:vMerge/>
          </w:tcPr>
          <w:p w14:paraId="124C2D79" w14:textId="77777777" w:rsidR="00564ADD" w:rsidRDefault="00564ADD" w:rsidP="009D1558"/>
        </w:tc>
        <w:tc>
          <w:tcPr>
            <w:tcW w:w="0" w:type="auto"/>
          </w:tcPr>
          <w:p w14:paraId="0F79364E"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824FC6B" w14:textId="77777777" w:rsidR="00564ADD" w:rsidRDefault="00564ADD" w:rsidP="009D1558">
            <w:pPr>
              <w:spacing w:before="100" w:after="0"/>
            </w:pPr>
            <w:r>
              <w:rPr>
                <w:color w:val="000000"/>
              </w:rPr>
              <w:t xml:space="preserve"> </w:t>
            </w:r>
          </w:p>
        </w:tc>
      </w:tr>
      <w:tr w:rsidR="00564ADD" w14:paraId="21D6FB32" w14:textId="77777777" w:rsidTr="009D1558">
        <w:trPr>
          <w:cantSplit/>
        </w:trPr>
        <w:tc>
          <w:tcPr>
            <w:tcW w:w="0" w:type="auto"/>
            <w:vMerge/>
          </w:tcPr>
          <w:p w14:paraId="239BC110" w14:textId="77777777" w:rsidR="00564ADD" w:rsidRDefault="00564ADD" w:rsidP="009D1558"/>
        </w:tc>
        <w:tc>
          <w:tcPr>
            <w:tcW w:w="0" w:type="auto"/>
          </w:tcPr>
          <w:p w14:paraId="294A3624"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F0BC6D1" w14:textId="77777777" w:rsidR="00564ADD" w:rsidRDefault="00564ADD" w:rsidP="009D1558">
            <w:pPr>
              <w:spacing w:before="100" w:after="0"/>
            </w:pPr>
            <w:r>
              <w:rPr>
                <w:color w:val="000000"/>
              </w:rPr>
              <w:t xml:space="preserve"> </w:t>
            </w:r>
          </w:p>
        </w:tc>
      </w:tr>
      <w:tr w:rsidR="00564ADD" w14:paraId="3676F52B" w14:textId="77777777" w:rsidTr="009D1558">
        <w:trPr>
          <w:cantSplit/>
        </w:trPr>
        <w:tc>
          <w:tcPr>
            <w:tcW w:w="0" w:type="auto"/>
            <w:vMerge/>
          </w:tcPr>
          <w:p w14:paraId="4F6F7AA4" w14:textId="77777777" w:rsidR="00564ADD" w:rsidRDefault="00564ADD" w:rsidP="009D1558"/>
        </w:tc>
        <w:tc>
          <w:tcPr>
            <w:tcW w:w="0" w:type="auto"/>
          </w:tcPr>
          <w:p w14:paraId="02C0B861"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366E09B3" w14:textId="77777777" w:rsidR="00564ADD" w:rsidRDefault="00564ADD" w:rsidP="009D1558">
            <w:pPr>
              <w:spacing w:before="100" w:after="0"/>
            </w:pPr>
            <w:r>
              <w:rPr>
                <w:color w:val="000000"/>
              </w:rPr>
              <w:t xml:space="preserve"> </w:t>
            </w:r>
          </w:p>
        </w:tc>
      </w:tr>
      <w:tr w:rsidR="00564ADD" w14:paraId="05A9496E" w14:textId="77777777" w:rsidTr="009D1558">
        <w:trPr>
          <w:cantSplit/>
        </w:trPr>
        <w:tc>
          <w:tcPr>
            <w:tcW w:w="0" w:type="auto"/>
            <w:vMerge w:val="restart"/>
          </w:tcPr>
          <w:p w14:paraId="0CA834A3" w14:textId="77777777" w:rsidR="00564ADD" w:rsidRDefault="00564ADD" w:rsidP="009D1558">
            <w:r>
              <w:rPr>
                <w:b/>
              </w:rPr>
              <w:t>9</w:t>
            </w:r>
          </w:p>
        </w:tc>
        <w:tc>
          <w:tcPr>
            <w:tcW w:w="0" w:type="auto"/>
          </w:tcPr>
          <w:p w14:paraId="2BF805AB" w14:textId="77777777" w:rsidR="00564ADD" w:rsidRDefault="00564ADD" w:rsidP="009D1558">
            <w:pPr>
              <w:keepNext/>
              <w:spacing w:before="100" w:after="0"/>
              <w:rPr>
                <w:b/>
              </w:rPr>
            </w:pPr>
            <w:r>
              <w:rPr>
                <w:b/>
              </w:rPr>
              <w:t>Project Name</w:t>
            </w:r>
          </w:p>
        </w:tc>
        <w:tc>
          <w:tcPr>
            <w:tcW w:w="0" w:type="auto"/>
          </w:tcPr>
          <w:p w14:paraId="64FE2A4A" w14:textId="77777777" w:rsidR="00564ADD" w:rsidRDefault="00564ADD" w:rsidP="009D1558">
            <w:pPr>
              <w:spacing w:before="100" w:after="0"/>
            </w:pPr>
          </w:p>
        </w:tc>
      </w:tr>
      <w:tr w:rsidR="00564ADD" w14:paraId="36DE0F8A" w14:textId="77777777" w:rsidTr="009D1558">
        <w:trPr>
          <w:cantSplit/>
        </w:trPr>
        <w:tc>
          <w:tcPr>
            <w:tcW w:w="0" w:type="auto"/>
            <w:vMerge/>
          </w:tcPr>
          <w:p w14:paraId="4A72ADB1" w14:textId="77777777" w:rsidR="00564ADD" w:rsidRDefault="00564ADD" w:rsidP="009D1558"/>
        </w:tc>
        <w:tc>
          <w:tcPr>
            <w:tcW w:w="0" w:type="auto"/>
          </w:tcPr>
          <w:p w14:paraId="2C7E4A00" w14:textId="77777777" w:rsidR="00564ADD" w:rsidRDefault="00564ADD" w:rsidP="009D1558">
            <w:pPr>
              <w:keepNext/>
              <w:spacing w:before="100" w:after="0"/>
              <w:rPr>
                <w:b/>
              </w:rPr>
            </w:pPr>
            <w:r>
              <w:rPr>
                <w:b/>
              </w:rPr>
              <w:t>Target Area</w:t>
            </w:r>
          </w:p>
        </w:tc>
        <w:tc>
          <w:tcPr>
            <w:tcW w:w="0" w:type="auto"/>
          </w:tcPr>
          <w:p w14:paraId="03E9AEA8" w14:textId="77777777" w:rsidR="00564ADD" w:rsidRDefault="00564ADD" w:rsidP="009D1558">
            <w:pPr>
              <w:spacing w:before="100" w:after="0"/>
            </w:pPr>
            <w:r>
              <w:rPr>
                <w:color w:val="000000"/>
              </w:rPr>
              <w:t xml:space="preserve"> </w:t>
            </w:r>
          </w:p>
        </w:tc>
      </w:tr>
      <w:tr w:rsidR="00564ADD" w14:paraId="1F84CD27" w14:textId="77777777" w:rsidTr="009D1558">
        <w:trPr>
          <w:cantSplit/>
        </w:trPr>
        <w:tc>
          <w:tcPr>
            <w:tcW w:w="0" w:type="auto"/>
            <w:vMerge/>
          </w:tcPr>
          <w:p w14:paraId="0006F6EE" w14:textId="77777777" w:rsidR="00564ADD" w:rsidRDefault="00564ADD" w:rsidP="009D1558"/>
        </w:tc>
        <w:tc>
          <w:tcPr>
            <w:tcW w:w="0" w:type="auto"/>
          </w:tcPr>
          <w:p w14:paraId="263BBB1D" w14:textId="77777777" w:rsidR="00564ADD" w:rsidRDefault="00564ADD" w:rsidP="009D1558">
            <w:pPr>
              <w:keepNext/>
              <w:spacing w:before="100" w:after="0"/>
              <w:rPr>
                <w:b/>
              </w:rPr>
            </w:pPr>
            <w:r>
              <w:rPr>
                <w:b/>
              </w:rPr>
              <w:t>Goals Supported</w:t>
            </w:r>
          </w:p>
        </w:tc>
        <w:tc>
          <w:tcPr>
            <w:tcW w:w="0" w:type="auto"/>
          </w:tcPr>
          <w:p w14:paraId="5C861948" w14:textId="77777777" w:rsidR="00564ADD" w:rsidRDefault="00564ADD" w:rsidP="009D1558">
            <w:pPr>
              <w:spacing w:before="100" w:after="0"/>
            </w:pPr>
          </w:p>
        </w:tc>
      </w:tr>
      <w:tr w:rsidR="00564ADD" w14:paraId="40803E37" w14:textId="77777777" w:rsidTr="009D1558">
        <w:trPr>
          <w:cantSplit/>
        </w:trPr>
        <w:tc>
          <w:tcPr>
            <w:tcW w:w="0" w:type="auto"/>
            <w:vMerge/>
          </w:tcPr>
          <w:p w14:paraId="44BF1D85" w14:textId="77777777" w:rsidR="00564ADD" w:rsidRDefault="00564ADD" w:rsidP="009D1558"/>
        </w:tc>
        <w:tc>
          <w:tcPr>
            <w:tcW w:w="0" w:type="auto"/>
          </w:tcPr>
          <w:p w14:paraId="72DC54AD" w14:textId="77777777" w:rsidR="00564ADD" w:rsidRDefault="00564ADD" w:rsidP="009D1558">
            <w:pPr>
              <w:keepNext/>
              <w:spacing w:before="100" w:after="0"/>
              <w:rPr>
                <w:b/>
              </w:rPr>
            </w:pPr>
            <w:r>
              <w:rPr>
                <w:b/>
              </w:rPr>
              <w:t>Needs Addressed</w:t>
            </w:r>
          </w:p>
        </w:tc>
        <w:tc>
          <w:tcPr>
            <w:tcW w:w="0" w:type="auto"/>
          </w:tcPr>
          <w:p w14:paraId="09A95721" w14:textId="77777777" w:rsidR="00564ADD" w:rsidRDefault="00564ADD" w:rsidP="009D1558">
            <w:pPr>
              <w:spacing w:before="100" w:after="0"/>
            </w:pPr>
          </w:p>
        </w:tc>
      </w:tr>
      <w:tr w:rsidR="00564ADD" w14:paraId="0E7F93C9" w14:textId="77777777" w:rsidTr="009D1558">
        <w:trPr>
          <w:cantSplit/>
        </w:trPr>
        <w:tc>
          <w:tcPr>
            <w:tcW w:w="0" w:type="auto"/>
            <w:vMerge/>
          </w:tcPr>
          <w:p w14:paraId="12DFAAC9" w14:textId="77777777" w:rsidR="00564ADD" w:rsidRDefault="00564ADD" w:rsidP="009D1558"/>
        </w:tc>
        <w:tc>
          <w:tcPr>
            <w:tcW w:w="0" w:type="auto"/>
          </w:tcPr>
          <w:p w14:paraId="29A79C97" w14:textId="77777777" w:rsidR="00564ADD" w:rsidRDefault="00564ADD" w:rsidP="009D1558">
            <w:pPr>
              <w:keepNext/>
              <w:spacing w:before="100" w:after="0"/>
              <w:rPr>
                <w:b/>
              </w:rPr>
            </w:pPr>
            <w:r>
              <w:rPr>
                <w:b/>
              </w:rPr>
              <w:t>Funding</w:t>
            </w:r>
          </w:p>
        </w:tc>
        <w:tc>
          <w:tcPr>
            <w:tcW w:w="0" w:type="auto"/>
          </w:tcPr>
          <w:p w14:paraId="1E2F0FD8" w14:textId="77777777" w:rsidR="00564ADD" w:rsidRDefault="00564ADD" w:rsidP="009D1558">
            <w:pPr>
              <w:spacing w:before="100" w:after="0"/>
            </w:pPr>
          </w:p>
        </w:tc>
      </w:tr>
      <w:tr w:rsidR="00564ADD" w14:paraId="2C93C955" w14:textId="77777777" w:rsidTr="009D1558">
        <w:trPr>
          <w:cantSplit/>
        </w:trPr>
        <w:tc>
          <w:tcPr>
            <w:tcW w:w="0" w:type="auto"/>
            <w:vMerge/>
          </w:tcPr>
          <w:p w14:paraId="4F552FFB" w14:textId="77777777" w:rsidR="00564ADD" w:rsidRDefault="00564ADD" w:rsidP="009D1558"/>
        </w:tc>
        <w:tc>
          <w:tcPr>
            <w:tcW w:w="0" w:type="auto"/>
          </w:tcPr>
          <w:p w14:paraId="121E7F3C" w14:textId="77777777" w:rsidR="00564ADD" w:rsidRDefault="00564ADD" w:rsidP="009D1558">
            <w:pPr>
              <w:keepNext/>
              <w:spacing w:before="100" w:after="0"/>
              <w:rPr>
                <w:b/>
              </w:rPr>
            </w:pPr>
            <w:r>
              <w:rPr>
                <w:b/>
              </w:rPr>
              <w:t>Description</w:t>
            </w:r>
          </w:p>
        </w:tc>
        <w:tc>
          <w:tcPr>
            <w:tcW w:w="0" w:type="auto"/>
          </w:tcPr>
          <w:p w14:paraId="3703EC7A" w14:textId="77777777" w:rsidR="00564ADD" w:rsidRDefault="00564ADD" w:rsidP="009D1558">
            <w:pPr>
              <w:spacing w:before="100" w:after="0"/>
            </w:pPr>
            <w:r>
              <w:rPr>
                <w:color w:val="000000"/>
              </w:rPr>
              <w:t xml:space="preserve"> </w:t>
            </w:r>
          </w:p>
        </w:tc>
      </w:tr>
      <w:tr w:rsidR="00564ADD" w14:paraId="02654C98" w14:textId="77777777" w:rsidTr="009D1558">
        <w:trPr>
          <w:cantSplit/>
        </w:trPr>
        <w:tc>
          <w:tcPr>
            <w:tcW w:w="0" w:type="auto"/>
            <w:vMerge/>
          </w:tcPr>
          <w:p w14:paraId="3C9F8085" w14:textId="77777777" w:rsidR="00564ADD" w:rsidRDefault="00564ADD" w:rsidP="009D1558"/>
        </w:tc>
        <w:tc>
          <w:tcPr>
            <w:tcW w:w="0" w:type="auto"/>
          </w:tcPr>
          <w:p w14:paraId="4E124276" w14:textId="77777777" w:rsidR="00564ADD" w:rsidRDefault="00564ADD" w:rsidP="009D1558">
            <w:pPr>
              <w:keepNext/>
              <w:spacing w:before="100" w:after="0"/>
              <w:rPr>
                <w:b/>
              </w:rPr>
            </w:pPr>
            <w:r>
              <w:rPr>
                <w:b/>
              </w:rPr>
              <w:t>Target Date</w:t>
            </w:r>
          </w:p>
        </w:tc>
        <w:tc>
          <w:tcPr>
            <w:tcW w:w="0" w:type="auto"/>
          </w:tcPr>
          <w:p w14:paraId="2D8C8209" w14:textId="77777777" w:rsidR="00564ADD" w:rsidRDefault="00564ADD" w:rsidP="009D1558">
            <w:pPr>
              <w:spacing w:before="100" w:after="0"/>
            </w:pPr>
            <w:r>
              <w:rPr>
                <w:color w:val="000000"/>
              </w:rPr>
              <w:t xml:space="preserve"> </w:t>
            </w:r>
          </w:p>
        </w:tc>
      </w:tr>
      <w:tr w:rsidR="00564ADD" w14:paraId="7C4DD2B8" w14:textId="77777777" w:rsidTr="009D1558">
        <w:trPr>
          <w:cantSplit/>
        </w:trPr>
        <w:tc>
          <w:tcPr>
            <w:tcW w:w="0" w:type="auto"/>
            <w:vMerge/>
          </w:tcPr>
          <w:p w14:paraId="033814FA" w14:textId="77777777" w:rsidR="00564ADD" w:rsidRDefault="00564ADD" w:rsidP="009D1558"/>
        </w:tc>
        <w:tc>
          <w:tcPr>
            <w:tcW w:w="0" w:type="auto"/>
          </w:tcPr>
          <w:p w14:paraId="19895F51"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61A5C25" w14:textId="77777777" w:rsidR="00564ADD" w:rsidRDefault="00564ADD" w:rsidP="009D1558">
            <w:pPr>
              <w:spacing w:before="100" w:after="0"/>
            </w:pPr>
            <w:r>
              <w:rPr>
                <w:color w:val="000000"/>
              </w:rPr>
              <w:t xml:space="preserve"> </w:t>
            </w:r>
          </w:p>
        </w:tc>
      </w:tr>
      <w:tr w:rsidR="00564ADD" w14:paraId="16D54049" w14:textId="77777777" w:rsidTr="009D1558">
        <w:trPr>
          <w:cantSplit/>
        </w:trPr>
        <w:tc>
          <w:tcPr>
            <w:tcW w:w="0" w:type="auto"/>
            <w:vMerge/>
          </w:tcPr>
          <w:p w14:paraId="5099DE52" w14:textId="77777777" w:rsidR="00564ADD" w:rsidRDefault="00564ADD" w:rsidP="009D1558"/>
        </w:tc>
        <w:tc>
          <w:tcPr>
            <w:tcW w:w="0" w:type="auto"/>
          </w:tcPr>
          <w:p w14:paraId="39F2C4D5"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175FF70" w14:textId="77777777" w:rsidR="00564ADD" w:rsidRDefault="00564ADD" w:rsidP="009D1558">
            <w:pPr>
              <w:spacing w:before="100" w:after="0"/>
            </w:pPr>
            <w:r>
              <w:rPr>
                <w:color w:val="000000"/>
              </w:rPr>
              <w:t xml:space="preserve"> </w:t>
            </w:r>
          </w:p>
        </w:tc>
      </w:tr>
      <w:tr w:rsidR="00564ADD" w14:paraId="5FD07F15" w14:textId="77777777" w:rsidTr="009D1558">
        <w:trPr>
          <w:cantSplit/>
        </w:trPr>
        <w:tc>
          <w:tcPr>
            <w:tcW w:w="0" w:type="auto"/>
            <w:vMerge/>
          </w:tcPr>
          <w:p w14:paraId="0E0FE6C5" w14:textId="77777777" w:rsidR="00564ADD" w:rsidRDefault="00564ADD" w:rsidP="009D1558"/>
        </w:tc>
        <w:tc>
          <w:tcPr>
            <w:tcW w:w="0" w:type="auto"/>
          </w:tcPr>
          <w:p w14:paraId="1314DA87"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2210210C" w14:textId="77777777" w:rsidR="00564ADD" w:rsidRDefault="00564ADD" w:rsidP="009D1558">
            <w:pPr>
              <w:spacing w:before="100" w:after="0"/>
            </w:pPr>
            <w:r>
              <w:rPr>
                <w:color w:val="000000"/>
              </w:rPr>
              <w:t xml:space="preserve"> </w:t>
            </w:r>
          </w:p>
        </w:tc>
      </w:tr>
      <w:tr w:rsidR="00564ADD" w14:paraId="185D907B" w14:textId="77777777" w:rsidTr="009D1558">
        <w:trPr>
          <w:cantSplit/>
        </w:trPr>
        <w:tc>
          <w:tcPr>
            <w:tcW w:w="0" w:type="auto"/>
            <w:vMerge w:val="restart"/>
          </w:tcPr>
          <w:p w14:paraId="5CA82B88" w14:textId="77777777" w:rsidR="00564ADD" w:rsidRDefault="00564ADD" w:rsidP="009D1558">
            <w:r>
              <w:rPr>
                <w:b/>
              </w:rPr>
              <w:t>10</w:t>
            </w:r>
          </w:p>
        </w:tc>
        <w:tc>
          <w:tcPr>
            <w:tcW w:w="0" w:type="auto"/>
          </w:tcPr>
          <w:p w14:paraId="3A9AF79E" w14:textId="77777777" w:rsidR="00564ADD" w:rsidRDefault="00564ADD" w:rsidP="009D1558">
            <w:pPr>
              <w:keepNext/>
              <w:spacing w:before="100" w:after="0"/>
              <w:rPr>
                <w:b/>
              </w:rPr>
            </w:pPr>
            <w:r>
              <w:rPr>
                <w:b/>
              </w:rPr>
              <w:t>Project Name</w:t>
            </w:r>
          </w:p>
        </w:tc>
        <w:tc>
          <w:tcPr>
            <w:tcW w:w="0" w:type="auto"/>
          </w:tcPr>
          <w:p w14:paraId="661A41DC" w14:textId="77777777" w:rsidR="00564ADD" w:rsidRDefault="00564ADD" w:rsidP="009D1558">
            <w:pPr>
              <w:spacing w:before="100" w:after="0"/>
            </w:pPr>
          </w:p>
        </w:tc>
      </w:tr>
      <w:tr w:rsidR="00564ADD" w14:paraId="44C6C4F2" w14:textId="77777777" w:rsidTr="009D1558">
        <w:trPr>
          <w:cantSplit/>
        </w:trPr>
        <w:tc>
          <w:tcPr>
            <w:tcW w:w="0" w:type="auto"/>
            <w:vMerge/>
          </w:tcPr>
          <w:p w14:paraId="587C8650" w14:textId="77777777" w:rsidR="00564ADD" w:rsidRDefault="00564ADD" w:rsidP="009D1558"/>
        </w:tc>
        <w:tc>
          <w:tcPr>
            <w:tcW w:w="0" w:type="auto"/>
          </w:tcPr>
          <w:p w14:paraId="3C399DC7" w14:textId="77777777" w:rsidR="00564ADD" w:rsidRDefault="00564ADD" w:rsidP="009D1558">
            <w:pPr>
              <w:keepNext/>
              <w:spacing w:before="100" w:after="0"/>
              <w:rPr>
                <w:b/>
              </w:rPr>
            </w:pPr>
            <w:r>
              <w:rPr>
                <w:b/>
              </w:rPr>
              <w:t>Target Area</w:t>
            </w:r>
          </w:p>
        </w:tc>
        <w:tc>
          <w:tcPr>
            <w:tcW w:w="0" w:type="auto"/>
          </w:tcPr>
          <w:p w14:paraId="0966B8A8" w14:textId="77777777" w:rsidR="00564ADD" w:rsidRDefault="00564ADD" w:rsidP="009D1558">
            <w:pPr>
              <w:spacing w:before="100" w:after="0"/>
            </w:pPr>
            <w:r>
              <w:rPr>
                <w:color w:val="000000"/>
              </w:rPr>
              <w:t xml:space="preserve"> </w:t>
            </w:r>
          </w:p>
        </w:tc>
      </w:tr>
      <w:tr w:rsidR="00564ADD" w14:paraId="0858E616" w14:textId="77777777" w:rsidTr="009D1558">
        <w:trPr>
          <w:cantSplit/>
        </w:trPr>
        <w:tc>
          <w:tcPr>
            <w:tcW w:w="0" w:type="auto"/>
            <w:vMerge/>
          </w:tcPr>
          <w:p w14:paraId="187E4F6F" w14:textId="77777777" w:rsidR="00564ADD" w:rsidRDefault="00564ADD" w:rsidP="009D1558"/>
        </w:tc>
        <w:tc>
          <w:tcPr>
            <w:tcW w:w="0" w:type="auto"/>
          </w:tcPr>
          <w:p w14:paraId="40BA0ECB" w14:textId="77777777" w:rsidR="00564ADD" w:rsidRDefault="00564ADD" w:rsidP="009D1558">
            <w:pPr>
              <w:keepNext/>
              <w:spacing w:before="100" w:after="0"/>
              <w:rPr>
                <w:b/>
              </w:rPr>
            </w:pPr>
            <w:r>
              <w:rPr>
                <w:b/>
              </w:rPr>
              <w:t>Goals Supported</w:t>
            </w:r>
          </w:p>
        </w:tc>
        <w:tc>
          <w:tcPr>
            <w:tcW w:w="0" w:type="auto"/>
          </w:tcPr>
          <w:p w14:paraId="3CD667CD" w14:textId="77777777" w:rsidR="00564ADD" w:rsidRDefault="00564ADD" w:rsidP="009D1558">
            <w:pPr>
              <w:spacing w:before="100" w:after="0"/>
            </w:pPr>
            <w:r>
              <w:rPr>
                <w:color w:val="000000"/>
              </w:rPr>
              <w:t xml:space="preserve"> </w:t>
            </w:r>
          </w:p>
        </w:tc>
      </w:tr>
      <w:tr w:rsidR="00564ADD" w14:paraId="0A2180A0" w14:textId="77777777" w:rsidTr="009D1558">
        <w:trPr>
          <w:cantSplit/>
        </w:trPr>
        <w:tc>
          <w:tcPr>
            <w:tcW w:w="0" w:type="auto"/>
            <w:vMerge/>
          </w:tcPr>
          <w:p w14:paraId="557F9FD3" w14:textId="77777777" w:rsidR="00564ADD" w:rsidRDefault="00564ADD" w:rsidP="009D1558"/>
        </w:tc>
        <w:tc>
          <w:tcPr>
            <w:tcW w:w="0" w:type="auto"/>
          </w:tcPr>
          <w:p w14:paraId="1C234695" w14:textId="77777777" w:rsidR="00564ADD" w:rsidRDefault="00564ADD" w:rsidP="009D1558">
            <w:pPr>
              <w:keepNext/>
              <w:spacing w:before="100" w:after="0"/>
              <w:rPr>
                <w:b/>
              </w:rPr>
            </w:pPr>
            <w:r>
              <w:rPr>
                <w:b/>
              </w:rPr>
              <w:t>Needs Addressed</w:t>
            </w:r>
          </w:p>
        </w:tc>
        <w:tc>
          <w:tcPr>
            <w:tcW w:w="0" w:type="auto"/>
          </w:tcPr>
          <w:p w14:paraId="10578F4F" w14:textId="77777777" w:rsidR="00564ADD" w:rsidRDefault="00564ADD" w:rsidP="009D1558">
            <w:pPr>
              <w:spacing w:before="100" w:after="0"/>
            </w:pPr>
          </w:p>
        </w:tc>
      </w:tr>
      <w:tr w:rsidR="00564ADD" w14:paraId="040F4E6A" w14:textId="77777777" w:rsidTr="009D1558">
        <w:trPr>
          <w:cantSplit/>
        </w:trPr>
        <w:tc>
          <w:tcPr>
            <w:tcW w:w="0" w:type="auto"/>
            <w:vMerge/>
          </w:tcPr>
          <w:p w14:paraId="42503312" w14:textId="77777777" w:rsidR="00564ADD" w:rsidRDefault="00564ADD" w:rsidP="009D1558"/>
        </w:tc>
        <w:tc>
          <w:tcPr>
            <w:tcW w:w="0" w:type="auto"/>
          </w:tcPr>
          <w:p w14:paraId="19C4152E" w14:textId="77777777" w:rsidR="00564ADD" w:rsidRDefault="00564ADD" w:rsidP="009D1558">
            <w:pPr>
              <w:keepNext/>
              <w:spacing w:before="100" w:after="0"/>
              <w:rPr>
                <w:b/>
              </w:rPr>
            </w:pPr>
            <w:r>
              <w:rPr>
                <w:b/>
              </w:rPr>
              <w:t>Funding</w:t>
            </w:r>
          </w:p>
        </w:tc>
        <w:tc>
          <w:tcPr>
            <w:tcW w:w="0" w:type="auto"/>
          </w:tcPr>
          <w:p w14:paraId="126D3ECF" w14:textId="77777777" w:rsidR="00564ADD" w:rsidRDefault="00564ADD" w:rsidP="009D1558">
            <w:pPr>
              <w:spacing w:before="100" w:after="0"/>
            </w:pPr>
          </w:p>
        </w:tc>
      </w:tr>
      <w:tr w:rsidR="00564ADD" w14:paraId="670EC06C" w14:textId="77777777" w:rsidTr="009D1558">
        <w:trPr>
          <w:cantSplit/>
        </w:trPr>
        <w:tc>
          <w:tcPr>
            <w:tcW w:w="0" w:type="auto"/>
            <w:vMerge/>
          </w:tcPr>
          <w:p w14:paraId="5A3FE95C" w14:textId="77777777" w:rsidR="00564ADD" w:rsidRDefault="00564ADD" w:rsidP="009D1558"/>
        </w:tc>
        <w:tc>
          <w:tcPr>
            <w:tcW w:w="0" w:type="auto"/>
          </w:tcPr>
          <w:p w14:paraId="60E858BE" w14:textId="77777777" w:rsidR="00564ADD" w:rsidRDefault="00564ADD" w:rsidP="009D1558">
            <w:pPr>
              <w:keepNext/>
              <w:spacing w:before="100" w:after="0"/>
              <w:rPr>
                <w:b/>
              </w:rPr>
            </w:pPr>
            <w:r>
              <w:rPr>
                <w:b/>
              </w:rPr>
              <w:t>Description</w:t>
            </w:r>
          </w:p>
        </w:tc>
        <w:tc>
          <w:tcPr>
            <w:tcW w:w="0" w:type="auto"/>
          </w:tcPr>
          <w:p w14:paraId="4CA1678F" w14:textId="77777777" w:rsidR="00564ADD" w:rsidRDefault="00564ADD" w:rsidP="009D1558">
            <w:pPr>
              <w:spacing w:before="100" w:after="0"/>
            </w:pPr>
            <w:r>
              <w:rPr>
                <w:color w:val="000000"/>
              </w:rPr>
              <w:t xml:space="preserve"> </w:t>
            </w:r>
          </w:p>
        </w:tc>
      </w:tr>
      <w:tr w:rsidR="00564ADD" w14:paraId="11DCA8C6" w14:textId="77777777" w:rsidTr="009D1558">
        <w:trPr>
          <w:cantSplit/>
        </w:trPr>
        <w:tc>
          <w:tcPr>
            <w:tcW w:w="0" w:type="auto"/>
            <w:vMerge/>
          </w:tcPr>
          <w:p w14:paraId="3BF8E985" w14:textId="77777777" w:rsidR="00564ADD" w:rsidRDefault="00564ADD" w:rsidP="009D1558"/>
        </w:tc>
        <w:tc>
          <w:tcPr>
            <w:tcW w:w="0" w:type="auto"/>
          </w:tcPr>
          <w:p w14:paraId="57235793" w14:textId="77777777" w:rsidR="00564ADD" w:rsidRDefault="00564ADD" w:rsidP="009D1558">
            <w:pPr>
              <w:keepNext/>
              <w:spacing w:before="100" w:after="0"/>
              <w:rPr>
                <w:b/>
              </w:rPr>
            </w:pPr>
            <w:r>
              <w:rPr>
                <w:b/>
              </w:rPr>
              <w:t>Target Date</w:t>
            </w:r>
          </w:p>
        </w:tc>
        <w:tc>
          <w:tcPr>
            <w:tcW w:w="0" w:type="auto"/>
          </w:tcPr>
          <w:p w14:paraId="01E38E74" w14:textId="77777777" w:rsidR="00564ADD" w:rsidRDefault="00564ADD" w:rsidP="009D1558">
            <w:pPr>
              <w:spacing w:before="100" w:after="0"/>
            </w:pPr>
            <w:r>
              <w:rPr>
                <w:color w:val="000000"/>
              </w:rPr>
              <w:t xml:space="preserve"> </w:t>
            </w:r>
          </w:p>
        </w:tc>
      </w:tr>
      <w:tr w:rsidR="00564ADD" w14:paraId="53DA011A" w14:textId="77777777" w:rsidTr="009D1558">
        <w:trPr>
          <w:cantSplit/>
        </w:trPr>
        <w:tc>
          <w:tcPr>
            <w:tcW w:w="0" w:type="auto"/>
            <w:vMerge/>
          </w:tcPr>
          <w:p w14:paraId="594362FC" w14:textId="77777777" w:rsidR="00564ADD" w:rsidRDefault="00564ADD" w:rsidP="009D1558"/>
        </w:tc>
        <w:tc>
          <w:tcPr>
            <w:tcW w:w="0" w:type="auto"/>
          </w:tcPr>
          <w:p w14:paraId="09395117" w14:textId="77777777" w:rsidR="00564ADD" w:rsidRDefault="00564ADD" w:rsidP="009D155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6E89646" w14:textId="77777777" w:rsidR="00564ADD" w:rsidRDefault="00564ADD" w:rsidP="009D1558">
            <w:pPr>
              <w:spacing w:before="100" w:after="0"/>
            </w:pPr>
            <w:r>
              <w:rPr>
                <w:color w:val="000000"/>
              </w:rPr>
              <w:t xml:space="preserve"> </w:t>
            </w:r>
          </w:p>
        </w:tc>
      </w:tr>
      <w:tr w:rsidR="00564ADD" w14:paraId="22AC15B6" w14:textId="77777777" w:rsidTr="009D1558">
        <w:trPr>
          <w:cantSplit/>
        </w:trPr>
        <w:tc>
          <w:tcPr>
            <w:tcW w:w="0" w:type="auto"/>
            <w:vMerge/>
          </w:tcPr>
          <w:p w14:paraId="6D691E15" w14:textId="77777777" w:rsidR="00564ADD" w:rsidRDefault="00564ADD" w:rsidP="009D1558"/>
        </w:tc>
        <w:tc>
          <w:tcPr>
            <w:tcW w:w="0" w:type="auto"/>
          </w:tcPr>
          <w:p w14:paraId="74B3EB16" w14:textId="77777777" w:rsidR="00564ADD" w:rsidRDefault="00564ADD" w:rsidP="009D155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54E94B8" w14:textId="77777777" w:rsidR="00564ADD" w:rsidRDefault="00564ADD" w:rsidP="009D1558">
            <w:pPr>
              <w:spacing w:before="100" w:after="0"/>
            </w:pPr>
            <w:r>
              <w:rPr>
                <w:color w:val="000000"/>
              </w:rPr>
              <w:t xml:space="preserve"> </w:t>
            </w:r>
          </w:p>
        </w:tc>
      </w:tr>
      <w:tr w:rsidR="00564ADD" w14:paraId="39AF99BB" w14:textId="77777777" w:rsidTr="009D1558">
        <w:trPr>
          <w:cantSplit/>
        </w:trPr>
        <w:tc>
          <w:tcPr>
            <w:tcW w:w="0" w:type="auto"/>
            <w:vMerge/>
          </w:tcPr>
          <w:p w14:paraId="3EC9A9CE" w14:textId="77777777" w:rsidR="00564ADD" w:rsidRDefault="00564ADD" w:rsidP="009D1558"/>
        </w:tc>
        <w:tc>
          <w:tcPr>
            <w:tcW w:w="0" w:type="auto"/>
          </w:tcPr>
          <w:p w14:paraId="598410A3" w14:textId="77777777" w:rsidR="00564ADD" w:rsidRDefault="00564ADD" w:rsidP="009D1558">
            <w:pPr>
              <w:keepNext/>
              <w:spacing w:before="100" w:after="0"/>
              <w:rPr>
                <w:rFonts w:asciiTheme="minorHAnsi" w:hAnsiTheme="minorHAnsi"/>
                <w:b/>
              </w:rPr>
            </w:pPr>
            <w:r>
              <w:rPr>
                <w:rStyle w:val="Strong"/>
                <w:rFonts w:asciiTheme="minorHAnsi" w:hAnsiTheme="minorHAnsi"/>
              </w:rPr>
              <w:t>Planned Activities</w:t>
            </w:r>
          </w:p>
        </w:tc>
        <w:tc>
          <w:tcPr>
            <w:tcW w:w="0" w:type="auto"/>
          </w:tcPr>
          <w:p w14:paraId="3A7F1E06" w14:textId="77777777" w:rsidR="00564ADD" w:rsidRDefault="00564ADD" w:rsidP="009D1558">
            <w:pPr>
              <w:spacing w:before="100" w:after="0"/>
            </w:pPr>
            <w:r>
              <w:rPr>
                <w:color w:val="000000"/>
              </w:rPr>
              <w:t xml:space="preserve"> </w:t>
            </w:r>
          </w:p>
        </w:tc>
      </w:tr>
    </w:tbl>
    <w:p w14:paraId="20A974B3" w14:textId="77777777" w:rsidR="00564ADD" w:rsidRDefault="00564ADD" w:rsidP="0068663E">
      <w:pPr>
        <w:pStyle w:val="Heading2"/>
        <w:keepNext w:val="0"/>
        <w:pageBreakBefore/>
        <w:shd w:val="clear" w:color="auto" w:fill="95B3D7" w:themeFill="accent1" w:themeFillTint="99"/>
        <w:rPr>
          <w:rFonts w:ascii="Calibri" w:hAnsi="Calibri"/>
          <w:i w:val="0"/>
        </w:rPr>
      </w:pPr>
      <w:bookmarkStart w:id="66" w:name="_Toc524603048"/>
      <w:r>
        <w:rPr>
          <w:rFonts w:ascii="Calibri" w:hAnsi="Calibri"/>
          <w:i w:val="0"/>
        </w:rPr>
        <w:t xml:space="preserve">AP-40 Section 108 Loan Guarantee </w:t>
      </w:r>
      <w:bookmarkEnd w:id="64"/>
      <w:r>
        <w:rPr>
          <w:rFonts w:ascii="Calibri" w:hAnsi="Calibri"/>
          <w:i w:val="0"/>
        </w:rPr>
        <w:t>– 91.320(k)(1)(ii)</w:t>
      </w:r>
      <w:bookmarkEnd w:id="66"/>
    </w:p>
    <w:p w14:paraId="1FEEC1BC" w14:textId="77777777" w:rsidR="00564ADD" w:rsidRDefault="00564ADD" w:rsidP="00564ADD">
      <w:pPr>
        <w:widowControl w:val="0"/>
        <w:rPr>
          <w:b/>
          <w:sz w:val="24"/>
          <w:szCs w:val="24"/>
        </w:rPr>
      </w:pPr>
      <w:r>
        <w:rPr>
          <w:b/>
          <w:sz w:val="24"/>
          <w:szCs w:val="24"/>
        </w:rPr>
        <w:t>Will the state help non-entitlement units of general local government to apply for Section 108 loan funds?</w:t>
      </w:r>
    </w:p>
    <w:p w14:paraId="258B0072" w14:textId="77777777" w:rsidR="00564ADD" w:rsidRPr="00A85417" w:rsidRDefault="00564ADD" w:rsidP="00564ADD">
      <w:pPr>
        <w:widowControl w:val="0"/>
        <w:rPr>
          <w:sz w:val="24"/>
          <w:szCs w:val="24"/>
        </w:rPr>
      </w:pPr>
      <w:r>
        <w:rPr>
          <w:sz w:val="24"/>
          <w:szCs w:val="24"/>
        </w:rPr>
        <w:t>No</w:t>
      </w:r>
    </w:p>
    <w:p w14:paraId="609CE343" w14:textId="77777777" w:rsidR="00564ADD" w:rsidRDefault="00564ADD" w:rsidP="00564ADD">
      <w:pPr>
        <w:widowControl w:val="0"/>
        <w:rPr>
          <w:b/>
          <w:sz w:val="24"/>
          <w:szCs w:val="24"/>
        </w:rPr>
      </w:pPr>
      <w:r>
        <w:rPr>
          <w:b/>
          <w:sz w:val="24"/>
          <w:szCs w:val="24"/>
        </w:rPr>
        <w:t xml:space="preserve">Available Grant Amounts </w:t>
      </w:r>
    </w:p>
    <w:p w14:paraId="7DC776F9" w14:textId="77777777" w:rsidR="00564ADD" w:rsidRPr="00A85417" w:rsidRDefault="00564ADD" w:rsidP="00564ADD">
      <w:pPr>
        <w:widowControl w:val="0"/>
        <w:rPr>
          <w:sz w:val="24"/>
          <w:szCs w:val="24"/>
        </w:rPr>
      </w:pPr>
      <w:r>
        <w:rPr>
          <w:sz w:val="24"/>
          <w:szCs w:val="24"/>
        </w:rPr>
        <w:t>N/A</w:t>
      </w:r>
    </w:p>
    <w:p w14:paraId="682C3567" w14:textId="77777777" w:rsidR="00564ADD" w:rsidRDefault="00564ADD" w:rsidP="00564ADD">
      <w:pPr>
        <w:widowControl w:val="0"/>
        <w:rPr>
          <w:b/>
          <w:sz w:val="24"/>
          <w:szCs w:val="24"/>
        </w:rPr>
      </w:pPr>
      <w:r>
        <w:rPr>
          <w:b/>
          <w:sz w:val="24"/>
          <w:szCs w:val="24"/>
        </w:rPr>
        <w:t xml:space="preserve">Acceptance process of applications </w:t>
      </w:r>
    </w:p>
    <w:p w14:paraId="03098F82" w14:textId="77777777" w:rsidR="00564ADD" w:rsidRPr="00A85417" w:rsidRDefault="00564ADD" w:rsidP="00564ADD">
      <w:pPr>
        <w:widowControl w:val="0"/>
        <w:rPr>
          <w:sz w:val="24"/>
          <w:szCs w:val="24"/>
        </w:rPr>
      </w:pPr>
      <w:r>
        <w:rPr>
          <w:sz w:val="24"/>
          <w:szCs w:val="24"/>
        </w:rPr>
        <w:t>N/A</w:t>
      </w:r>
    </w:p>
    <w:p w14:paraId="20D30E99" w14:textId="77777777" w:rsidR="00564ADD" w:rsidRDefault="00564ADD" w:rsidP="0068663E">
      <w:pPr>
        <w:pStyle w:val="Heading2"/>
        <w:keepNext w:val="0"/>
        <w:pageBreakBefore/>
        <w:shd w:val="clear" w:color="auto" w:fill="95B3D7" w:themeFill="accent1" w:themeFillTint="99"/>
        <w:rPr>
          <w:rFonts w:ascii="Calibri" w:hAnsi="Calibri"/>
          <w:i w:val="0"/>
        </w:rPr>
      </w:pPr>
      <w:bookmarkStart w:id="67" w:name="_Toc524603049"/>
      <w:bookmarkStart w:id="68" w:name="_Toc309810476"/>
      <w:r>
        <w:rPr>
          <w:rFonts w:ascii="Calibri" w:hAnsi="Calibri"/>
          <w:i w:val="0"/>
        </w:rPr>
        <w:t>AP-45 Community Revitalization Strategies – 91.320(k)(1)(ii)</w:t>
      </w:r>
      <w:bookmarkEnd w:id="67"/>
    </w:p>
    <w:p w14:paraId="5BE3C90B" w14:textId="77777777" w:rsidR="00564ADD" w:rsidRDefault="00564ADD" w:rsidP="00564ADD">
      <w:pPr>
        <w:widowControl w:val="0"/>
        <w:rPr>
          <w:b/>
          <w:sz w:val="24"/>
          <w:szCs w:val="24"/>
        </w:rPr>
      </w:pPr>
      <w:r>
        <w:rPr>
          <w:b/>
          <w:sz w:val="24"/>
          <w:szCs w:val="24"/>
        </w:rPr>
        <w:t>Will the state allow units of general local government to carry out community revitalization strategies?</w:t>
      </w:r>
    </w:p>
    <w:p w14:paraId="4CA48416" w14:textId="77777777" w:rsidR="00564ADD" w:rsidRPr="008939B0" w:rsidRDefault="00564ADD" w:rsidP="00564ADD">
      <w:pPr>
        <w:widowControl w:val="0"/>
        <w:rPr>
          <w:sz w:val="24"/>
          <w:szCs w:val="24"/>
        </w:rPr>
      </w:pPr>
      <w:r>
        <w:rPr>
          <w:sz w:val="24"/>
          <w:szCs w:val="24"/>
        </w:rPr>
        <w:t>No</w:t>
      </w:r>
    </w:p>
    <w:p w14:paraId="5E6C18B5" w14:textId="77777777" w:rsidR="00564ADD" w:rsidRDefault="00564ADD" w:rsidP="00564ADD">
      <w:pPr>
        <w:widowControl w:val="0"/>
        <w:rPr>
          <w:b/>
          <w:sz w:val="24"/>
          <w:szCs w:val="24"/>
        </w:rPr>
      </w:pPr>
      <w:r>
        <w:rPr>
          <w:b/>
          <w:sz w:val="24"/>
          <w:szCs w:val="24"/>
        </w:rPr>
        <w:t>State’s Process and Criteria for approving local government revitalization strategies</w:t>
      </w:r>
    </w:p>
    <w:p w14:paraId="73FCB3FD" w14:textId="77777777" w:rsidR="00564ADD" w:rsidRPr="00E26917" w:rsidRDefault="00564ADD" w:rsidP="00564ADD">
      <w:pPr>
        <w:keepNext/>
        <w:widowControl w:val="0"/>
        <w:spacing w:beforeAutospacing="1" w:afterAutospacing="1"/>
        <w:rPr>
          <w:rFonts w:cs="Arial"/>
          <w:sz w:val="24"/>
        </w:rPr>
      </w:pPr>
      <w:r w:rsidRPr="00E26917">
        <w:rPr>
          <w:rFonts w:cs="Arial"/>
          <w:sz w:val="24"/>
        </w:rPr>
        <w:t>The State of Kansas has not chosen to target particular geographical areas for special assistance under their Programs. Rather, all non-entitlement communities are allowed to submit applications in one of the outlined funding categories on a competitive basis. Thus, Kansas has not authorized or approved any local government revitalization strategies.</w:t>
      </w:r>
    </w:p>
    <w:bookmarkEnd w:id="68"/>
    <w:p w14:paraId="4091E1C1" w14:textId="77777777" w:rsidR="00564ADD" w:rsidRDefault="00564ADD" w:rsidP="00564ADD">
      <w:pPr>
        <w:widowControl w:val="0"/>
        <w:rPr>
          <w:rFonts w:cs="Arial"/>
          <w:szCs w:val="24"/>
        </w:rPr>
      </w:pPr>
    </w:p>
    <w:p w14:paraId="378E71DF" w14:textId="77777777" w:rsidR="00564ADD" w:rsidRDefault="00564ADD" w:rsidP="0068663E">
      <w:pPr>
        <w:pStyle w:val="Heading2"/>
        <w:keepNext w:val="0"/>
        <w:pageBreakBefore/>
        <w:widowControl w:val="0"/>
        <w:shd w:val="clear" w:color="auto" w:fill="95B3D7" w:themeFill="accent1" w:themeFillTint="99"/>
        <w:rPr>
          <w:rFonts w:ascii="Calibri" w:hAnsi="Calibri"/>
          <w:i w:val="0"/>
        </w:rPr>
      </w:pPr>
      <w:bookmarkStart w:id="69" w:name="_Toc309810477"/>
      <w:bookmarkStart w:id="70" w:name="_Toc524603050"/>
      <w:r>
        <w:rPr>
          <w:rFonts w:ascii="Calibri" w:hAnsi="Calibri"/>
          <w:i w:val="0"/>
        </w:rPr>
        <w:t xml:space="preserve">AP-50 Geographic Distribution </w:t>
      </w:r>
      <w:bookmarkEnd w:id="69"/>
      <w:r>
        <w:rPr>
          <w:rFonts w:ascii="Calibri" w:hAnsi="Calibri"/>
          <w:i w:val="0"/>
        </w:rPr>
        <w:t>– 91.320(f)</w:t>
      </w:r>
      <w:bookmarkEnd w:id="70"/>
    </w:p>
    <w:p w14:paraId="6EB339CC" w14:textId="77777777" w:rsidR="00564ADD" w:rsidRDefault="00564ADD" w:rsidP="00564ADD">
      <w:pPr>
        <w:widowControl w:val="0"/>
        <w:rPr>
          <w:b/>
          <w:sz w:val="24"/>
          <w:szCs w:val="24"/>
        </w:rPr>
      </w:pPr>
      <w:r>
        <w:rPr>
          <w:b/>
          <w:sz w:val="24"/>
          <w:szCs w:val="24"/>
        </w:rPr>
        <w:t xml:space="preserve">Description of the geographic areas of the state (including areas of low-income and minority concentration) where assistance will be directed </w:t>
      </w:r>
    </w:p>
    <w:p w14:paraId="6CBD3361" w14:textId="77777777" w:rsidR="00564ADD" w:rsidRPr="00E26917" w:rsidRDefault="00564ADD" w:rsidP="00564ADD">
      <w:pPr>
        <w:keepNext/>
        <w:widowControl w:val="0"/>
        <w:spacing w:beforeAutospacing="1" w:afterAutospacing="1"/>
        <w:rPr>
          <w:rFonts w:cs="Arial"/>
          <w:sz w:val="24"/>
          <w:szCs w:val="26"/>
        </w:rPr>
      </w:pPr>
      <w:r w:rsidRPr="00E26917">
        <w:rPr>
          <w:rFonts w:cs="Arial"/>
          <w:sz w:val="24"/>
        </w:rPr>
        <w:t>The State of Kansas has chosen not to target particular geographical areas for special assistance. Rather, Kansas allows all the non-entitlement communities to submit applications in our funding categories on a competitive basis.  The Housing Trust Fund is available statewide, on a competitive basis.  See below for further discussion.</w:t>
      </w:r>
    </w:p>
    <w:p w14:paraId="3168FC36" w14:textId="77777777" w:rsidR="00564ADD" w:rsidRDefault="00564ADD" w:rsidP="00564ADD">
      <w:pPr>
        <w:widowControl w:val="0"/>
        <w:rPr>
          <w:b/>
          <w:sz w:val="24"/>
          <w:szCs w:val="24"/>
        </w:rPr>
      </w:pPr>
      <w:r>
        <w:rPr>
          <w:b/>
          <w:sz w:val="24"/>
          <w:szCs w:val="24"/>
        </w:rPr>
        <w:t xml:space="preserve">Rationale for the priorities for allocating investments geographically </w:t>
      </w:r>
    </w:p>
    <w:p w14:paraId="23A073B8" w14:textId="77777777" w:rsidR="00564ADD" w:rsidRPr="004A268E" w:rsidRDefault="00564ADD" w:rsidP="00564ADD">
      <w:pPr>
        <w:keepNext/>
        <w:widowControl w:val="0"/>
        <w:spacing w:beforeAutospacing="1" w:afterAutospacing="1"/>
        <w:rPr>
          <w:rFonts w:cs="Arial"/>
          <w:sz w:val="24"/>
          <w:szCs w:val="24"/>
        </w:rPr>
      </w:pPr>
      <w:r w:rsidRPr="004A268E">
        <w:rPr>
          <w:rFonts w:cs="Arial"/>
          <w:sz w:val="24"/>
        </w:rPr>
        <w:t>The State of Kansas will distribute development resources in proportion to development needs.  In general, the Kansas Department of Commerce (Commerce), the Kansas Housing Resources Corporation (KHRC), and the Kansas Department of Health and Environment (KDHE) will approve funding for development projects which satisfy one or more of the following criteria: (1) Community Need, (2) Community Effort, (3) Resident Need, (4) Resident Risk, and (5) Preventive Action. </w:t>
      </w:r>
    </w:p>
    <w:p w14:paraId="5D8413FD" w14:textId="77777777" w:rsidR="00564ADD" w:rsidRPr="004A268E" w:rsidRDefault="00564ADD" w:rsidP="00564ADD">
      <w:pPr>
        <w:widowControl w:val="0"/>
        <w:rPr>
          <w:b/>
          <w:sz w:val="28"/>
          <w:szCs w:val="24"/>
        </w:rPr>
      </w:pPr>
      <w:r w:rsidRPr="004A268E">
        <w:rPr>
          <w:rFonts w:cs="Arial"/>
          <w:sz w:val="24"/>
        </w:rPr>
        <w:t>The rating system for the highest priority needs listed above includes points for those applications demonstrating the highest percentage of low- moderate-income persons. It is through this means that the geographic priorities are established for the CDBG program funds that will be awarded where the greatest need exists.</w:t>
      </w:r>
    </w:p>
    <w:p w14:paraId="2EFFA8F4" w14:textId="77777777" w:rsidR="00564ADD" w:rsidRDefault="00564ADD" w:rsidP="00564ADD">
      <w:pPr>
        <w:widowControl w:val="0"/>
        <w:spacing w:line="204" w:lineRule="auto"/>
        <w:rPr>
          <w:b/>
          <w:sz w:val="24"/>
          <w:szCs w:val="24"/>
        </w:rPr>
      </w:pPr>
      <w:r>
        <w:rPr>
          <w:b/>
          <w:sz w:val="24"/>
          <w:szCs w:val="24"/>
        </w:rPr>
        <w:t>Discussion</w:t>
      </w:r>
    </w:p>
    <w:p w14:paraId="21015C87" w14:textId="77777777" w:rsidR="00564ADD" w:rsidRPr="004A268E" w:rsidRDefault="00564ADD" w:rsidP="00564ADD">
      <w:pPr>
        <w:keepNext/>
        <w:widowControl w:val="0"/>
        <w:spacing w:beforeAutospacing="1" w:afterAutospacing="1"/>
        <w:rPr>
          <w:b/>
          <w:sz w:val="28"/>
          <w:szCs w:val="24"/>
        </w:rPr>
      </w:pPr>
      <w:r w:rsidRPr="004A268E">
        <w:rPr>
          <w:rFonts w:cs="Arial"/>
          <w:sz w:val="24"/>
        </w:rPr>
        <w:t>The Housing Trust Fund applications will be evaluated for local need. Geographic priorities will be communities (cities, counties, geographic regions, neighborhoods) with significantly higher rates of poverty or shortage of housing for Extremely Low Income (ELI) households compared to other locations. A market study is recommended and is required for projects of 12 or more units. For consistency of information, the American Factfinder “Community Facts” feature on the U.S. Census website will be used to measure these factors [poverty rate, and shortage of housing].  </w:t>
      </w:r>
      <w:hyperlink r:id="rId59" w:history="1">
        <w:r w:rsidRPr="00B9401A">
          <w:rPr>
            <w:rStyle w:val="Hyperlink"/>
            <w:rFonts w:cs="Arial"/>
            <w:sz w:val="24"/>
          </w:rPr>
          <w:t>http://factfinder.census.gov/faces/nav/jsf/pages/index.xhtml</w:t>
        </w:r>
      </w:hyperlink>
      <w:r>
        <w:rPr>
          <w:rFonts w:cs="Arial"/>
          <w:sz w:val="24"/>
        </w:rPr>
        <w:t xml:space="preserve"> </w:t>
      </w:r>
    </w:p>
    <w:p w14:paraId="4C47703F" w14:textId="77777777" w:rsidR="00564ADD" w:rsidRPr="004A268E" w:rsidRDefault="00564ADD" w:rsidP="00A121EE">
      <w:pPr>
        <w:numPr>
          <w:ilvl w:val="0"/>
          <w:numId w:val="57"/>
        </w:numPr>
        <w:spacing w:beforeAutospacing="1" w:afterAutospacing="1"/>
        <w:rPr>
          <w:sz w:val="24"/>
        </w:rPr>
      </w:pPr>
      <w:r w:rsidRPr="004A268E">
        <w:rPr>
          <w:rFonts w:cs="Arial"/>
          <w:sz w:val="24"/>
        </w:rPr>
        <w:t>Applications will receive higher scoring if located in a city or county with more than 20% of total people living below the poverty line. Applications will receive higher scoring if 30% or more of households in the community are paying gross rent equal to 35% or more of household income. Applications demonstrating a greater need for units affordable to ELI households, as supported by a market study or analysis will be prioritized over those which have lesser need or have not clearly documented the local market. </w:t>
      </w:r>
    </w:p>
    <w:p w14:paraId="6BAA0C7B" w14:textId="77777777" w:rsidR="00564ADD" w:rsidRDefault="00564ADD" w:rsidP="00564ADD">
      <w:pPr>
        <w:keepNext/>
        <w:widowControl w:val="0"/>
        <w:spacing w:beforeAutospacing="1" w:afterAutospacing="1"/>
        <w:rPr>
          <w:rFonts w:cs="Arial"/>
          <w:sz w:val="24"/>
        </w:rPr>
      </w:pPr>
      <w:r w:rsidRPr="004A268E">
        <w:rPr>
          <w:rFonts w:cs="Arial"/>
          <w:sz w:val="24"/>
        </w:rPr>
        <w:t>Age of local housing stock: Subject to housing need, applications will score higher in communities where more than 80% of local housing stock was built prior to 1980.</w:t>
      </w:r>
      <w:r>
        <w:rPr>
          <w:rFonts w:cs="Arial"/>
          <w:sz w:val="24"/>
        </w:rPr>
        <w:t xml:space="preserve"> </w:t>
      </w:r>
    </w:p>
    <w:p w14:paraId="75ADC497" w14:textId="77777777" w:rsidR="00564ADD" w:rsidRPr="004A268E" w:rsidRDefault="00564ADD" w:rsidP="00564ADD">
      <w:pPr>
        <w:keepNext/>
        <w:widowControl w:val="0"/>
        <w:spacing w:beforeAutospacing="1" w:afterAutospacing="1"/>
        <w:rPr>
          <w:b/>
          <w:sz w:val="28"/>
          <w:szCs w:val="24"/>
        </w:rPr>
      </w:pPr>
      <w:r>
        <w:rPr>
          <w:rFonts w:cs="Arial"/>
          <w:sz w:val="24"/>
        </w:rPr>
        <w:t xml:space="preserve">Please see the HTF section (Program #11) in AP-30 Methods of Distribution for a full list of criteria in prioritizing applications. </w:t>
      </w:r>
    </w:p>
    <w:p w14:paraId="265BC314" w14:textId="77777777" w:rsidR="00564ADD" w:rsidRDefault="00564ADD" w:rsidP="00564ADD">
      <w:pPr>
        <w:rPr>
          <w:rFonts w:cs="Arial"/>
        </w:rPr>
      </w:pPr>
    </w:p>
    <w:p w14:paraId="1F6B82C4" w14:textId="77777777" w:rsidR="00564ADD" w:rsidRDefault="00564ADD" w:rsidP="0068663E">
      <w:pPr>
        <w:pStyle w:val="Heading2"/>
        <w:keepNext w:val="0"/>
        <w:widowControl w:val="0"/>
        <w:shd w:val="clear" w:color="auto" w:fill="95B3D7" w:themeFill="accent1" w:themeFillTint="99"/>
        <w:rPr>
          <w:rFonts w:ascii="Calibri" w:hAnsi="Calibri"/>
          <w:i w:val="0"/>
        </w:rPr>
      </w:pPr>
      <w:bookmarkStart w:id="71" w:name="_Toc524603051"/>
      <w:r>
        <w:rPr>
          <w:rFonts w:ascii="Calibri" w:hAnsi="Calibri"/>
          <w:i w:val="0"/>
        </w:rPr>
        <w:t>AP-55 Affordable Housing – 24 CFR 91.320(g)</w:t>
      </w:r>
      <w:bookmarkEnd w:id="71"/>
    </w:p>
    <w:p w14:paraId="7A84561E" w14:textId="77777777" w:rsidR="00564ADD" w:rsidRDefault="00564ADD" w:rsidP="00564ADD">
      <w:pPr>
        <w:widowControl w:val="0"/>
        <w:spacing w:line="204" w:lineRule="auto"/>
        <w:rPr>
          <w:b/>
          <w:sz w:val="24"/>
          <w:szCs w:val="24"/>
        </w:rPr>
      </w:pPr>
      <w:r>
        <w:rPr>
          <w:b/>
          <w:sz w:val="24"/>
          <w:szCs w:val="24"/>
        </w:rPr>
        <w:t xml:space="preserve">Introduction: </w:t>
      </w:r>
    </w:p>
    <w:p w14:paraId="41E8B097" w14:textId="77777777" w:rsidR="00564ADD" w:rsidRPr="00612EAF" w:rsidRDefault="00564ADD" w:rsidP="00564ADD">
      <w:pPr>
        <w:keepNext/>
        <w:widowControl w:val="0"/>
        <w:spacing w:beforeAutospacing="1" w:afterAutospacing="1"/>
        <w:rPr>
          <w:b/>
          <w:sz w:val="28"/>
          <w:szCs w:val="24"/>
        </w:rPr>
      </w:pPr>
      <w:r w:rsidRPr="00612EAF">
        <w:rPr>
          <w:sz w:val="24"/>
        </w:rPr>
        <w:t>The one-year goals vary by program and the population to be served.  Some of the data in the following tables may overlap due to some programs that assist households in addition to individuals.  Those served by the Tenant Based Rental Assistance (TBRA) program, for instance, may be homeless receiving rental assistance, in addition to those receiving TBRA who aren't homeless but have special needs.</w:t>
      </w:r>
    </w:p>
    <w:tbl>
      <w:tblPr>
        <w:tblW w:w="7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254"/>
        <w:gridCol w:w="3600"/>
      </w:tblGrid>
      <w:tr w:rsidR="00564ADD" w14:paraId="11A4248D" w14:textId="77777777" w:rsidTr="009D1558">
        <w:trPr>
          <w:cantSplit/>
          <w:trHeight w:val="305"/>
          <w:tblHeader/>
        </w:trPr>
        <w:tc>
          <w:tcPr>
            <w:tcW w:w="7170" w:type="dxa"/>
            <w:gridSpan w:val="3"/>
          </w:tcPr>
          <w:p w14:paraId="16CB55B8" w14:textId="77777777" w:rsidR="00564ADD" w:rsidRDefault="00564ADD" w:rsidP="009D1558">
            <w:pPr>
              <w:widowControl w:val="0"/>
              <w:spacing w:after="0" w:line="240" w:lineRule="auto"/>
              <w:jc w:val="center"/>
              <w:rPr>
                <w:b/>
              </w:rPr>
            </w:pPr>
            <w:r>
              <w:rPr>
                <w:b/>
              </w:rPr>
              <w:t>One Year Goals for the Number of Households to be Supported</w:t>
            </w:r>
          </w:p>
        </w:tc>
      </w:tr>
      <w:tr w:rsidR="00564ADD" w14:paraId="612B45FD" w14:textId="77777777" w:rsidTr="009D1558">
        <w:trPr>
          <w:cantSplit/>
          <w:trHeight w:val="268"/>
        </w:trPr>
        <w:tc>
          <w:tcPr>
            <w:tcW w:w="3316" w:type="dxa"/>
            <w:tcBorders>
              <w:bottom w:val="nil"/>
              <w:right w:val="nil"/>
            </w:tcBorders>
          </w:tcPr>
          <w:p w14:paraId="611AEB3F" w14:textId="77777777" w:rsidR="00564ADD" w:rsidRDefault="00564ADD" w:rsidP="009D1558">
            <w:pPr>
              <w:widowControl w:val="0"/>
              <w:spacing w:after="0" w:line="240" w:lineRule="auto"/>
              <w:rPr>
                <w:szCs w:val="4"/>
              </w:rPr>
            </w:pPr>
            <w:r>
              <w:t>Homeless</w:t>
            </w:r>
          </w:p>
        </w:tc>
        <w:tc>
          <w:tcPr>
            <w:tcW w:w="254" w:type="dxa"/>
            <w:tcBorders>
              <w:left w:val="nil"/>
              <w:bottom w:val="nil"/>
            </w:tcBorders>
          </w:tcPr>
          <w:p w14:paraId="60BFA84D" w14:textId="77777777" w:rsidR="00564ADD" w:rsidRDefault="00564ADD" w:rsidP="009D1558">
            <w:pPr>
              <w:widowControl w:val="0"/>
              <w:spacing w:after="0" w:line="240" w:lineRule="auto"/>
            </w:pPr>
          </w:p>
        </w:tc>
        <w:tc>
          <w:tcPr>
            <w:tcW w:w="3600" w:type="dxa"/>
            <w:tcBorders>
              <w:left w:val="nil"/>
              <w:bottom w:val="nil"/>
            </w:tcBorders>
          </w:tcPr>
          <w:p w14:paraId="33A878B3" w14:textId="2359241E" w:rsidR="00564ADD" w:rsidRDefault="0073622D" w:rsidP="009D1558">
            <w:pPr>
              <w:widowControl w:val="0"/>
              <w:spacing w:after="0" w:line="240" w:lineRule="auto"/>
            </w:pPr>
            <w:r>
              <w:t>200</w:t>
            </w:r>
          </w:p>
        </w:tc>
      </w:tr>
      <w:tr w:rsidR="00564ADD" w14:paraId="1B89787A" w14:textId="77777777" w:rsidTr="009D1558">
        <w:trPr>
          <w:cantSplit/>
          <w:trHeight w:val="254"/>
        </w:trPr>
        <w:tc>
          <w:tcPr>
            <w:tcW w:w="3316" w:type="dxa"/>
            <w:tcBorders>
              <w:bottom w:val="nil"/>
              <w:right w:val="nil"/>
            </w:tcBorders>
          </w:tcPr>
          <w:p w14:paraId="5428E861" w14:textId="77777777" w:rsidR="00564ADD" w:rsidRDefault="00564ADD" w:rsidP="009D1558">
            <w:pPr>
              <w:widowControl w:val="0"/>
              <w:spacing w:after="0" w:line="240" w:lineRule="auto"/>
              <w:rPr>
                <w:szCs w:val="4"/>
              </w:rPr>
            </w:pPr>
            <w:r>
              <w:t>Non-Homeless</w:t>
            </w:r>
          </w:p>
        </w:tc>
        <w:tc>
          <w:tcPr>
            <w:tcW w:w="254" w:type="dxa"/>
            <w:tcBorders>
              <w:left w:val="nil"/>
              <w:bottom w:val="nil"/>
            </w:tcBorders>
          </w:tcPr>
          <w:p w14:paraId="4067B98A" w14:textId="77777777" w:rsidR="00564ADD" w:rsidRDefault="00564ADD" w:rsidP="009D1558">
            <w:pPr>
              <w:widowControl w:val="0"/>
              <w:spacing w:after="0" w:line="240" w:lineRule="auto"/>
            </w:pPr>
          </w:p>
        </w:tc>
        <w:tc>
          <w:tcPr>
            <w:tcW w:w="3600" w:type="dxa"/>
            <w:tcBorders>
              <w:left w:val="nil"/>
              <w:bottom w:val="nil"/>
            </w:tcBorders>
          </w:tcPr>
          <w:p w14:paraId="6645B6FA" w14:textId="7127E06E" w:rsidR="00564ADD" w:rsidRDefault="0073622D" w:rsidP="009D1558">
            <w:pPr>
              <w:widowControl w:val="0"/>
              <w:spacing w:after="0" w:line="240" w:lineRule="auto"/>
            </w:pPr>
            <w:r>
              <w:t>700</w:t>
            </w:r>
          </w:p>
        </w:tc>
      </w:tr>
      <w:tr w:rsidR="00564ADD" w14:paraId="4CFBDB02" w14:textId="77777777" w:rsidTr="009D1558">
        <w:trPr>
          <w:cantSplit/>
          <w:trHeight w:val="268"/>
        </w:trPr>
        <w:tc>
          <w:tcPr>
            <w:tcW w:w="3316" w:type="dxa"/>
            <w:tcBorders>
              <w:right w:val="nil"/>
            </w:tcBorders>
          </w:tcPr>
          <w:p w14:paraId="03DFAA21" w14:textId="77777777" w:rsidR="00564ADD" w:rsidRDefault="00564ADD" w:rsidP="009D1558">
            <w:pPr>
              <w:widowControl w:val="0"/>
              <w:spacing w:after="0" w:line="240" w:lineRule="auto"/>
              <w:rPr>
                <w:szCs w:val="4"/>
              </w:rPr>
            </w:pPr>
            <w:r>
              <w:t>Special-Needs</w:t>
            </w:r>
          </w:p>
        </w:tc>
        <w:tc>
          <w:tcPr>
            <w:tcW w:w="254" w:type="dxa"/>
            <w:tcBorders>
              <w:left w:val="nil"/>
            </w:tcBorders>
          </w:tcPr>
          <w:p w14:paraId="368E643E" w14:textId="77777777" w:rsidR="00564ADD" w:rsidRDefault="00564ADD" w:rsidP="009D1558">
            <w:pPr>
              <w:widowControl w:val="0"/>
              <w:spacing w:after="0" w:line="240" w:lineRule="auto"/>
            </w:pPr>
          </w:p>
        </w:tc>
        <w:tc>
          <w:tcPr>
            <w:tcW w:w="3600" w:type="dxa"/>
            <w:tcBorders>
              <w:left w:val="nil"/>
            </w:tcBorders>
          </w:tcPr>
          <w:p w14:paraId="0FA87777" w14:textId="088E62DC" w:rsidR="00564ADD" w:rsidRDefault="0073622D" w:rsidP="009D1558">
            <w:pPr>
              <w:widowControl w:val="0"/>
              <w:spacing w:after="0" w:line="240" w:lineRule="auto"/>
            </w:pPr>
            <w:r>
              <w:t>200</w:t>
            </w:r>
          </w:p>
        </w:tc>
      </w:tr>
      <w:tr w:rsidR="00564ADD" w14:paraId="1C228C3A" w14:textId="77777777" w:rsidTr="009D1558">
        <w:trPr>
          <w:cantSplit/>
          <w:trHeight w:val="254"/>
        </w:trPr>
        <w:tc>
          <w:tcPr>
            <w:tcW w:w="3316" w:type="dxa"/>
            <w:tcBorders>
              <w:right w:val="nil"/>
            </w:tcBorders>
          </w:tcPr>
          <w:p w14:paraId="750DC034" w14:textId="77777777" w:rsidR="00564ADD" w:rsidRDefault="00564ADD" w:rsidP="009D1558">
            <w:pPr>
              <w:widowControl w:val="0"/>
              <w:spacing w:after="0" w:line="240" w:lineRule="auto"/>
            </w:pPr>
            <w:r>
              <w:t>Total</w:t>
            </w:r>
          </w:p>
        </w:tc>
        <w:tc>
          <w:tcPr>
            <w:tcW w:w="254" w:type="dxa"/>
            <w:tcBorders>
              <w:left w:val="nil"/>
            </w:tcBorders>
          </w:tcPr>
          <w:p w14:paraId="2B937AFC" w14:textId="77777777" w:rsidR="00564ADD" w:rsidRDefault="00564ADD" w:rsidP="009D1558">
            <w:pPr>
              <w:widowControl w:val="0"/>
              <w:spacing w:after="0" w:line="240" w:lineRule="auto"/>
            </w:pPr>
          </w:p>
        </w:tc>
        <w:tc>
          <w:tcPr>
            <w:tcW w:w="3600" w:type="dxa"/>
            <w:tcBorders>
              <w:left w:val="nil"/>
            </w:tcBorders>
          </w:tcPr>
          <w:p w14:paraId="53E1E532" w14:textId="1DD10933" w:rsidR="00564ADD" w:rsidRDefault="0073622D" w:rsidP="009D1558">
            <w:pPr>
              <w:widowControl w:val="0"/>
              <w:spacing w:after="0" w:line="240" w:lineRule="auto"/>
            </w:pPr>
            <w:r>
              <w:t>1,100</w:t>
            </w:r>
          </w:p>
        </w:tc>
      </w:tr>
    </w:tbl>
    <w:p w14:paraId="746A5779" w14:textId="0FB48421" w:rsidR="00564ADD" w:rsidRDefault="00564ADD" w:rsidP="00564AD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8</w:t>
      </w:r>
      <w:r>
        <w:rPr>
          <w:rFonts w:asciiTheme="minorHAnsi" w:hAnsiTheme="minorHAnsi"/>
        </w:rPr>
        <w:fldChar w:fldCharType="end"/>
      </w:r>
      <w:r>
        <w:rPr>
          <w:rFonts w:asciiTheme="minorHAnsi" w:hAnsiTheme="minorHAnsi"/>
        </w:rPr>
        <w:t xml:space="preserve"> - One Year Goals for Affordable Housing by Support Requirement</w:t>
      </w:r>
    </w:p>
    <w:p w14:paraId="2EAAA4F5" w14:textId="77777777" w:rsidR="00564ADD" w:rsidRDefault="00564ADD" w:rsidP="00564ADD">
      <w:pPr>
        <w:rPr>
          <w:b/>
          <w:sz w:val="20"/>
          <w:szCs w:val="20"/>
        </w:rPr>
      </w:pPr>
    </w:p>
    <w:tbl>
      <w:tblPr>
        <w:tblW w:w="69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0"/>
        <w:gridCol w:w="3387"/>
      </w:tblGrid>
      <w:tr w:rsidR="00564ADD" w14:paraId="5349BC61" w14:textId="77777777" w:rsidTr="009D1558">
        <w:trPr>
          <w:cantSplit/>
          <w:trHeight w:val="224"/>
        </w:trPr>
        <w:tc>
          <w:tcPr>
            <w:tcW w:w="6957" w:type="dxa"/>
            <w:gridSpan w:val="2"/>
            <w:tcBorders>
              <w:bottom w:val="nil"/>
            </w:tcBorders>
          </w:tcPr>
          <w:p w14:paraId="63872956" w14:textId="77777777" w:rsidR="00564ADD" w:rsidRDefault="00564ADD" w:rsidP="009D1558">
            <w:pPr>
              <w:widowControl w:val="0"/>
              <w:spacing w:after="0" w:line="240" w:lineRule="auto"/>
            </w:pPr>
            <w:r>
              <w:rPr>
                <w:b/>
              </w:rPr>
              <w:t>One Year Goals for the Number of Households Supported Through</w:t>
            </w:r>
          </w:p>
        </w:tc>
      </w:tr>
      <w:tr w:rsidR="00564ADD" w14:paraId="162EC52F" w14:textId="77777777" w:rsidTr="009D1558">
        <w:trPr>
          <w:cantSplit/>
          <w:trHeight w:val="224"/>
        </w:trPr>
        <w:tc>
          <w:tcPr>
            <w:tcW w:w="3570" w:type="dxa"/>
            <w:tcBorders>
              <w:bottom w:val="single" w:sz="4" w:space="0" w:color="auto"/>
              <w:right w:val="single" w:sz="4" w:space="0" w:color="auto"/>
            </w:tcBorders>
          </w:tcPr>
          <w:p w14:paraId="4ECCC3E8" w14:textId="77777777" w:rsidR="00564ADD" w:rsidRDefault="00564ADD" w:rsidP="009D1558">
            <w:pPr>
              <w:widowControl w:val="0"/>
              <w:spacing w:after="0" w:line="240" w:lineRule="auto"/>
              <w:rPr>
                <w:szCs w:val="4"/>
              </w:rPr>
            </w:pPr>
            <w:r>
              <w:t>Rental Assistance</w:t>
            </w:r>
          </w:p>
        </w:tc>
        <w:tc>
          <w:tcPr>
            <w:tcW w:w="3387" w:type="dxa"/>
            <w:tcBorders>
              <w:left w:val="single" w:sz="4" w:space="0" w:color="auto"/>
              <w:bottom w:val="nil"/>
            </w:tcBorders>
          </w:tcPr>
          <w:p w14:paraId="20847FFD" w14:textId="065CAE5E" w:rsidR="00564ADD" w:rsidRDefault="0073622D" w:rsidP="009D1558">
            <w:pPr>
              <w:widowControl w:val="0"/>
              <w:spacing w:after="0" w:line="240" w:lineRule="auto"/>
            </w:pPr>
            <w:r>
              <w:t>800</w:t>
            </w:r>
          </w:p>
        </w:tc>
      </w:tr>
      <w:tr w:rsidR="00564ADD" w14:paraId="54116283" w14:textId="77777777" w:rsidTr="009D1558">
        <w:trPr>
          <w:cantSplit/>
          <w:trHeight w:val="212"/>
        </w:trPr>
        <w:tc>
          <w:tcPr>
            <w:tcW w:w="3570" w:type="dxa"/>
            <w:tcBorders>
              <w:bottom w:val="single" w:sz="4" w:space="0" w:color="auto"/>
              <w:right w:val="single" w:sz="4" w:space="0" w:color="auto"/>
            </w:tcBorders>
          </w:tcPr>
          <w:p w14:paraId="1B4F5F5D" w14:textId="77777777" w:rsidR="00564ADD" w:rsidRDefault="00564ADD" w:rsidP="009D1558">
            <w:pPr>
              <w:widowControl w:val="0"/>
              <w:spacing w:after="0" w:line="240" w:lineRule="auto"/>
              <w:rPr>
                <w:szCs w:val="4"/>
              </w:rPr>
            </w:pPr>
            <w:r>
              <w:t>The Production of New Units</w:t>
            </w:r>
          </w:p>
        </w:tc>
        <w:tc>
          <w:tcPr>
            <w:tcW w:w="3387" w:type="dxa"/>
            <w:tcBorders>
              <w:left w:val="single" w:sz="4" w:space="0" w:color="auto"/>
              <w:bottom w:val="nil"/>
            </w:tcBorders>
          </w:tcPr>
          <w:p w14:paraId="4F0A2A9B" w14:textId="2D4EF383" w:rsidR="00564ADD" w:rsidRDefault="0073622D" w:rsidP="009D1558">
            <w:pPr>
              <w:widowControl w:val="0"/>
              <w:spacing w:after="0" w:line="240" w:lineRule="auto"/>
            </w:pPr>
            <w:r>
              <w:t>41</w:t>
            </w:r>
          </w:p>
        </w:tc>
      </w:tr>
      <w:tr w:rsidR="00564ADD" w14:paraId="6F534BCC" w14:textId="77777777" w:rsidTr="009D1558">
        <w:trPr>
          <w:cantSplit/>
          <w:trHeight w:val="224"/>
        </w:trPr>
        <w:tc>
          <w:tcPr>
            <w:tcW w:w="3570" w:type="dxa"/>
            <w:tcBorders>
              <w:right w:val="single" w:sz="4" w:space="0" w:color="auto"/>
            </w:tcBorders>
          </w:tcPr>
          <w:p w14:paraId="39FD0C23" w14:textId="77777777" w:rsidR="00564ADD" w:rsidRDefault="00564ADD" w:rsidP="009D1558">
            <w:pPr>
              <w:widowControl w:val="0"/>
              <w:spacing w:after="0" w:line="240" w:lineRule="auto"/>
              <w:rPr>
                <w:szCs w:val="4"/>
              </w:rPr>
            </w:pPr>
            <w:r>
              <w:t>Rehab of Existing Units</w:t>
            </w:r>
          </w:p>
        </w:tc>
        <w:tc>
          <w:tcPr>
            <w:tcW w:w="3387" w:type="dxa"/>
            <w:tcBorders>
              <w:left w:val="single" w:sz="4" w:space="0" w:color="auto"/>
            </w:tcBorders>
          </w:tcPr>
          <w:p w14:paraId="3BC77EAB" w14:textId="48E0A86E" w:rsidR="00564ADD" w:rsidRDefault="0073622D" w:rsidP="009D1558">
            <w:pPr>
              <w:widowControl w:val="0"/>
              <w:spacing w:after="0" w:line="240" w:lineRule="auto"/>
            </w:pPr>
            <w:r>
              <w:t>9</w:t>
            </w:r>
          </w:p>
        </w:tc>
      </w:tr>
      <w:tr w:rsidR="00564ADD" w14:paraId="55A12B71" w14:textId="77777777" w:rsidTr="009D1558">
        <w:trPr>
          <w:cantSplit/>
          <w:trHeight w:val="212"/>
        </w:trPr>
        <w:tc>
          <w:tcPr>
            <w:tcW w:w="3570" w:type="dxa"/>
            <w:tcBorders>
              <w:right w:val="single" w:sz="4" w:space="0" w:color="auto"/>
            </w:tcBorders>
          </w:tcPr>
          <w:p w14:paraId="698FBD9A" w14:textId="77777777" w:rsidR="00564ADD" w:rsidRDefault="00564ADD" w:rsidP="009D1558">
            <w:pPr>
              <w:widowControl w:val="0"/>
              <w:spacing w:after="0" w:line="240" w:lineRule="auto"/>
            </w:pPr>
            <w:r>
              <w:t>Acquisition of Existing Units</w:t>
            </w:r>
          </w:p>
        </w:tc>
        <w:tc>
          <w:tcPr>
            <w:tcW w:w="3387" w:type="dxa"/>
            <w:tcBorders>
              <w:left w:val="single" w:sz="4" w:space="0" w:color="auto"/>
            </w:tcBorders>
          </w:tcPr>
          <w:p w14:paraId="4A69BDBF" w14:textId="3A78E32E" w:rsidR="00564ADD" w:rsidRDefault="0073622D" w:rsidP="009D1558">
            <w:pPr>
              <w:widowControl w:val="0"/>
              <w:spacing w:after="0" w:line="240" w:lineRule="auto"/>
            </w:pPr>
            <w:r>
              <w:t>70</w:t>
            </w:r>
          </w:p>
        </w:tc>
      </w:tr>
      <w:tr w:rsidR="00564ADD" w14:paraId="6888BFAC" w14:textId="77777777" w:rsidTr="009D1558">
        <w:trPr>
          <w:cantSplit/>
          <w:trHeight w:val="224"/>
        </w:trPr>
        <w:tc>
          <w:tcPr>
            <w:tcW w:w="3570" w:type="dxa"/>
            <w:tcBorders>
              <w:right w:val="single" w:sz="4" w:space="0" w:color="auto"/>
            </w:tcBorders>
          </w:tcPr>
          <w:p w14:paraId="230C6CD6" w14:textId="77777777" w:rsidR="00564ADD" w:rsidRDefault="00564ADD" w:rsidP="009D1558">
            <w:pPr>
              <w:widowControl w:val="0"/>
              <w:spacing w:after="0" w:line="240" w:lineRule="auto"/>
            </w:pPr>
            <w:r>
              <w:t>Total</w:t>
            </w:r>
          </w:p>
        </w:tc>
        <w:tc>
          <w:tcPr>
            <w:tcW w:w="3387" w:type="dxa"/>
            <w:tcBorders>
              <w:left w:val="single" w:sz="4" w:space="0" w:color="auto"/>
            </w:tcBorders>
          </w:tcPr>
          <w:p w14:paraId="2EB81EF7" w14:textId="32ECE017" w:rsidR="00564ADD" w:rsidRDefault="0073622D" w:rsidP="009D1558">
            <w:pPr>
              <w:widowControl w:val="0"/>
              <w:spacing w:after="0" w:line="240" w:lineRule="auto"/>
            </w:pPr>
            <w:r>
              <w:t>910</w:t>
            </w:r>
          </w:p>
        </w:tc>
      </w:tr>
    </w:tbl>
    <w:p w14:paraId="612E106F" w14:textId="67273895" w:rsidR="00564ADD" w:rsidRDefault="00564ADD" w:rsidP="00564AD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29C7">
        <w:rPr>
          <w:rFonts w:asciiTheme="minorHAnsi" w:hAnsiTheme="minorHAnsi"/>
          <w:noProof/>
        </w:rPr>
        <w:t>9</w:t>
      </w:r>
      <w:r>
        <w:rPr>
          <w:rFonts w:asciiTheme="minorHAnsi" w:hAnsiTheme="minorHAnsi"/>
        </w:rPr>
        <w:fldChar w:fldCharType="end"/>
      </w:r>
      <w:r>
        <w:rPr>
          <w:rFonts w:asciiTheme="minorHAnsi" w:hAnsiTheme="minorHAnsi"/>
        </w:rPr>
        <w:t xml:space="preserve"> - One Year Goals for Affordable Housing by Support Type</w:t>
      </w:r>
    </w:p>
    <w:p w14:paraId="3F396231" w14:textId="77777777" w:rsidR="00564ADD" w:rsidRDefault="00564ADD" w:rsidP="00564ADD">
      <w:pPr>
        <w:widowControl w:val="0"/>
        <w:spacing w:line="204" w:lineRule="auto"/>
        <w:rPr>
          <w:b/>
          <w:sz w:val="24"/>
          <w:szCs w:val="24"/>
        </w:rPr>
      </w:pPr>
    </w:p>
    <w:p w14:paraId="1778D2E9" w14:textId="77777777" w:rsidR="00564ADD" w:rsidRDefault="00564ADD" w:rsidP="00564ADD">
      <w:pPr>
        <w:widowControl w:val="0"/>
        <w:spacing w:line="204" w:lineRule="auto"/>
        <w:rPr>
          <w:b/>
          <w:sz w:val="24"/>
          <w:szCs w:val="24"/>
        </w:rPr>
      </w:pPr>
      <w:r>
        <w:rPr>
          <w:b/>
          <w:sz w:val="24"/>
          <w:szCs w:val="24"/>
        </w:rPr>
        <w:t xml:space="preserve">Discussion: </w:t>
      </w:r>
    </w:p>
    <w:p w14:paraId="113FF7B5" w14:textId="77777777" w:rsidR="00564ADD" w:rsidRPr="00D915CA" w:rsidRDefault="00564ADD" w:rsidP="00564ADD">
      <w:pPr>
        <w:keepNext/>
        <w:widowControl w:val="0"/>
        <w:spacing w:beforeAutospacing="1" w:afterAutospacing="1"/>
        <w:rPr>
          <w:b/>
          <w:sz w:val="28"/>
          <w:szCs w:val="24"/>
        </w:rPr>
      </w:pPr>
      <w:r w:rsidRPr="00D915CA">
        <w:rPr>
          <w:rFonts w:cs="Arial"/>
          <w:sz w:val="24"/>
        </w:rPr>
        <w:t>The above goals and metrics are reported on annually in the Consolidated Annual Performance Report (CAPER).</w:t>
      </w:r>
    </w:p>
    <w:p w14:paraId="5E0EA408" w14:textId="77777777" w:rsidR="00564ADD" w:rsidRDefault="00564ADD" w:rsidP="00564ADD">
      <w:pPr>
        <w:rPr>
          <w:rFonts w:cs="Arial"/>
        </w:rPr>
      </w:pPr>
    </w:p>
    <w:p w14:paraId="72B7B978" w14:textId="77777777" w:rsidR="00564ADD" w:rsidRDefault="00564ADD" w:rsidP="00564ADD">
      <w:pPr>
        <w:rPr>
          <w:rFonts w:cs="Arial"/>
        </w:rPr>
      </w:pPr>
    </w:p>
    <w:p w14:paraId="0D532662" w14:textId="77777777" w:rsidR="00564ADD" w:rsidRDefault="00564ADD" w:rsidP="00564ADD">
      <w:pPr>
        <w:pStyle w:val="Heading2"/>
        <w:keepNext w:val="0"/>
        <w:pageBreakBefore/>
        <w:widowControl w:val="0"/>
        <w:rPr>
          <w:rFonts w:ascii="Calibri" w:hAnsi="Calibri"/>
          <w:i w:val="0"/>
        </w:rPr>
      </w:pPr>
      <w:bookmarkStart w:id="72" w:name="_Toc524603052"/>
      <w:r>
        <w:rPr>
          <w:rFonts w:ascii="Calibri" w:hAnsi="Calibri"/>
          <w:i w:val="0"/>
        </w:rPr>
        <w:t>AP-60 Public Housing - 24 CFR 91.320(j)</w:t>
      </w:r>
      <w:bookmarkEnd w:id="72"/>
    </w:p>
    <w:p w14:paraId="49F445C2" w14:textId="77777777" w:rsidR="00564ADD" w:rsidRDefault="00564ADD" w:rsidP="00564ADD">
      <w:pPr>
        <w:widowControl w:val="0"/>
        <w:spacing w:line="204" w:lineRule="auto"/>
        <w:rPr>
          <w:b/>
          <w:sz w:val="24"/>
          <w:szCs w:val="24"/>
        </w:rPr>
      </w:pPr>
      <w:r>
        <w:rPr>
          <w:b/>
          <w:sz w:val="24"/>
          <w:szCs w:val="24"/>
        </w:rPr>
        <w:t xml:space="preserve">Introduction: </w:t>
      </w:r>
    </w:p>
    <w:p w14:paraId="3B24FA3F" w14:textId="77777777" w:rsidR="00564ADD" w:rsidRPr="00C70CCE" w:rsidRDefault="00564ADD" w:rsidP="00564ADD">
      <w:pPr>
        <w:keepNext/>
        <w:widowControl w:val="0"/>
        <w:spacing w:beforeAutospacing="1" w:afterAutospacing="1"/>
        <w:rPr>
          <w:b/>
          <w:sz w:val="28"/>
          <w:szCs w:val="24"/>
        </w:rPr>
      </w:pPr>
      <w:r w:rsidRPr="00C70CCE">
        <w:rPr>
          <w:rFonts w:cs="Arial"/>
          <w:sz w:val="24"/>
        </w:rPr>
        <w:t>The State will from time to time provide support and technical assistance to PHAs upon local request.</w:t>
      </w:r>
    </w:p>
    <w:p w14:paraId="14A10367" w14:textId="77777777" w:rsidR="00564ADD" w:rsidRPr="00C70CCE" w:rsidRDefault="00564ADD" w:rsidP="00564ADD">
      <w:pPr>
        <w:keepNext/>
        <w:widowControl w:val="0"/>
        <w:spacing w:beforeAutospacing="1" w:afterAutospacing="1"/>
        <w:rPr>
          <w:b/>
          <w:sz w:val="28"/>
          <w:szCs w:val="24"/>
        </w:rPr>
      </w:pPr>
      <w:r w:rsidRPr="00C70CCE">
        <w:rPr>
          <w:rFonts w:cs="Arial"/>
          <w:sz w:val="24"/>
        </w:rPr>
        <w:t>Specific financial assistance to PHAs under any of the Consolidated Plan formula grant programs will be considered as any other application competing for those funds, unless the administering State agency determines that both cause and authority exist to prioritize such funding under the current Consolidated Plan and the program's guidelines.</w:t>
      </w:r>
    </w:p>
    <w:p w14:paraId="000C48F5" w14:textId="77777777" w:rsidR="00564ADD" w:rsidRDefault="00564ADD" w:rsidP="00564ADD">
      <w:pPr>
        <w:widowControl w:val="0"/>
        <w:rPr>
          <w:b/>
          <w:sz w:val="24"/>
          <w:szCs w:val="24"/>
        </w:rPr>
      </w:pPr>
      <w:r>
        <w:rPr>
          <w:b/>
          <w:sz w:val="24"/>
          <w:szCs w:val="24"/>
        </w:rPr>
        <w:t>Actions planned during the next year to address the needs to public housing</w:t>
      </w:r>
    </w:p>
    <w:p w14:paraId="72579DDE" w14:textId="77777777" w:rsidR="00564ADD" w:rsidRPr="006200D5" w:rsidRDefault="00564ADD" w:rsidP="00564ADD">
      <w:pPr>
        <w:keepNext/>
        <w:widowControl w:val="0"/>
        <w:spacing w:beforeAutospacing="1" w:afterAutospacing="1"/>
        <w:rPr>
          <w:rFonts w:cs="Arial"/>
          <w:sz w:val="24"/>
        </w:rPr>
      </w:pPr>
      <w:r w:rsidRPr="006200D5">
        <w:rPr>
          <w:rFonts w:cs="Arial"/>
          <w:sz w:val="24"/>
        </w:rPr>
        <w:t>This Annual Plan is for a State grantee.  No summary information is available on the actions planned for the multiple public housing authorities in Kansas.</w:t>
      </w:r>
    </w:p>
    <w:p w14:paraId="265036B4" w14:textId="77777777" w:rsidR="00564ADD" w:rsidRDefault="00564ADD" w:rsidP="00564ADD">
      <w:pPr>
        <w:widowControl w:val="0"/>
        <w:rPr>
          <w:b/>
          <w:sz w:val="24"/>
          <w:szCs w:val="24"/>
        </w:rPr>
      </w:pPr>
      <w:r>
        <w:rPr>
          <w:b/>
          <w:sz w:val="24"/>
          <w:szCs w:val="24"/>
        </w:rPr>
        <w:t>Actions to encourage public housing residents to become more involved in management and participate in homeownership</w:t>
      </w:r>
    </w:p>
    <w:p w14:paraId="6E4F4B9D" w14:textId="77777777" w:rsidR="00564ADD" w:rsidRPr="006200D5" w:rsidRDefault="00564ADD" w:rsidP="00564ADD">
      <w:pPr>
        <w:keepNext/>
        <w:widowControl w:val="0"/>
        <w:spacing w:beforeAutospacing="1" w:afterAutospacing="1"/>
        <w:rPr>
          <w:rFonts w:cs="Arial"/>
          <w:sz w:val="24"/>
        </w:rPr>
      </w:pPr>
      <w:r w:rsidRPr="006200D5">
        <w:rPr>
          <w:rFonts w:cs="Arial"/>
          <w:sz w:val="24"/>
        </w:rPr>
        <w:t>To encourage public housing residents to become more involved in homeownership, KHRC has begun sending emails to the PHAs regarding the First Time Homebuyer Program.  KHRC will ask that they post the information in a common area for residents viewing.</w:t>
      </w:r>
    </w:p>
    <w:p w14:paraId="7314B706" w14:textId="77777777" w:rsidR="00564ADD" w:rsidRDefault="00564ADD" w:rsidP="00564ADD">
      <w:pPr>
        <w:widowControl w:val="0"/>
        <w:rPr>
          <w:b/>
          <w:sz w:val="24"/>
          <w:szCs w:val="24"/>
        </w:rPr>
      </w:pPr>
      <w:r>
        <w:rPr>
          <w:b/>
          <w:sz w:val="24"/>
          <w:szCs w:val="24"/>
        </w:rPr>
        <w:t xml:space="preserve">If the PHA is designated as troubled, describe the manner in which financial assistance will be provided or other assistance </w:t>
      </w:r>
    </w:p>
    <w:p w14:paraId="7CBE5E15" w14:textId="77777777" w:rsidR="00564ADD" w:rsidRPr="006200D5" w:rsidRDefault="00564ADD" w:rsidP="00564ADD">
      <w:pPr>
        <w:rPr>
          <w:rFonts w:cs="Arial"/>
        </w:rPr>
      </w:pPr>
      <w:r w:rsidRPr="006200D5">
        <w:rPr>
          <w:sz w:val="24"/>
          <w:szCs w:val="24"/>
        </w:rPr>
        <w:t>See above</w:t>
      </w:r>
    </w:p>
    <w:p w14:paraId="2E2C440A" w14:textId="77777777" w:rsidR="00564ADD" w:rsidRDefault="00564ADD" w:rsidP="00564ADD">
      <w:pPr>
        <w:rPr>
          <w:rFonts w:cs="Arial"/>
        </w:rPr>
      </w:pPr>
    </w:p>
    <w:p w14:paraId="733B0993" w14:textId="77777777" w:rsidR="00564ADD" w:rsidRDefault="00564ADD" w:rsidP="0068663E">
      <w:pPr>
        <w:pStyle w:val="Heading2"/>
        <w:keepNext w:val="0"/>
        <w:pageBreakBefore/>
        <w:widowControl w:val="0"/>
        <w:shd w:val="clear" w:color="auto" w:fill="95B3D7" w:themeFill="accent1" w:themeFillTint="99"/>
        <w:rPr>
          <w:rFonts w:ascii="Calibri" w:hAnsi="Calibri"/>
          <w:i w:val="0"/>
        </w:rPr>
      </w:pPr>
      <w:bookmarkStart w:id="73" w:name="_Toc524603053"/>
      <w:r>
        <w:rPr>
          <w:rFonts w:ascii="Calibri" w:hAnsi="Calibri"/>
          <w:i w:val="0"/>
        </w:rPr>
        <w:t>AP-65 Homeless and Other Special Needs Activities – 91.320(h)</w:t>
      </w:r>
      <w:bookmarkEnd w:id="73"/>
    </w:p>
    <w:p w14:paraId="3AEB335B" w14:textId="77777777" w:rsidR="00564ADD" w:rsidRDefault="00564ADD" w:rsidP="00564ADD">
      <w:pPr>
        <w:widowControl w:val="0"/>
        <w:spacing w:line="204" w:lineRule="auto"/>
        <w:rPr>
          <w:b/>
          <w:sz w:val="24"/>
          <w:szCs w:val="24"/>
        </w:rPr>
      </w:pPr>
      <w:r>
        <w:rPr>
          <w:b/>
          <w:sz w:val="24"/>
          <w:szCs w:val="24"/>
        </w:rPr>
        <w:t>Introduction</w:t>
      </w:r>
    </w:p>
    <w:p w14:paraId="6C1DF3B6" w14:textId="046AAC1B" w:rsidR="00564ADD" w:rsidRPr="006200D5" w:rsidRDefault="00564ADD" w:rsidP="00564ADD">
      <w:pPr>
        <w:widowControl w:val="0"/>
        <w:rPr>
          <w:b/>
          <w:sz w:val="28"/>
          <w:szCs w:val="24"/>
        </w:rPr>
      </w:pPr>
      <w:r w:rsidRPr="006200D5">
        <w:rPr>
          <w:rFonts w:cs="Arial"/>
          <w:sz w:val="24"/>
        </w:rPr>
        <w:t>The E</w:t>
      </w:r>
      <w:r>
        <w:rPr>
          <w:rFonts w:cs="Arial"/>
          <w:sz w:val="24"/>
        </w:rPr>
        <w:t xml:space="preserve">mergency </w:t>
      </w:r>
      <w:r w:rsidRPr="006200D5">
        <w:rPr>
          <w:rFonts w:cs="Arial"/>
          <w:sz w:val="24"/>
        </w:rPr>
        <w:t>S</w:t>
      </w:r>
      <w:r>
        <w:rPr>
          <w:rFonts w:cs="Arial"/>
          <w:sz w:val="24"/>
        </w:rPr>
        <w:t xml:space="preserve">ervices </w:t>
      </w:r>
      <w:r w:rsidRPr="006200D5">
        <w:rPr>
          <w:rFonts w:cs="Arial"/>
          <w:sz w:val="24"/>
        </w:rPr>
        <w:t>G</w:t>
      </w:r>
      <w:r>
        <w:rPr>
          <w:rFonts w:cs="Arial"/>
          <w:sz w:val="24"/>
        </w:rPr>
        <w:t>rant (ESG)</w:t>
      </w:r>
      <w:r w:rsidRPr="006200D5">
        <w:rPr>
          <w:rFonts w:cs="Arial"/>
          <w:sz w:val="24"/>
        </w:rPr>
        <w:t xml:space="preserve"> program works diligently with the Balance of State CoC, and other CoCs, as well as with our state agency partners to better serve the needs of communities and homeless persons across the </w:t>
      </w:r>
      <w:r w:rsidR="00556755">
        <w:rPr>
          <w:rFonts w:cs="Arial"/>
          <w:sz w:val="24"/>
        </w:rPr>
        <w:t>state</w:t>
      </w:r>
      <w:r w:rsidRPr="006200D5">
        <w:rPr>
          <w:rFonts w:cs="Arial"/>
          <w:sz w:val="24"/>
        </w:rPr>
        <w:t>.</w:t>
      </w:r>
    </w:p>
    <w:p w14:paraId="541B7C29" w14:textId="77777777" w:rsidR="00564ADD" w:rsidRDefault="00564ADD" w:rsidP="00564ADD">
      <w:pPr>
        <w:widowControl w:val="0"/>
        <w:rPr>
          <w:b/>
          <w:sz w:val="24"/>
          <w:szCs w:val="24"/>
        </w:rPr>
      </w:pPr>
      <w:r>
        <w:rPr>
          <w:b/>
          <w:sz w:val="24"/>
          <w:szCs w:val="24"/>
        </w:rPr>
        <w:t>Describe the jurisdictions one-year goals and actions for reducing and ending homelessness including:</w:t>
      </w:r>
    </w:p>
    <w:p w14:paraId="3D77123A" w14:textId="77777777" w:rsidR="00564ADD" w:rsidRDefault="00564ADD" w:rsidP="00564ADD">
      <w:pPr>
        <w:widowControl w:val="0"/>
        <w:rPr>
          <w:b/>
          <w:sz w:val="24"/>
          <w:szCs w:val="24"/>
        </w:rPr>
      </w:pPr>
      <w:r>
        <w:rPr>
          <w:b/>
          <w:sz w:val="24"/>
          <w:szCs w:val="24"/>
        </w:rPr>
        <w:t>Reaching out to homeless persons (especially unsheltered persons) and assessing their individual needs</w:t>
      </w:r>
    </w:p>
    <w:p w14:paraId="1C03130A" w14:textId="77777777" w:rsidR="00564ADD" w:rsidRPr="00A108CA" w:rsidRDefault="00564ADD" w:rsidP="00564ADD">
      <w:pPr>
        <w:keepNext/>
        <w:widowControl w:val="0"/>
        <w:spacing w:beforeAutospacing="1" w:afterAutospacing="1"/>
        <w:rPr>
          <w:rFonts w:cs="Arial"/>
          <w:sz w:val="24"/>
        </w:rPr>
      </w:pPr>
      <w:r w:rsidRPr="00A108CA">
        <w:rPr>
          <w:rFonts w:cs="Arial"/>
          <w:i/>
          <w:sz w:val="24"/>
          <w:u w:val="single"/>
        </w:rPr>
        <w:t>ESG</w:t>
      </w:r>
    </w:p>
    <w:p w14:paraId="3CFE238D" w14:textId="77777777" w:rsidR="00564ADD" w:rsidRPr="00A108CA" w:rsidRDefault="00564ADD" w:rsidP="00A121EE">
      <w:pPr>
        <w:keepNext/>
        <w:widowControl w:val="0"/>
        <w:numPr>
          <w:ilvl w:val="0"/>
          <w:numId w:val="10"/>
        </w:numPr>
        <w:spacing w:beforeAutospacing="1" w:afterAutospacing="1"/>
        <w:rPr>
          <w:rFonts w:cs="Arial"/>
          <w:sz w:val="24"/>
        </w:rPr>
      </w:pPr>
      <w:r w:rsidRPr="00A108CA">
        <w:rPr>
          <w:rFonts w:cs="Arial"/>
          <w:i/>
          <w:sz w:val="24"/>
        </w:rPr>
        <w:t>Emergency Shelters</w:t>
      </w:r>
    </w:p>
    <w:p w14:paraId="7CA6A58C" w14:textId="77777777" w:rsidR="00564ADD" w:rsidRPr="00A108CA" w:rsidRDefault="00564ADD" w:rsidP="00A121EE">
      <w:pPr>
        <w:keepNext/>
        <w:widowControl w:val="0"/>
        <w:numPr>
          <w:ilvl w:val="0"/>
          <w:numId w:val="10"/>
        </w:numPr>
        <w:spacing w:beforeAutospacing="1" w:afterAutospacing="1"/>
        <w:rPr>
          <w:rFonts w:cs="Arial"/>
          <w:sz w:val="24"/>
        </w:rPr>
      </w:pPr>
      <w:r w:rsidRPr="00A108CA">
        <w:rPr>
          <w:rFonts w:cs="Arial"/>
          <w:i/>
          <w:sz w:val="24"/>
        </w:rPr>
        <w:t>Street Outreach</w:t>
      </w:r>
    </w:p>
    <w:p w14:paraId="2029D716" w14:textId="77777777" w:rsidR="00564ADD" w:rsidRPr="00A108CA" w:rsidRDefault="00564ADD" w:rsidP="00A121EE">
      <w:pPr>
        <w:keepNext/>
        <w:widowControl w:val="0"/>
        <w:numPr>
          <w:ilvl w:val="0"/>
          <w:numId w:val="10"/>
        </w:numPr>
        <w:spacing w:beforeAutospacing="1" w:afterAutospacing="1"/>
        <w:rPr>
          <w:rFonts w:cs="Arial"/>
          <w:sz w:val="24"/>
        </w:rPr>
      </w:pPr>
      <w:r w:rsidRPr="00A108CA">
        <w:rPr>
          <w:rFonts w:cs="Arial"/>
          <w:i/>
          <w:sz w:val="24"/>
        </w:rPr>
        <w:t>Homeless Prevention</w:t>
      </w:r>
    </w:p>
    <w:p w14:paraId="002D17C6" w14:textId="77777777" w:rsidR="00564ADD" w:rsidRPr="00A108CA" w:rsidRDefault="00564ADD" w:rsidP="00A121EE">
      <w:pPr>
        <w:keepNext/>
        <w:widowControl w:val="0"/>
        <w:numPr>
          <w:ilvl w:val="0"/>
          <w:numId w:val="10"/>
        </w:numPr>
        <w:spacing w:beforeAutospacing="1" w:afterAutospacing="1"/>
        <w:rPr>
          <w:rFonts w:cs="Arial"/>
          <w:sz w:val="24"/>
        </w:rPr>
      </w:pPr>
      <w:r w:rsidRPr="00A108CA">
        <w:rPr>
          <w:rFonts w:cs="Arial"/>
          <w:i/>
          <w:sz w:val="24"/>
        </w:rPr>
        <w:t>Rapid Re-housing</w:t>
      </w:r>
    </w:p>
    <w:p w14:paraId="5CF5C3EB" w14:textId="6F3CDFEB" w:rsidR="00564ADD" w:rsidRPr="00A108CA" w:rsidRDefault="00564ADD" w:rsidP="00564ADD">
      <w:pPr>
        <w:keepNext/>
        <w:widowControl w:val="0"/>
        <w:spacing w:beforeAutospacing="1" w:afterAutospacing="1"/>
        <w:rPr>
          <w:rFonts w:cs="Arial"/>
          <w:sz w:val="24"/>
        </w:rPr>
      </w:pPr>
      <w:r w:rsidRPr="00A108CA">
        <w:rPr>
          <w:rFonts w:cs="Arial"/>
          <w:sz w:val="24"/>
        </w:rPr>
        <w:t>The one-year goal for ESG housing programs includes: In tot</w:t>
      </w:r>
      <w:r w:rsidR="00596353">
        <w:rPr>
          <w:rFonts w:cs="Arial"/>
          <w:sz w:val="24"/>
        </w:rPr>
        <w:t>al 3,375 Households assisted and</w:t>
      </w:r>
      <w:r w:rsidR="00AA56E2">
        <w:rPr>
          <w:rFonts w:cs="Arial"/>
          <w:sz w:val="24"/>
        </w:rPr>
        <w:t xml:space="preserve"> 20</w:t>
      </w:r>
      <w:r w:rsidRPr="00A108CA">
        <w:rPr>
          <w:rFonts w:cs="Arial"/>
          <w:sz w:val="24"/>
        </w:rPr>
        <w:t>0 homeless prevention cases.</w:t>
      </w:r>
    </w:p>
    <w:p w14:paraId="5B6A0907" w14:textId="77777777" w:rsidR="00564ADD" w:rsidRDefault="00564ADD" w:rsidP="00564ADD">
      <w:pPr>
        <w:widowControl w:val="0"/>
        <w:rPr>
          <w:b/>
          <w:sz w:val="24"/>
          <w:szCs w:val="24"/>
        </w:rPr>
      </w:pPr>
      <w:r>
        <w:rPr>
          <w:b/>
          <w:sz w:val="24"/>
          <w:szCs w:val="24"/>
        </w:rPr>
        <w:t>Addressing the emergency shelter and transitional housing needs of homeless persons</w:t>
      </w:r>
    </w:p>
    <w:p w14:paraId="0DE94709" w14:textId="77777777" w:rsidR="00564ADD" w:rsidRPr="00A108CA" w:rsidRDefault="00564ADD" w:rsidP="00564ADD">
      <w:pPr>
        <w:keepNext/>
        <w:widowControl w:val="0"/>
        <w:spacing w:beforeAutospacing="1" w:afterAutospacing="1"/>
        <w:rPr>
          <w:rFonts w:cs="Arial"/>
          <w:sz w:val="24"/>
        </w:rPr>
      </w:pPr>
      <w:r w:rsidRPr="00A108CA">
        <w:rPr>
          <w:rFonts w:cs="Arial"/>
          <w:sz w:val="24"/>
        </w:rPr>
        <w:t xml:space="preserve">The Kansas Balance of State Continuum of Care (BoS CoC) will continue to utilize Homeless Prevention Rapid Re-housing through the ESG Program and existing BoS CoC HUD funded projects to move individuals and families from homelessness to permanent housing. In 2016, seventeen BoS CoC grantees applied for renewal and there were three new applications (only one </w:t>
      </w:r>
      <w:r>
        <w:rPr>
          <w:rFonts w:cs="Arial"/>
          <w:sz w:val="24"/>
        </w:rPr>
        <w:t xml:space="preserve">new applicant </w:t>
      </w:r>
      <w:r w:rsidRPr="00A108CA">
        <w:rPr>
          <w:rFonts w:cs="Arial"/>
          <w:sz w:val="24"/>
        </w:rPr>
        <w:t>was awarded). The final award for the BoS CoC competition was $2,594,677. The BoS CoC has a total of 911 emergency shelter beds. In the 2017 Point-In-Time Homeless (PIT) count a total of 1,037 people reported being literally homeless:  Sheltered in Emergency Shelter Total Persons - 504, Sheltered in Transitional Housing Total Persons - 391, Unsheltered Total Persons - 142.  </w:t>
      </w:r>
    </w:p>
    <w:p w14:paraId="4956D08D" w14:textId="77777777" w:rsidR="00564ADD" w:rsidRDefault="00564ADD" w:rsidP="00564ADD">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228B987A" w14:textId="77777777" w:rsidR="00564ADD" w:rsidRPr="00A108CA" w:rsidRDefault="00564ADD" w:rsidP="00564ADD">
      <w:pPr>
        <w:keepNext/>
        <w:widowControl w:val="0"/>
        <w:spacing w:beforeAutospacing="1" w:afterAutospacing="1"/>
        <w:rPr>
          <w:rFonts w:cs="Arial"/>
          <w:sz w:val="24"/>
        </w:rPr>
      </w:pPr>
      <w:r w:rsidRPr="00A108CA">
        <w:rPr>
          <w:rFonts w:cs="Arial"/>
          <w:sz w:val="24"/>
        </w:rPr>
        <w:t xml:space="preserve">The Kansas Balance of State Continuum of Care (BoS CoC) Coordinated Entry Committee (CEC) oversees the Coordinated Entry process to ensure that those who request or need assistance in all 8 regions are matched with appropriate housing and services. To standardize the process, the CEC developed and implemented policies and procedures including a policy for the 8 Regional Coordinated Entry Teams (RCET) to use the Vulnerability Index – Service Prioritization </w:t>
      </w:r>
      <w:r>
        <w:rPr>
          <w:rFonts w:cs="Arial"/>
          <w:sz w:val="24"/>
        </w:rPr>
        <w:t xml:space="preserve">Decision </w:t>
      </w:r>
      <w:r w:rsidRPr="00A108CA">
        <w:rPr>
          <w:rFonts w:cs="Arial"/>
          <w:sz w:val="24"/>
        </w:rPr>
        <w:t>Assistance Tool (VI-SPDAT) along with policies that focus on client choice and safety. To date, all RCETs have been trained on the policies and procedures as well as on the VI-SPDAT. The RCETs include Continuum of Care (CoC), Emergency Solutions Grant (ESG), Projects for Assistance in Transition from Homelessness (PATH), and Supportive Services for Veterans Families (SSVF) funded organizations.  This also includes community-based organizations that serve at</w:t>
      </w:r>
      <w:r>
        <w:rPr>
          <w:rFonts w:cs="Arial"/>
          <w:sz w:val="24"/>
        </w:rPr>
        <w:t>-</w:t>
      </w:r>
      <w:r w:rsidRPr="00A108CA">
        <w:rPr>
          <w:rFonts w:cs="Arial"/>
          <w:sz w:val="24"/>
        </w:rPr>
        <w:t>risk populations.  The RCETs meet monthly as does the CEC to review the regional and BoS CoC master lists to ensure that clients are receiving the re</w:t>
      </w:r>
      <w:r>
        <w:rPr>
          <w:rFonts w:cs="Arial"/>
          <w:sz w:val="24"/>
        </w:rPr>
        <w:t>sources they need.  Apart from d</w:t>
      </w:r>
      <w:r w:rsidRPr="00A108CA">
        <w:rPr>
          <w:rFonts w:cs="Arial"/>
          <w:sz w:val="24"/>
        </w:rPr>
        <w:t xml:space="preserve">omestic </w:t>
      </w:r>
      <w:r>
        <w:rPr>
          <w:rFonts w:cs="Arial"/>
          <w:sz w:val="24"/>
        </w:rPr>
        <w:t>v</w:t>
      </w:r>
      <w:r w:rsidRPr="00A108CA">
        <w:rPr>
          <w:rFonts w:cs="Arial"/>
          <w:sz w:val="24"/>
        </w:rPr>
        <w:t xml:space="preserve">iolence providers, the shared Homeless Management Information System </w:t>
      </w:r>
      <w:r>
        <w:rPr>
          <w:rFonts w:cs="Arial"/>
          <w:sz w:val="24"/>
        </w:rPr>
        <w:t xml:space="preserve">(HMIS) </w:t>
      </w:r>
      <w:r w:rsidRPr="00A108CA">
        <w:rPr>
          <w:rFonts w:cs="Arial"/>
          <w:sz w:val="24"/>
        </w:rPr>
        <w:t>is used to enter the VI-SPDAT data and generate the by-name master list for the BoS CoC, that can be sorted by region.</w:t>
      </w:r>
    </w:p>
    <w:p w14:paraId="60653F55" w14:textId="77777777" w:rsidR="00564ADD" w:rsidRPr="00A108CA" w:rsidRDefault="00564ADD" w:rsidP="00564ADD">
      <w:pPr>
        <w:widowControl w:val="0"/>
        <w:rPr>
          <w:b/>
          <w:sz w:val="28"/>
          <w:szCs w:val="24"/>
        </w:rPr>
      </w:pPr>
      <w:r w:rsidRPr="00A108CA">
        <w:rPr>
          <w:rFonts w:cs="Arial"/>
          <w:sz w:val="24"/>
        </w:rPr>
        <w:t>KHRC anticipates that the Housing Trust Fund (HTF) will create additional permanent rental housing opportunities for Extremely Low Income families, including homeless families.</w:t>
      </w:r>
    </w:p>
    <w:p w14:paraId="273B96DE" w14:textId="77777777" w:rsidR="00564ADD" w:rsidRDefault="00564ADD" w:rsidP="00564ADD">
      <w:pPr>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34178735"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u w:val="single"/>
        </w:rPr>
        <w:t>Foster Care</w:t>
      </w:r>
    </w:p>
    <w:p w14:paraId="05AADDD0"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rPr>
        <w:t>Foster Care’s Independent Living Coordinators have been educated on the CoC system and are now getting involved with Kansas's five CoC communities. Youths who leave the foster care system because they have attained 18 years of age are eligible to participate in Independent Living Services through the Chafee Foster Care Independence Program. This is a voluntary program and at age 18 young adults may choose not to participate. The program offers funds to help pay the costs of setting up a household, such as rent and utility deposits, buying household goods, etc.</w:t>
      </w:r>
    </w:p>
    <w:p w14:paraId="070C3B13"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u w:val="single"/>
        </w:rPr>
        <w:t>Health Care</w:t>
      </w:r>
    </w:p>
    <w:p w14:paraId="7B42F874" w14:textId="786F7AC2" w:rsidR="00564ADD" w:rsidRPr="00716ED2" w:rsidRDefault="00564ADD" w:rsidP="00564ADD">
      <w:pPr>
        <w:keepNext/>
        <w:widowControl w:val="0"/>
        <w:spacing w:beforeAutospacing="1" w:afterAutospacing="1"/>
        <w:rPr>
          <w:rFonts w:cs="Arial"/>
          <w:sz w:val="24"/>
          <w:szCs w:val="26"/>
        </w:rPr>
      </w:pPr>
      <w:r w:rsidRPr="00716ED2">
        <w:rPr>
          <w:rFonts w:cs="Arial"/>
          <w:sz w:val="24"/>
        </w:rPr>
        <w:t xml:space="preserve">The State of Kansas is still in the development phase of establishing a protocol/policy preventing health care institutions from discharging patients into homelessness. The Kansas Department of Health and Environment, and its providers, follow </w:t>
      </w:r>
      <w:r w:rsidR="00556755">
        <w:rPr>
          <w:rFonts w:cs="Arial"/>
          <w:sz w:val="24"/>
        </w:rPr>
        <w:t>state</w:t>
      </w:r>
      <w:r w:rsidRPr="00716ED2">
        <w:rPr>
          <w:rFonts w:cs="Arial"/>
          <w:sz w:val="24"/>
        </w:rPr>
        <w:t xml:space="preserve"> and federal regulations in relation to discharge planning; however, neither </w:t>
      </w:r>
      <w:r w:rsidR="00556755">
        <w:rPr>
          <w:rFonts w:cs="Arial"/>
          <w:sz w:val="24"/>
        </w:rPr>
        <w:t>state</w:t>
      </w:r>
      <w:r w:rsidRPr="00716ED2">
        <w:rPr>
          <w:rFonts w:cs="Arial"/>
          <w:sz w:val="24"/>
        </w:rPr>
        <w:t xml:space="preserve"> nor federal regulations address the assurance that hospital patients will not be discharged into homelessness.</w:t>
      </w:r>
    </w:p>
    <w:p w14:paraId="53426EF4"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u w:val="single"/>
        </w:rPr>
        <w:t>Mental Health</w:t>
      </w:r>
    </w:p>
    <w:p w14:paraId="36A76760"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rPr>
        <w:t>The Kansas Department for Aging and Disability Services, which includes mental health and substance use disorder services, enacted a policy in 2006 that ensures to the maximum extent possible that all individuals who are discharged from State funded institutions or systems of care have housing options available in order to prevent their being discharged into homelessness. However, an individual can exercise his/her right to refuse treatment and/or aid with placement, therefore becoming homeless upon discharge.</w:t>
      </w:r>
    </w:p>
    <w:p w14:paraId="4F359475"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u w:val="single"/>
        </w:rPr>
        <w:t>Corrections</w:t>
      </w:r>
    </w:p>
    <w:p w14:paraId="558D2A63"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rPr>
        <w:t>Each prison under the Kansas Department of Corrections (KDOC) system has “release planners” that coordinate with inmates and parole officers to determine the most successful post-release residence for each individual. There are several determining factors and resource individuals involved in this process. KDOC takes a multi-discipline team approach. The release planning process begins 16 months before the inmate releases from prison.</w:t>
      </w:r>
    </w:p>
    <w:p w14:paraId="23A008A9"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u w:val="single"/>
        </w:rPr>
        <w:t xml:space="preserve">Housing Trust Fund </w:t>
      </w:r>
      <w:r w:rsidRPr="00716ED2">
        <w:rPr>
          <w:rFonts w:cs="Arial"/>
          <w:sz w:val="24"/>
        </w:rPr>
        <w:t> </w:t>
      </w:r>
    </w:p>
    <w:p w14:paraId="4D78F610" w14:textId="77777777" w:rsidR="00564ADD" w:rsidRPr="00716ED2" w:rsidRDefault="00564ADD" w:rsidP="00564ADD">
      <w:pPr>
        <w:keepNext/>
        <w:widowControl w:val="0"/>
        <w:spacing w:beforeAutospacing="1" w:afterAutospacing="1"/>
        <w:rPr>
          <w:rFonts w:cs="Arial"/>
          <w:sz w:val="24"/>
          <w:szCs w:val="26"/>
        </w:rPr>
      </w:pPr>
      <w:r w:rsidRPr="00716ED2">
        <w:rPr>
          <w:rFonts w:cs="Arial"/>
          <w:sz w:val="24"/>
        </w:rPr>
        <w:t>It is expected that the Housing Trust Fund will create new permanent rental housing opportunities for Extremely Low Income families, including homeless families.</w:t>
      </w:r>
    </w:p>
    <w:p w14:paraId="3484A645" w14:textId="77777777" w:rsidR="00564ADD" w:rsidRDefault="00564ADD" w:rsidP="00564ADD">
      <w:pPr>
        <w:widowControl w:val="0"/>
        <w:spacing w:line="204" w:lineRule="auto"/>
        <w:rPr>
          <w:b/>
          <w:sz w:val="24"/>
          <w:szCs w:val="24"/>
        </w:rPr>
      </w:pPr>
      <w:r>
        <w:rPr>
          <w:b/>
          <w:sz w:val="24"/>
          <w:szCs w:val="24"/>
        </w:rPr>
        <w:t>Discussion</w:t>
      </w:r>
    </w:p>
    <w:p w14:paraId="5FEB7277" w14:textId="77777777" w:rsidR="00564ADD" w:rsidRPr="00716ED2" w:rsidRDefault="00564ADD" w:rsidP="00564ADD">
      <w:pPr>
        <w:keepNext/>
        <w:widowControl w:val="0"/>
        <w:spacing w:beforeAutospacing="1" w:afterAutospacing="1"/>
        <w:rPr>
          <w:b/>
          <w:sz w:val="28"/>
          <w:szCs w:val="24"/>
        </w:rPr>
      </w:pPr>
      <w:r w:rsidRPr="00716ED2">
        <w:rPr>
          <w:rFonts w:cs="Arial"/>
          <w:sz w:val="24"/>
        </w:rPr>
        <w:t xml:space="preserve">The ESG program is designed to identify sheltered and unsheltered homeless persons, as well as those at risk of homelessness, and provide the services necessary to help those persons </w:t>
      </w:r>
      <w:r>
        <w:rPr>
          <w:rFonts w:cs="Arial"/>
          <w:sz w:val="24"/>
        </w:rPr>
        <w:t xml:space="preserve">and/or families </w:t>
      </w:r>
      <w:r w:rsidRPr="00716ED2">
        <w:rPr>
          <w:rFonts w:cs="Arial"/>
          <w:sz w:val="24"/>
        </w:rPr>
        <w:t>quickly regain stability in permanent housing after experiencing a housing crisis and/or homelessness.</w:t>
      </w:r>
    </w:p>
    <w:p w14:paraId="6693316B" w14:textId="77777777" w:rsidR="00564ADD" w:rsidRDefault="00564ADD" w:rsidP="0068663E">
      <w:pPr>
        <w:pStyle w:val="Heading2"/>
        <w:keepNext w:val="0"/>
        <w:pageBreakBefore/>
        <w:widowControl w:val="0"/>
        <w:shd w:val="clear" w:color="auto" w:fill="95B3D7" w:themeFill="accent1" w:themeFillTint="99"/>
        <w:rPr>
          <w:rFonts w:ascii="Calibri" w:hAnsi="Calibri"/>
          <w:i w:val="0"/>
        </w:rPr>
      </w:pPr>
      <w:bookmarkStart w:id="74" w:name="_Toc524603054"/>
      <w:r>
        <w:rPr>
          <w:rFonts w:ascii="Calibri" w:hAnsi="Calibri"/>
          <w:i w:val="0"/>
        </w:rPr>
        <w:t>AP-70 HOPWA Goals – 91.320(k)(4)</w:t>
      </w:r>
      <w:bookmarkEnd w:id="74"/>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gridCol w:w="551"/>
      </w:tblGrid>
      <w:tr w:rsidR="00564ADD" w14:paraId="06A7F47A" w14:textId="77777777" w:rsidTr="009D1558">
        <w:trPr>
          <w:cantSplit/>
          <w:tblHeader/>
        </w:trPr>
        <w:tc>
          <w:tcPr>
            <w:tcW w:w="9576" w:type="dxa"/>
            <w:gridSpan w:val="2"/>
          </w:tcPr>
          <w:p w14:paraId="37DBCF2E" w14:textId="77777777" w:rsidR="00564ADD" w:rsidRDefault="00564ADD" w:rsidP="009D1558">
            <w:pPr>
              <w:keepNext/>
              <w:widowControl w:val="0"/>
              <w:spacing w:after="0" w:line="240" w:lineRule="auto"/>
              <w:rPr>
                <w:rFonts w:cs="Arial"/>
              </w:rPr>
            </w:pPr>
            <w:r>
              <w:rPr>
                <w:b/>
              </w:rPr>
              <w:t>One year goals for the number of households to be provided housing through the use of HOPWA for:</w:t>
            </w:r>
          </w:p>
        </w:tc>
      </w:tr>
      <w:tr w:rsidR="00564ADD" w14:paraId="52F36F51" w14:textId="77777777" w:rsidTr="009D1558">
        <w:trPr>
          <w:cantSplit/>
          <w:tblHeader/>
        </w:trPr>
        <w:tc>
          <w:tcPr>
            <w:tcW w:w="9576" w:type="dxa"/>
            <w:gridSpan w:val="2"/>
            <w:tcBorders>
              <w:top w:val="nil"/>
            </w:tcBorders>
          </w:tcPr>
          <w:p w14:paraId="745A9AD9" w14:textId="77777777" w:rsidR="00564ADD" w:rsidRDefault="00564ADD" w:rsidP="009D1558">
            <w:pPr>
              <w:keepNext/>
              <w:widowControl w:val="0"/>
              <w:spacing w:after="0" w:line="240" w:lineRule="auto"/>
              <w:rPr>
                <w:rFonts w:cs="Arial"/>
              </w:rPr>
            </w:pPr>
          </w:p>
        </w:tc>
      </w:tr>
      <w:tr w:rsidR="00564ADD" w14:paraId="5EA451E4" w14:textId="77777777" w:rsidTr="009D1558">
        <w:trPr>
          <w:cantSplit/>
        </w:trPr>
        <w:tc>
          <w:tcPr>
            <w:tcW w:w="0" w:type="auto"/>
            <w:tcBorders>
              <w:top w:val="nil"/>
            </w:tcBorders>
            <w:vAlign w:val="bottom"/>
          </w:tcPr>
          <w:p w14:paraId="60025343" w14:textId="77777777" w:rsidR="00564ADD" w:rsidRDefault="00564ADD" w:rsidP="009D1558">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14:paraId="54410D33" w14:textId="77777777" w:rsidR="00564ADD" w:rsidRDefault="00564ADD" w:rsidP="009D1558">
            <w:pPr>
              <w:spacing w:beforeAutospacing="1" w:afterAutospacing="1"/>
              <w:jc w:val="right"/>
            </w:pPr>
            <w:r>
              <w:rPr>
                <w:color w:val="000000"/>
              </w:rPr>
              <w:t>300</w:t>
            </w:r>
          </w:p>
        </w:tc>
      </w:tr>
      <w:tr w:rsidR="00564ADD" w14:paraId="14A4A838" w14:textId="77777777" w:rsidTr="009D1558">
        <w:trPr>
          <w:cantSplit/>
        </w:trPr>
        <w:tc>
          <w:tcPr>
            <w:tcW w:w="0" w:type="auto"/>
            <w:tcBorders>
              <w:top w:val="nil"/>
            </w:tcBorders>
            <w:vAlign w:val="bottom"/>
          </w:tcPr>
          <w:p w14:paraId="60E6750A" w14:textId="77777777" w:rsidR="00564ADD" w:rsidRDefault="00564ADD" w:rsidP="009D1558">
            <w:pPr>
              <w:spacing w:beforeAutospacing="1" w:afterAutospacing="1"/>
            </w:pPr>
            <w:r>
              <w:rPr>
                <w:color w:val="000000"/>
              </w:rPr>
              <w:t>Tenant-based rental assistance</w:t>
            </w:r>
          </w:p>
        </w:tc>
        <w:tc>
          <w:tcPr>
            <w:tcW w:w="0" w:type="auto"/>
            <w:tcBorders>
              <w:top w:val="nil"/>
            </w:tcBorders>
            <w:vAlign w:val="bottom"/>
          </w:tcPr>
          <w:p w14:paraId="0424D8FA" w14:textId="77777777" w:rsidR="00564ADD" w:rsidRDefault="00564ADD" w:rsidP="009D1558">
            <w:pPr>
              <w:spacing w:beforeAutospacing="1" w:afterAutospacing="1"/>
              <w:jc w:val="right"/>
            </w:pPr>
            <w:r>
              <w:rPr>
                <w:color w:val="000000"/>
              </w:rPr>
              <w:t>100</w:t>
            </w:r>
          </w:p>
        </w:tc>
      </w:tr>
      <w:tr w:rsidR="00564ADD" w14:paraId="3560871B" w14:textId="77777777" w:rsidTr="009D1558">
        <w:trPr>
          <w:cantSplit/>
        </w:trPr>
        <w:tc>
          <w:tcPr>
            <w:tcW w:w="0" w:type="auto"/>
            <w:tcBorders>
              <w:top w:val="nil"/>
            </w:tcBorders>
            <w:vAlign w:val="bottom"/>
          </w:tcPr>
          <w:p w14:paraId="0BD62511" w14:textId="77777777" w:rsidR="00564ADD" w:rsidRDefault="00564ADD" w:rsidP="009D1558">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14:paraId="3158C3E9" w14:textId="77777777" w:rsidR="00564ADD" w:rsidRDefault="00564ADD" w:rsidP="009D1558">
            <w:pPr>
              <w:spacing w:beforeAutospacing="1" w:afterAutospacing="1"/>
              <w:jc w:val="right"/>
            </w:pPr>
            <w:r>
              <w:rPr>
                <w:color w:val="000000"/>
              </w:rPr>
              <w:t>0</w:t>
            </w:r>
          </w:p>
        </w:tc>
      </w:tr>
      <w:tr w:rsidR="00564ADD" w14:paraId="50A7EDDE" w14:textId="77777777" w:rsidTr="009D1558">
        <w:trPr>
          <w:cantSplit/>
        </w:trPr>
        <w:tc>
          <w:tcPr>
            <w:tcW w:w="0" w:type="auto"/>
            <w:tcBorders>
              <w:top w:val="nil"/>
            </w:tcBorders>
            <w:vAlign w:val="bottom"/>
          </w:tcPr>
          <w:p w14:paraId="532BD8E5" w14:textId="77777777" w:rsidR="00564ADD" w:rsidRDefault="00564ADD" w:rsidP="009D1558">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14:paraId="542CAAF9" w14:textId="77777777" w:rsidR="00564ADD" w:rsidRDefault="00564ADD" w:rsidP="009D1558">
            <w:pPr>
              <w:spacing w:beforeAutospacing="1" w:afterAutospacing="1"/>
              <w:jc w:val="right"/>
            </w:pPr>
            <w:r>
              <w:rPr>
                <w:color w:val="000000"/>
              </w:rPr>
              <w:t>100</w:t>
            </w:r>
          </w:p>
        </w:tc>
      </w:tr>
      <w:tr w:rsidR="00564ADD" w14:paraId="31F6CD58" w14:textId="77777777" w:rsidTr="009D1558">
        <w:trPr>
          <w:cantSplit/>
        </w:trPr>
        <w:tc>
          <w:tcPr>
            <w:tcW w:w="0" w:type="auto"/>
            <w:tcBorders>
              <w:top w:val="nil"/>
            </w:tcBorders>
            <w:vAlign w:val="bottom"/>
          </w:tcPr>
          <w:p w14:paraId="555D4E90" w14:textId="77777777" w:rsidR="00564ADD" w:rsidRDefault="00564ADD" w:rsidP="009D1558">
            <w:pPr>
              <w:spacing w:beforeAutospacing="1" w:afterAutospacing="1"/>
            </w:pPr>
            <w:r>
              <w:rPr>
                <w:color w:val="000000"/>
              </w:rPr>
              <w:t>Total</w:t>
            </w:r>
          </w:p>
        </w:tc>
        <w:tc>
          <w:tcPr>
            <w:tcW w:w="0" w:type="auto"/>
            <w:tcBorders>
              <w:top w:val="nil"/>
            </w:tcBorders>
            <w:vAlign w:val="bottom"/>
          </w:tcPr>
          <w:p w14:paraId="779BE03F" w14:textId="77777777" w:rsidR="00564ADD" w:rsidRDefault="00564ADD" w:rsidP="009D1558">
            <w:pPr>
              <w:spacing w:beforeAutospacing="1" w:afterAutospacing="1"/>
              <w:jc w:val="right"/>
            </w:pPr>
            <w:r>
              <w:rPr>
                <w:color w:val="000000"/>
              </w:rPr>
              <w:t>600</w:t>
            </w:r>
          </w:p>
        </w:tc>
      </w:tr>
    </w:tbl>
    <w:p w14:paraId="64307791" w14:textId="77777777" w:rsidR="00564ADD" w:rsidRDefault="00564ADD" w:rsidP="00564ADD">
      <w:pPr>
        <w:widowControl w:val="0"/>
        <w:spacing w:after="0" w:line="240" w:lineRule="auto"/>
        <w:rPr>
          <w:rFonts w:cs="Arial"/>
        </w:rPr>
      </w:pPr>
    </w:p>
    <w:p w14:paraId="3267E445" w14:textId="77777777" w:rsidR="00564ADD" w:rsidRDefault="00564ADD" w:rsidP="0068663E">
      <w:pPr>
        <w:pStyle w:val="Heading2"/>
        <w:keepNext w:val="0"/>
        <w:pageBreakBefore/>
        <w:widowControl w:val="0"/>
        <w:shd w:val="clear" w:color="auto" w:fill="95B3D7" w:themeFill="accent1" w:themeFillTint="99"/>
        <w:rPr>
          <w:rFonts w:ascii="Calibri" w:hAnsi="Calibri"/>
          <w:i w:val="0"/>
        </w:rPr>
      </w:pPr>
      <w:bookmarkStart w:id="75" w:name="_Toc524603055"/>
      <w:r>
        <w:rPr>
          <w:rFonts w:ascii="Calibri" w:hAnsi="Calibri"/>
          <w:i w:val="0"/>
        </w:rPr>
        <w:t>AP-75 Barriers to affordable housing – 91.320(i)</w:t>
      </w:r>
      <w:bookmarkEnd w:id="75"/>
    </w:p>
    <w:p w14:paraId="56AD08CD" w14:textId="77777777" w:rsidR="00564ADD" w:rsidRDefault="00564ADD" w:rsidP="00564ADD">
      <w:pPr>
        <w:widowControl w:val="0"/>
        <w:spacing w:line="204" w:lineRule="auto"/>
        <w:rPr>
          <w:b/>
          <w:sz w:val="24"/>
          <w:szCs w:val="24"/>
        </w:rPr>
      </w:pPr>
      <w:r>
        <w:rPr>
          <w:b/>
          <w:sz w:val="24"/>
          <w:szCs w:val="24"/>
        </w:rPr>
        <w:t xml:space="preserve">Introduction: </w:t>
      </w:r>
    </w:p>
    <w:p w14:paraId="4737833A" w14:textId="77777777" w:rsidR="00564ADD" w:rsidRPr="00A43B50" w:rsidRDefault="00564ADD" w:rsidP="00564ADD">
      <w:pPr>
        <w:keepNext/>
        <w:widowControl w:val="0"/>
        <w:spacing w:beforeAutospacing="1" w:afterAutospacing="1"/>
        <w:rPr>
          <w:b/>
          <w:sz w:val="28"/>
          <w:szCs w:val="24"/>
        </w:rPr>
      </w:pPr>
      <w:r w:rsidRPr="00A43B50">
        <w:rPr>
          <w:rFonts w:cs="Arial"/>
          <w:sz w:val="24"/>
        </w:rPr>
        <w:t>The State’s current Fair Housing Action Plan emphasizes activities that will increase knowledge of fair housing rights and reporting mechanisms among the general public, key service providers and policy makers. These include informing housing providers and consumers about fair housing rights and responsibilities, mandating State funded housing providers to promote fair housing choice and enlisting decision makers to advance the cause of fair housing.</w:t>
      </w:r>
    </w:p>
    <w:p w14:paraId="37B23158" w14:textId="77777777" w:rsidR="00564ADD" w:rsidRPr="00A43B50" w:rsidRDefault="00564ADD" w:rsidP="00564ADD">
      <w:pPr>
        <w:keepNext/>
        <w:widowControl w:val="0"/>
        <w:spacing w:beforeAutospacing="1" w:afterAutospacing="1"/>
        <w:rPr>
          <w:b/>
          <w:sz w:val="28"/>
          <w:szCs w:val="24"/>
        </w:rPr>
      </w:pPr>
      <w:r w:rsidRPr="00A43B50">
        <w:rPr>
          <w:rFonts w:cs="Arial"/>
          <w:sz w:val="24"/>
        </w:rPr>
        <w:t>Kansas Housing Resources Corporation (KHRC) coordinates and chairs the Kansas Fair Housing Taskforce. The Taskforce seeks to inform housing providers and consumers about fair housing rights and responsibilities, encourage State-funded housing providers to promote fair housing choice, and enlist decision-makers to advance the cause of fair housing.</w:t>
      </w:r>
    </w:p>
    <w:p w14:paraId="4A1BDEAD" w14:textId="77777777" w:rsidR="00564ADD" w:rsidRPr="00A43B50" w:rsidRDefault="00564ADD" w:rsidP="00564ADD">
      <w:pPr>
        <w:keepNext/>
        <w:widowControl w:val="0"/>
        <w:spacing w:beforeAutospacing="1" w:afterAutospacing="1"/>
        <w:rPr>
          <w:b/>
          <w:sz w:val="28"/>
          <w:szCs w:val="24"/>
        </w:rPr>
      </w:pPr>
      <w:r w:rsidRPr="00A43B50">
        <w:rPr>
          <w:rFonts w:cs="Arial"/>
          <w:sz w:val="24"/>
        </w:rPr>
        <w:t>This helps all Kansans to exercise the right to housing of choice and to raise a family or own a home in dignity and without fear of discrimination. Apartment dwellers and homeowners, property managers, real estate agents, interest groups, and individuals all benefit from the educational information and training workshops offered.</w:t>
      </w:r>
    </w:p>
    <w:p w14:paraId="2A3A674B" w14:textId="67C56247" w:rsidR="00564ADD" w:rsidRPr="00A43B50" w:rsidRDefault="00564ADD" w:rsidP="00564ADD">
      <w:pPr>
        <w:keepNext/>
        <w:widowControl w:val="0"/>
        <w:spacing w:beforeAutospacing="1" w:afterAutospacing="1"/>
        <w:rPr>
          <w:b/>
          <w:sz w:val="28"/>
          <w:szCs w:val="24"/>
        </w:rPr>
      </w:pPr>
      <w:r w:rsidRPr="00A43B50">
        <w:rPr>
          <w:rFonts w:cs="Arial"/>
          <w:sz w:val="24"/>
        </w:rPr>
        <w:t xml:space="preserve">The Taskforce consists of representatives from Commerce, KHRC, KDHE and representatives from fair housing organizations across the </w:t>
      </w:r>
      <w:r w:rsidR="00556755">
        <w:rPr>
          <w:rFonts w:cs="Arial"/>
          <w:sz w:val="24"/>
        </w:rPr>
        <w:t>state</w:t>
      </w:r>
      <w:r w:rsidRPr="00A43B50">
        <w:rPr>
          <w:rFonts w:cs="Arial"/>
          <w:sz w:val="24"/>
        </w:rPr>
        <w:t>. The team meets occasionally to coordinate activities that will further fair housing choice in Kansas.</w:t>
      </w:r>
    </w:p>
    <w:p w14:paraId="1D9976EC" w14:textId="77777777" w:rsidR="00564ADD" w:rsidRDefault="00564ADD" w:rsidP="00564ADD">
      <w:pPr>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23740AF0" w14:textId="77777777" w:rsidR="00564ADD" w:rsidRPr="00516995" w:rsidRDefault="00564ADD" w:rsidP="00564ADD">
      <w:pPr>
        <w:keepNext/>
        <w:widowControl w:val="0"/>
        <w:spacing w:beforeAutospacing="1" w:afterAutospacing="1"/>
        <w:rPr>
          <w:rFonts w:cs="Arial"/>
          <w:sz w:val="24"/>
        </w:rPr>
      </w:pPr>
      <w:r w:rsidRPr="00516995">
        <w:rPr>
          <w:rFonts w:cs="Arial"/>
          <w:sz w:val="24"/>
        </w:rPr>
        <w:t>The activities of the Fair Housing Taskforce and its partners are split between those in which the Taskforce has a direct role, an indirect role, and a collaborative role.</w:t>
      </w:r>
    </w:p>
    <w:p w14:paraId="35D44C70" w14:textId="77777777" w:rsidR="00564ADD" w:rsidRPr="00516995" w:rsidRDefault="00564ADD" w:rsidP="00564ADD">
      <w:pPr>
        <w:keepNext/>
        <w:widowControl w:val="0"/>
        <w:spacing w:beforeAutospacing="1" w:afterAutospacing="1"/>
        <w:rPr>
          <w:rFonts w:cs="Arial"/>
          <w:sz w:val="24"/>
        </w:rPr>
      </w:pPr>
      <w:r w:rsidRPr="00516995">
        <w:rPr>
          <w:rFonts w:cs="Arial"/>
          <w:sz w:val="24"/>
        </w:rPr>
        <w:t>Direct Role:</w:t>
      </w:r>
    </w:p>
    <w:p w14:paraId="2C8547D2"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Post the fair housing logo and message on agency websites. Include the Governor’s Proclamation, Impediments to Fair Housing, Action Plan, and Fair Housing Team.</w:t>
      </w:r>
    </w:p>
    <w:p w14:paraId="102102AF"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Adopt architectural standards that promote accessible, adaptable, and universal design of housing. Encourage architects, builders, and developers to apply these standards to new construction, Housing Tax Credit, Private Activity Bond, HOME and HTF Rental Development projects, and encourage use where practical in housing rehabilitation and home ownership projects. Conduct rental housing seminars, including fair housing components, through partnership with a statewide rental initiative. Recruit landlords, tenants, property managers, and realtors of private and public sector rental housing. Cover rental applications, screening, leases, security deposits, maintenance, crime prevention, and eviction.</w:t>
      </w:r>
    </w:p>
    <w:p w14:paraId="5D709A50"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Include a fair housing component in all grantee, developer and property manager training.</w:t>
      </w:r>
    </w:p>
    <w:p w14:paraId="43DCC561"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 xml:space="preserve">Use data from </w:t>
      </w:r>
      <w:r>
        <w:rPr>
          <w:rFonts w:cs="Arial"/>
          <w:sz w:val="24"/>
        </w:rPr>
        <w:t xml:space="preserve">HUD and the </w:t>
      </w:r>
      <w:r w:rsidRPr="00516995">
        <w:rPr>
          <w:rFonts w:cs="Arial"/>
          <w:sz w:val="24"/>
        </w:rPr>
        <w:t>U.S. Census to identify areas of minority concentration</w:t>
      </w:r>
      <w:r>
        <w:rPr>
          <w:rFonts w:cs="Arial"/>
          <w:sz w:val="24"/>
        </w:rPr>
        <w:t>, and specifically Racially/Ethnically Concentrated Areas of Poverty (R/ECAPs)</w:t>
      </w:r>
      <w:r w:rsidRPr="00516995">
        <w:rPr>
          <w:rFonts w:cs="Arial"/>
          <w:sz w:val="24"/>
        </w:rPr>
        <w:t>. Promote developments and activities that a) provide housing and services to those communities, b) provide opportunities for ‘housing choice’ to those communities, and c) affirmatively market programs and services to those communities.</w:t>
      </w:r>
    </w:p>
    <w:p w14:paraId="078CFDAC" w14:textId="77777777" w:rsidR="00564ADD" w:rsidRPr="00516995" w:rsidRDefault="00564ADD" w:rsidP="00564ADD">
      <w:pPr>
        <w:keepNext/>
        <w:widowControl w:val="0"/>
        <w:spacing w:beforeAutospacing="1" w:afterAutospacing="1"/>
        <w:rPr>
          <w:rFonts w:cs="Arial"/>
          <w:sz w:val="24"/>
        </w:rPr>
      </w:pPr>
      <w:r w:rsidRPr="00516995">
        <w:rPr>
          <w:rFonts w:cs="Arial"/>
          <w:sz w:val="24"/>
        </w:rPr>
        <w:t>Indirect Role</w:t>
      </w:r>
      <w:r>
        <w:rPr>
          <w:rFonts w:cs="Arial"/>
          <w:sz w:val="24"/>
        </w:rPr>
        <w:t>:</w:t>
      </w:r>
    </w:p>
    <w:p w14:paraId="46EC6462"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Funding agencies are encouraged to require that grantees (local governments, private developers or owners, and nonprofit organizations receiving housing funds) create and maintain an Affirmative Fair Housing Marketing Plan identifying potentially underserved local populations and efforts to market to those constituencies; require that entities document a process to inform potential program participants of their fair housing rights, and of their avenues for appeal; and request that the entities complete and verify a minimum of one fair housing activity per year per loan or grant. Categories of fair housing activities include: Planning, Research and Development; Business and Finance; Information and Education; Complaints and Remedies.</w:t>
      </w:r>
    </w:p>
    <w:p w14:paraId="75D3E694"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Provide regular training, technical assistance, and monitoring for housing grantees, developers and managers to ensure compliance with fair housing requirements. Incorporate fair housing information into grant management and program compliance training. Staff will complete, and submit, Fair Housing Tracking reports on all housing projects monitored.</w:t>
      </w:r>
    </w:p>
    <w:p w14:paraId="5D41B9F2" w14:textId="77777777" w:rsidR="00564ADD" w:rsidRPr="00516995" w:rsidRDefault="00564ADD" w:rsidP="00564ADD">
      <w:pPr>
        <w:keepNext/>
        <w:widowControl w:val="0"/>
        <w:spacing w:beforeAutospacing="1" w:afterAutospacing="1"/>
        <w:rPr>
          <w:rFonts w:cs="Arial"/>
          <w:sz w:val="24"/>
        </w:rPr>
      </w:pPr>
      <w:r w:rsidRPr="00516995">
        <w:rPr>
          <w:rFonts w:cs="Arial"/>
          <w:sz w:val="24"/>
        </w:rPr>
        <w:t>Collaborative Role:</w:t>
      </w:r>
    </w:p>
    <w:p w14:paraId="3D874E42"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Request the Governor, city mayors, and county commissioners issue fair housing month proclamations for each April (Fair Housing Month).</w:t>
      </w:r>
    </w:p>
    <w:p w14:paraId="0AD20F8C"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Distribute fair housing information at professional and trade conferences. Attend events of local government officials, banking executives, real estate agents, landlord associations, community action agencies, independent living centers, or others.</w:t>
      </w:r>
    </w:p>
    <w:p w14:paraId="37AB31F8" w14:textId="77777777" w:rsidR="00564ADD" w:rsidRPr="00516995" w:rsidRDefault="00564ADD" w:rsidP="00A121EE">
      <w:pPr>
        <w:keepNext/>
        <w:widowControl w:val="0"/>
        <w:numPr>
          <w:ilvl w:val="0"/>
          <w:numId w:val="10"/>
        </w:numPr>
        <w:spacing w:beforeAutospacing="1" w:afterAutospacing="1"/>
        <w:rPr>
          <w:rFonts w:cs="Arial"/>
          <w:sz w:val="24"/>
        </w:rPr>
      </w:pPr>
      <w:r w:rsidRPr="00516995">
        <w:rPr>
          <w:rFonts w:cs="Arial"/>
          <w:sz w:val="24"/>
        </w:rPr>
        <w:t>Present fair housing training and workshops, including educational courses or modules, to encourage proactive use of housing resources. Reach out to consumer and grass roots organizations, such as domestic violence shelters, job training centers, student associations, support groups, etc. Address topics of accessibility, predatory lending, local/state equivalency to federal enforcement, hate crimes and other issues.</w:t>
      </w:r>
    </w:p>
    <w:p w14:paraId="3DA8D534" w14:textId="77777777" w:rsidR="00564ADD" w:rsidRDefault="00564ADD" w:rsidP="00564ADD">
      <w:pPr>
        <w:widowControl w:val="0"/>
        <w:spacing w:line="204" w:lineRule="auto"/>
        <w:rPr>
          <w:b/>
          <w:sz w:val="24"/>
          <w:szCs w:val="24"/>
        </w:rPr>
      </w:pPr>
      <w:r>
        <w:rPr>
          <w:b/>
          <w:sz w:val="24"/>
          <w:szCs w:val="24"/>
        </w:rPr>
        <w:t xml:space="preserve">Discussion: </w:t>
      </w:r>
    </w:p>
    <w:p w14:paraId="11080B21" w14:textId="77777777" w:rsidR="00564ADD" w:rsidRPr="00516995" w:rsidRDefault="00564ADD" w:rsidP="00564ADD">
      <w:pPr>
        <w:keepNext/>
        <w:widowControl w:val="0"/>
        <w:spacing w:beforeAutospacing="1" w:afterAutospacing="1"/>
        <w:rPr>
          <w:b/>
          <w:sz w:val="28"/>
          <w:szCs w:val="24"/>
        </w:rPr>
      </w:pPr>
      <w:r w:rsidRPr="00516995">
        <w:rPr>
          <w:rFonts w:cs="Arial"/>
          <w:sz w:val="24"/>
        </w:rPr>
        <w:t>Additionally, in section MA-40, Barriers to Affordable Housing, the State’s 201</w:t>
      </w:r>
      <w:r>
        <w:rPr>
          <w:rFonts w:cs="Arial"/>
          <w:sz w:val="24"/>
        </w:rPr>
        <w:t>9</w:t>
      </w:r>
      <w:r w:rsidRPr="00516995">
        <w:rPr>
          <w:rFonts w:cs="Arial"/>
          <w:sz w:val="24"/>
        </w:rPr>
        <w:t>-20</w:t>
      </w:r>
      <w:r>
        <w:rPr>
          <w:rFonts w:cs="Arial"/>
          <w:sz w:val="24"/>
        </w:rPr>
        <w:t>23</w:t>
      </w:r>
      <w:r w:rsidRPr="00516995">
        <w:rPr>
          <w:rFonts w:cs="Arial"/>
          <w:sz w:val="24"/>
        </w:rPr>
        <w:t xml:space="preserve"> Kansas Consolidated Plan identifies the barriers to affordable housing as:</w:t>
      </w:r>
    </w:p>
    <w:p w14:paraId="7C9F9F4A" w14:textId="1A583D19" w:rsidR="00564ADD" w:rsidRPr="00516995" w:rsidRDefault="00564ADD" w:rsidP="00A121EE">
      <w:pPr>
        <w:keepNext/>
        <w:widowControl w:val="0"/>
        <w:numPr>
          <w:ilvl w:val="0"/>
          <w:numId w:val="10"/>
        </w:numPr>
        <w:spacing w:beforeAutospacing="1" w:afterAutospacing="1"/>
        <w:rPr>
          <w:b/>
          <w:sz w:val="28"/>
          <w:szCs w:val="24"/>
        </w:rPr>
      </w:pPr>
      <w:r w:rsidRPr="00516995">
        <w:rPr>
          <w:rFonts w:cs="Arial"/>
          <w:sz w:val="24"/>
        </w:rPr>
        <w:t xml:space="preserve">Most housing and service providers feel that a significant share of fair housing violations in the </w:t>
      </w:r>
      <w:r w:rsidR="00556755">
        <w:rPr>
          <w:rFonts w:cs="Arial"/>
          <w:sz w:val="24"/>
        </w:rPr>
        <w:t>state</w:t>
      </w:r>
      <w:r w:rsidRPr="00516995">
        <w:rPr>
          <w:rFonts w:cs="Arial"/>
          <w:sz w:val="24"/>
        </w:rPr>
        <w:t xml:space="preserve"> are unreported.</w:t>
      </w:r>
    </w:p>
    <w:p w14:paraId="12AEE3D4" w14:textId="77777777" w:rsidR="00564ADD" w:rsidRPr="00516995" w:rsidRDefault="00564ADD" w:rsidP="00A121EE">
      <w:pPr>
        <w:keepNext/>
        <w:widowControl w:val="0"/>
        <w:numPr>
          <w:ilvl w:val="0"/>
          <w:numId w:val="10"/>
        </w:numPr>
        <w:spacing w:beforeAutospacing="1" w:afterAutospacing="1"/>
        <w:rPr>
          <w:b/>
          <w:sz w:val="28"/>
          <w:szCs w:val="24"/>
        </w:rPr>
      </w:pPr>
      <w:r w:rsidRPr="00516995">
        <w:rPr>
          <w:rFonts w:cs="Arial"/>
          <w:sz w:val="24"/>
        </w:rPr>
        <w:t>This lack of reporting is largely due to lack of knowledge of fair housing rights and how to file complaints. Fear of retribution and apathy were also cited as reasons for not reporting.  Many housing and service providers seemed to be unaware of protections by gender or family status.</w:t>
      </w:r>
    </w:p>
    <w:p w14:paraId="5A66FEED" w14:textId="462CB2DC" w:rsidR="00564ADD" w:rsidRPr="00516995" w:rsidRDefault="00564ADD" w:rsidP="00A121EE">
      <w:pPr>
        <w:keepNext/>
        <w:widowControl w:val="0"/>
        <w:numPr>
          <w:ilvl w:val="0"/>
          <w:numId w:val="10"/>
        </w:numPr>
        <w:spacing w:beforeAutospacing="1" w:afterAutospacing="1"/>
        <w:rPr>
          <w:b/>
          <w:sz w:val="28"/>
          <w:szCs w:val="24"/>
        </w:rPr>
      </w:pPr>
      <w:r w:rsidRPr="00516995">
        <w:rPr>
          <w:rFonts w:cs="Arial"/>
          <w:sz w:val="24"/>
        </w:rPr>
        <w:t xml:space="preserve">Current violations are most likely to impact persons with disabilities and, in Southwest Kansas, large Hispanic families. Violations may include refusal to make reasonable accommodations for persons with disabilities and refusal to rent on the basis of national origin or family size. Concentrated ownership of rental units in some parts of the </w:t>
      </w:r>
      <w:r w:rsidR="00556755">
        <w:rPr>
          <w:rFonts w:cs="Arial"/>
          <w:sz w:val="24"/>
        </w:rPr>
        <w:t>state</w:t>
      </w:r>
      <w:r w:rsidRPr="00516995">
        <w:rPr>
          <w:rFonts w:cs="Arial"/>
          <w:sz w:val="24"/>
        </w:rPr>
        <w:t xml:space="preserve"> creates a dynamic where potential complainants are easily intimidated.  Additionally, a survey found a lack of group homes in certain areas and a lack of accessible housing for people with disabilities.</w:t>
      </w:r>
    </w:p>
    <w:p w14:paraId="3C4EABCE" w14:textId="77777777" w:rsidR="00564ADD" w:rsidRPr="00516995" w:rsidRDefault="00564ADD" w:rsidP="00A121EE">
      <w:pPr>
        <w:keepNext/>
        <w:widowControl w:val="0"/>
        <w:numPr>
          <w:ilvl w:val="0"/>
          <w:numId w:val="10"/>
        </w:numPr>
        <w:spacing w:beforeAutospacing="1" w:afterAutospacing="1"/>
        <w:rPr>
          <w:b/>
          <w:sz w:val="28"/>
          <w:szCs w:val="24"/>
        </w:rPr>
      </w:pPr>
      <w:r w:rsidRPr="00516995">
        <w:rPr>
          <w:rFonts w:cs="Arial"/>
          <w:sz w:val="24"/>
        </w:rPr>
        <w:t>The most common protected classes for complaints were people with physical disabilities and national origin (note: this data is statewide, including entitlement areas).</w:t>
      </w:r>
    </w:p>
    <w:p w14:paraId="3121D248" w14:textId="77777777" w:rsidR="00564ADD" w:rsidRPr="00516995" w:rsidRDefault="00564ADD" w:rsidP="00A121EE">
      <w:pPr>
        <w:keepNext/>
        <w:widowControl w:val="0"/>
        <w:numPr>
          <w:ilvl w:val="0"/>
          <w:numId w:val="10"/>
        </w:numPr>
        <w:spacing w:beforeAutospacing="1" w:afterAutospacing="1"/>
        <w:rPr>
          <w:b/>
          <w:sz w:val="28"/>
          <w:szCs w:val="24"/>
        </w:rPr>
      </w:pPr>
      <w:r w:rsidRPr="00516995">
        <w:rPr>
          <w:rFonts w:cs="Arial"/>
          <w:sz w:val="24"/>
        </w:rPr>
        <w:t>Predatory lending was seen as a concern. The most common forms of predatory lending were reported to be lenders making unaffordable loans, repeated inducements for refinancing so that lenders could earn points on transactions, and payday/title loans.  A review of the data lead to three primary conclusions:  Regardless of race, gender or income, the most common reason for loan denials is poor credit history, followed by debt-to-income ratios; African Americans and Hispanics have less success in applying for loans than other races. Native Americans have varying degrees of success compared to other races depending on income levels and loan types, and denial rates decline as incomes rise, but gender has no impact on loan approval or denial.</w:t>
      </w:r>
    </w:p>
    <w:p w14:paraId="798CE2D4" w14:textId="77777777" w:rsidR="00564ADD" w:rsidRPr="00516995" w:rsidRDefault="00564ADD" w:rsidP="00564ADD">
      <w:pPr>
        <w:widowControl w:val="0"/>
        <w:spacing w:line="204" w:lineRule="auto"/>
        <w:rPr>
          <w:sz w:val="24"/>
          <w:szCs w:val="24"/>
        </w:rPr>
      </w:pPr>
    </w:p>
    <w:p w14:paraId="2CE6D494" w14:textId="77777777" w:rsidR="00564ADD" w:rsidRDefault="00564ADD" w:rsidP="0068663E">
      <w:pPr>
        <w:pStyle w:val="Heading2"/>
        <w:keepNext w:val="0"/>
        <w:pageBreakBefore/>
        <w:widowControl w:val="0"/>
        <w:shd w:val="clear" w:color="auto" w:fill="95B3D7" w:themeFill="accent1" w:themeFillTint="99"/>
        <w:rPr>
          <w:rFonts w:ascii="Calibri" w:hAnsi="Calibri"/>
          <w:i w:val="0"/>
        </w:rPr>
      </w:pPr>
      <w:bookmarkStart w:id="76" w:name="_Toc524603056"/>
      <w:r>
        <w:rPr>
          <w:rFonts w:ascii="Calibri" w:hAnsi="Calibri"/>
          <w:i w:val="0"/>
        </w:rPr>
        <w:t>AP-85 Other Actions – 91.320(j)</w:t>
      </w:r>
      <w:bookmarkEnd w:id="76"/>
    </w:p>
    <w:p w14:paraId="2E760B75" w14:textId="77777777" w:rsidR="00564ADD" w:rsidRDefault="00564ADD" w:rsidP="00564ADD">
      <w:pPr>
        <w:widowControl w:val="0"/>
        <w:spacing w:line="204" w:lineRule="auto"/>
        <w:rPr>
          <w:b/>
          <w:sz w:val="24"/>
          <w:szCs w:val="24"/>
        </w:rPr>
      </w:pPr>
      <w:r>
        <w:rPr>
          <w:b/>
          <w:sz w:val="24"/>
          <w:szCs w:val="24"/>
        </w:rPr>
        <w:t xml:space="preserve">Introduction: </w:t>
      </w:r>
    </w:p>
    <w:p w14:paraId="01A24B3E" w14:textId="77777777" w:rsidR="00564ADD" w:rsidRPr="00074C0C" w:rsidRDefault="00564ADD" w:rsidP="00564ADD">
      <w:pPr>
        <w:keepNext/>
        <w:widowControl w:val="0"/>
        <w:spacing w:beforeAutospacing="1" w:afterAutospacing="1"/>
        <w:rPr>
          <w:b/>
          <w:sz w:val="28"/>
          <w:szCs w:val="24"/>
        </w:rPr>
      </w:pPr>
      <w:r w:rsidRPr="00074C0C">
        <w:rPr>
          <w:rFonts w:cs="Arial"/>
          <w:sz w:val="24"/>
        </w:rPr>
        <w:t>In addition to the actions detailed in the previous sections, the state of Kansas will continue to address the other issues covered in the 2019 - 2023 Consolidated Plan, including the following:</w:t>
      </w:r>
    </w:p>
    <w:p w14:paraId="4A2D44CB" w14:textId="77777777" w:rsidR="00564ADD" w:rsidRDefault="00564ADD" w:rsidP="00564ADD">
      <w:pPr>
        <w:widowControl w:val="0"/>
        <w:rPr>
          <w:b/>
          <w:sz w:val="24"/>
          <w:szCs w:val="24"/>
        </w:rPr>
      </w:pPr>
      <w:r>
        <w:rPr>
          <w:b/>
          <w:sz w:val="24"/>
          <w:szCs w:val="24"/>
        </w:rPr>
        <w:t>Actions planned to address obstacles to meeting underserved needs</w:t>
      </w:r>
    </w:p>
    <w:p w14:paraId="45B4ED39" w14:textId="77777777" w:rsidR="00564ADD" w:rsidRPr="00074C0C" w:rsidRDefault="00564ADD" w:rsidP="00564ADD">
      <w:pPr>
        <w:keepNext/>
        <w:widowControl w:val="0"/>
        <w:spacing w:beforeAutospacing="1" w:afterAutospacing="1"/>
        <w:rPr>
          <w:rFonts w:cs="Arial"/>
          <w:sz w:val="24"/>
        </w:rPr>
      </w:pPr>
      <w:r w:rsidRPr="00074C0C">
        <w:rPr>
          <w:rFonts w:cs="Arial"/>
          <w:sz w:val="24"/>
        </w:rPr>
        <w:t xml:space="preserve">The greatest obstacle to meeting the underserved needs in the State of Kansas, aside from lack of funding, is the lack of professional organizations and private providers of grant-writing and administrative capabilities in the areas needed. The majority of the 637 communities eligible for applying for funding in the CDBG program </w:t>
      </w:r>
      <w:r>
        <w:rPr>
          <w:rFonts w:cs="Arial"/>
          <w:sz w:val="24"/>
        </w:rPr>
        <w:t>are</w:t>
      </w:r>
      <w:r w:rsidRPr="00074C0C">
        <w:rPr>
          <w:rFonts w:cs="Arial"/>
          <w:sz w:val="24"/>
        </w:rPr>
        <w:t xml:space="preserve"> under 1,000 in population and lack the local capacity not only to administer the programs but also to seek out the available services and funds with which to address their problems.  However, the CDBG program utilizes the assistance of 10 Regional Program Managers by the Kansas Department of Commerce to help locate and identify available services and resources.</w:t>
      </w:r>
    </w:p>
    <w:p w14:paraId="48FD81F7" w14:textId="77777777" w:rsidR="00564ADD" w:rsidRDefault="00564ADD" w:rsidP="00564ADD">
      <w:pPr>
        <w:widowControl w:val="0"/>
        <w:rPr>
          <w:b/>
          <w:sz w:val="24"/>
          <w:szCs w:val="24"/>
        </w:rPr>
      </w:pPr>
      <w:r>
        <w:rPr>
          <w:b/>
          <w:sz w:val="24"/>
          <w:szCs w:val="24"/>
        </w:rPr>
        <w:t>Actions planned to foster and maintain affordable housing</w:t>
      </w:r>
    </w:p>
    <w:p w14:paraId="406FCDE7" w14:textId="77777777" w:rsidR="00564ADD" w:rsidRPr="00074C0C" w:rsidRDefault="00564ADD" w:rsidP="00564ADD">
      <w:pPr>
        <w:keepNext/>
        <w:widowControl w:val="0"/>
        <w:spacing w:beforeAutospacing="1" w:afterAutospacing="1"/>
        <w:rPr>
          <w:rFonts w:cs="Arial"/>
          <w:sz w:val="24"/>
        </w:rPr>
      </w:pPr>
      <w:r w:rsidRPr="00074C0C">
        <w:rPr>
          <w:rFonts w:cs="Arial"/>
          <w:sz w:val="24"/>
        </w:rPr>
        <w:t>Kansas Housing Resources Corporation, Kansas Department of Commerce, and the local USDA Rural Development conduct quarterly interagency meetings to plan and review collaborative efforts related to housing. KHRC has also been placed on e-mail/mailing lists for upcoming events held by Kansas African American Affairs Commission and Kansas Hispanic &amp; Latino Affairs Commission. </w:t>
      </w:r>
    </w:p>
    <w:p w14:paraId="1C3AE359" w14:textId="77777777" w:rsidR="00564ADD" w:rsidRDefault="00564ADD" w:rsidP="00564ADD">
      <w:pPr>
        <w:widowControl w:val="0"/>
        <w:rPr>
          <w:b/>
          <w:sz w:val="24"/>
          <w:szCs w:val="24"/>
        </w:rPr>
      </w:pPr>
      <w:r>
        <w:rPr>
          <w:b/>
          <w:sz w:val="24"/>
          <w:szCs w:val="24"/>
        </w:rPr>
        <w:t>Actions planned to reduce lead-based paint hazards</w:t>
      </w:r>
    </w:p>
    <w:p w14:paraId="1A308B4D" w14:textId="77777777" w:rsidR="00564ADD" w:rsidRPr="00074C0C" w:rsidRDefault="00564ADD" w:rsidP="00564ADD">
      <w:pPr>
        <w:keepNext/>
        <w:widowControl w:val="0"/>
        <w:spacing w:beforeAutospacing="1" w:afterAutospacing="1"/>
        <w:rPr>
          <w:rFonts w:cs="Arial"/>
          <w:sz w:val="24"/>
        </w:rPr>
      </w:pPr>
      <w:r w:rsidRPr="00074C0C">
        <w:rPr>
          <w:rFonts w:cs="Arial"/>
          <w:sz w:val="24"/>
        </w:rPr>
        <w:t>The State will follow, and monitor grantees to ensure compliance with, the HUD lead-based paint regulations implementing Title X of the Housing and Community Development Act of 1992. These regulations cover the CDBG, HOME, ESG, and HOPWA programs, and identify the appropriate type of activity to control lead paint hazards, in projects using federal funds. The $25,000 abatement threshold in Title X has not been adjusted since it was established, while construction/ rehabilitation costs have escalated. This precludes a number of homes from being rehabilitated because abatement costs make it financially unfeasible. The State will further comply with LBP regulations of the EPA and those enacted by the State of Kansas, including KDHE’s licensing requirements for rehabilitation contractors.</w:t>
      </w:r>
    </w:p>
    <w:p w14:paraId="535CC4C4" w14:textId="77777777" w:rsidR="00564ADD" w:rsidRPr="00074C0C" w:rsidRDefault="00564ADD" w:rsidP="00564ADD">
      <w:pPr>
        <w:keepNext/>
        <w:widowControl w:val="0"/>
        <w:spacing w:beforeAutospacing="1" w:afterAutospacing="1"/>
        <w:rPr>
          <w:rFonts w:cs="Arial"/>
          <w:sz w:val="24"/>
        </w:rPr>
      </w:pPr>
      <w:r w:rsidRPr="00074C0C">
        <w:rPr>
          <w:rFonts w:cs="Arial"/>
          <w:sz w:val="24"/>
        </w:rPr>
        <w:t xml:space="preserve"> KHRC will coordinate with KDHE for training, education and other resources related to lead based paint hazards and will require that grantees and sub grantees utilize staff and contractors that have the appropriate training and certification. KHRC is represented on the Healthy Homes Advisory Committee, a body organized and coordinated by KDHE and which meets quarterly to review current issues related to LBP.</w:t>
      </w:r>
      <w:r>
        <w:rPr>
          <w:rFonts w:cs="Arial"/>
          <w:sz w:val="24"/>
        </w:rPr>
        <w:t xml:space="preserve"> The Kansas Healthy Homes Program can be found here: </w:t>
      </w:r>
      <w:hyperlink r:id="rId60" w:history="1">
        <w:r w:rsidRPr="00B9401A">
          <w:rPr>
            <w:rStyle w:val="Hyperlink"/>
            <w:rFonts w:cs="Arial"/>
            <w:sz w:val="24"/>
          </w:rPr>
          <w:t>http://www.kshealthyhomes.org/</w:t>
        </w:r>
      </w:hyperlink>
      <w:r>
        <w:rPr>
          <w:rFonts w:cs="Arial"/>
          <w:sz w:val="24"/>
        </w:rPr>
        <w:t xml:space="preserve"> </w:t>
      </w:r>
    </w:p>
    <w:p w14:paraId="28F56B19" w14:textId="77777777" w:rsidR="00564ADD" w:rsidRDefault="00564ADD" w:rsidP="00564ADD">
      <w:pPr>
        <w:widowControl w:val="0"/>
        <w:rPr>
          <w:b/>
          <w:sz w:val="24"/>
          <w:szCs w:val="24"/>
        </w:rPr>
      </w:pPr>
      <w:r>
        <w:rPr>
          <w:b/>
          <w:sz w:val="24"/>
          <w:szCs w:val="24"/>
        </w:rPr>
        <w:t>Actions planned to reduce the number of poverty-level families</w:t>
      </w:r>
    </w:p>
    <w:p w14:paraId="6A1A5407" w14:textId="77777777" w:rsidR="00564ADD" w:rsidRPr="00074C0C" w:rsidRDefault="00564ADD" w:rsidP="00564ADD">
      <w:pPr>
        <w:keepNext/>
        <w:widowControl w:val="0"/>
        <w:spacing w:beforeAutospacing="1" w:afterAutospacing="1"/>
        <w:rPr>
          <w:rFonts w:cs="Arial"/>
          <w:sz w:val="24"/>
          <w:szCs w:val="26"/>
        </w:rPr>
      </w:pPr>
      <w:r w:rsidRPr="00074C0C">
        <w:rPr>
          <w:rFonts w:cs="Arial"/>
          <w:sz w:val="24"/>
        </w:rPr>
        <w:t>The State developed an Economic Development Strategic Plan, released in 2011, to facilitate statewide economic development.   The plan is based on a belief that State government has two fundamental roles to play in the process of economic development. First, it must establish a business environment that motivates as much risk-taking and competition as possible in the context of a level playing field.  Second, it must steward taxpayer resources in the most effective manner possible; when the government strives to do its job well with as few resources as possible, it leaves more resources available for risk-taking and competition.</w:t>
      </w:r>
    </w:p>
    <w:p w14:paraId="0F16885B" w14:textId="77777777" w:rsidR="00564ADD" w:rsidRPr="00074C0C" w:rsidRDefault="00564ADD" w:rsidP="00564ADD">
      <w:pPr>
        <w:keepNext/>
        <w:widowControl w:val="0"/>
        <w:spacing w:beforeAutospacing="1" w:afterAutospacing="1"/>
        <w:rPr>
          <w:rFonts w:cs="Arial"/>
          <w:sz w:val="24"/>
          <w:szCs w:val="26"/>
        </w:rPr>
      </w:pPr>
      <w:r w:rsidRPr="00074C0C">
        <w:rPr>
          <w:rFonts w:cs="Arial"/>
          <w:sz w:val="24"/>
        </w:rPr>
        <w:t>The State, in partnership with non-profit agencies and businesses, can influence the chances of moving families and individuals up and out of poverty by supporting local and regional efforts to improve family incomes. </w:t>
      </w:r>
    </w:p>
    <w:p w14:paraId="6E79CF8A" w14:textId="77777777" w:rsidR="00564ADD" w:rsidRPr="00074C0C" w:rsidRDefault="00564ADD" w:rsidP="00564ADD">
      <w:pPr>
        <w:keepNext/>
        <w:widowControl w:val="0"/>
        <w:spacing w:beforeAutospacing="1" w:afterAutospacing="1"/>
        <w:rPr>
          <w:rFonts w:cs="Arial"/>
          <w:sz w:val="24"/>
          <w:szCs w:val="26"/>
        </w:rPr>
      </w:pPr>
      <w:r w:rsidRPr="00074C0C">
        <w:rPr>
          <w:rFonts w:cs="Arial"/>
          <w:sz w:val="24"/>
        </w:rPr>
        <w:t>State and regional projects and initiatives that will impact the employment and economic levels of employees and residents, such as infrastructure improvements to water and sewer systems, community facilities, and downtown commercial rehabilitation, will create a positive economic environment. </w:t>
      </w:r>
    </w:p>
    <w:p w14:paraId="521BE215" w14:textId="77777777" w:rsidR="00564ADD" w:rsidRDefault="00564ADD" w:rsidP="00564ADD">
      <w:pPr>
        <w:widowControl w:val="0"/>
        <w:rPr>
          <w:b/>
          <w:sz w:val="24"/>
          <w:szCs w:val="24"/>
        </w:rPr>
      </w:pPr>
      <w:r>
        <w:rPr>
          <w:b/>
          <w:sz w:val="24"/>
          <w:szCs w:val="24"/>
        </w:rPr>
        <w:t xml:space="preserve">Actions planned to develop institutional structure </w:t>
      </w:r>
    </w:p>
    <w:p w14:paraId="12BD30B3" w14:textId="3BD68667" w:rsidR="00564ADD" w:rsidRPr="00074C0C" w:rsidRDefault="00564ADD" w:rsidP="00564ADD">
      <w:pPr>
        <w:keepNext/>
        <w:widowControl w:val="0"/>
        <w:spacing w:beforeAutospacing="1" w:afterAutospacing="1"/>
        <w:rPr>
          <w:rFonts w:cs="Arial"/>
          <w:sz w:val="24"/>
        </w:rPr>
      </w:pPr>
      <w:r w:rsidRPr="00074C0C">
        <w:rPr>
          <w:rFonts w:cs="Arial"/>
          <w:sz w:val="24"/>
        </w:rPr>
        <w:t xml:space="preserve">The biggest gap in the institutional delivery system is the large territory that must be covered by a limited number of staff members.  As discussed earlier, technical assistance and monitoring in the western part of the </w:t>
      </w:r>
      <w:r w:rsidR="00556755">
        <w:rPr>
          <w:rFonts w:cs="Arial"/>
          <w:sz w:val="24"/>
        </w:rPr>
        <w:t>state</w:t>
      </w:r>
      <w:r w:rsidRPr="00074C0C">
        <w:rPr>
          <w:rFonts w:cs="Arial"/>
          <w:sz w:val="24"/>
        </w:rPr>
        <w:t xml:space="preserve"> is carried out by one field area representative of the Division. Of the 105 counties in the State of Kansas, this one employee is responsible for 57 of these counties. Population in the majority of these counties totals less than 5,000 persons each and the distance and time required to travel makes it a difficult situation. KHRC will continue to work with other State agencies and local communities to overcome the gaps in institutional structure.</w:t>
      </w:r>
    </w:p>
    <w:p w14:paraId="7F01FA2C" w14:textId="77777777" w:rsidR="00564ADD" w:rsidRDefault="00564ADD" w:rsidP="00564ADD">
      <w:pPr>
        <w:widowControl w:val="0"/>
        <w:rPr>
          <w:b/>
          <w:sz w:val="24"/>
          <w:szCs w:val="24"/>
        </w:rPr>
      </w:pPr>
      <w:r>
        <w:rPr>
          <w:b/>
          <w:sz w:val="24"/>
          <w:szCs w:val="24"/>
        </w:rPr>
        <w:t>Actions planned to enhance coordination between public and private housing and social service agencies</w:t>
      </w:r>
    </w:p>
    <w:p w14:paraId="09E75E34" w14:textId="2FEEE726" w:rsidR="00564ADD" w:rsidRPr="00074C0C" w:rsidRDefault="00564ADD" w:rsidP="00564ADD">
      <w:pPr>
        <w:keepNext/>
        <w:widowControl w:val="0"/>
        <w:spacing w:beforeAutospacing="1" w:afterAutospacing="1"/>
        <w:rPr>
          <w:rFonts w:cs="Arial"/>
          <w:sz w:val="24"/>
          <w:szCs w:val="26"/>
        </w:rPr>
      </w:pPr>
      <w:r w:rsidRPr="00074C0C">
        <w:rPr>
          <w:rFonts w:cs="Arial"/>
          <w:sz w:val="24"/>
        </w:rPr>
        <w:t xml:space="preserve">Kansas Housing Resources Corporation (KHRC) continues to enhance collaboration and coordination with public and private housing and social service agencies, including local USDA Rural Development and the Kansas Department for Aging and Disability Services (disability services) and KDHE (Medicaid).  KHRC will also cooperate with cities, counties, and regions of the </w:t>
      </w:r>
      <w:r w:rsidR="00556755">
        <w:rPr>
          <w:rFonts w:cs="Arial"/>
          <w:sz w:val="24"/>
        </w:rPr>
        <w:t>state</w:t>
      </w:r>
      <w:r w:rsidRPr="00074C0C">
        <w:rPr>
          <w:rFonts w:cs="Arial"/>
          <w:sz w:val="24"/>
        </w:rPr>
        <w:t xml:space="preserve"> for the best locations for affordable housing development using Low Income Housing Tax Credit (LIHTC), HTF, HOME, and the State Housing Trust Fund (SHTF).</w:t>
      </w:r>
    </w:p>
    <w:p w14:paraId="33BD0DED" w14:textId="77777777" w:rsidR="00564ADD" w:rsidRDefault="00564ADD" w:rsidP="0068663E">
      <w:pPr>
        <w:shd w:val="clear" w:color="auto" w:fill="95B3D7" w:themeFill="accent1" w:themeFillTint="99"/>
        <w:rPr>
          <w:b/>
          <w:sz w:val="28"/>
          <w:szCs w:val="28"/>
        </w:rPr>
      </w:pPr>
      <w:r>
        <w:rPr>
          <w:b/>
          <w:sz w:val="28"/>
          <w:szCs w:val="28"/>
        </w:rPr>
        <w:t>AP-90 Program Specific Requirements – 91.320(k)(1,2,3)</w:t>
      </w:r>
    </w:p>
    <w:p w14:paraId="76CC17FC" w14:textId="77777777" w:rsidR="00564ADD" w:rsidRDefault="00564ADD" w:rsidP="00564ADD">
      <w:pPr>
        <w:widowControl w:val="0"/>
        <w:spacing w:line="204" w:lineRule="auto"/>
        <w:rPr>
          <w:b/>
          <w:sz w:val="24"/>
          <w:szCs w:val="24"/>
        </w:rPr>
      </w:pPr>
      <w:r>
        <w:rPr>
          <w:b/>
          <w:sz w:val="24"/>
          <w:szCs w:val="24"/>
        </w:rPr>
        <w:t xml:space="preserve">Introduction: </w:t>
      </w:r>
    </w:p>
    <w:p w14:paraId="0EC1050D" w14:textId="77777777" w:rsidR="00564ADD" w:rsidRDefault="00564ADD" w:rsidP="00564ADD">
      <w:pPr>
        <w:keepNext/>
        <w:widowControl w:val="0"/>
        <w:spacing w:beforeAutospacing="1" w:afterAutospacing="1"/>
        <w:rPr>
          <w:b/>
          <w:sz w:val="24"/>
          <w:szCs w:val="24"/>
        </w:rPr>
      </w:pPr>
      <w:r>
        <w:rPr>
          <w:rFonts w:cs="Arial"/>
        </w:rPr>
        <w:t>The following identifies state revolving loan program income available for use for state CDBG funded activities.</w:t>
      </w:r>
    </w:p>
    <w:p w14:paraId="1DEB89C8" w14:textId="77777777" w:rsidR="00564ADD" w:rsidRDefault="00564ADD" w:rsidP="00564ADD">
      <w:pPr>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70119120" w14:textId="77777777" w:rsidR="00564ADD" w:rsidRDefault="00564ADD" w:rsidP="00564ADD">
      <w:pPr>
        <w:widowControl w:val="0"/>
        <w:spacing w:after="0" w:line="240" w:lineRule="auto"/>
        <w:jc w:val="center"/>
        <w:rPr>
          <w:rFonts w:cs="Arial"/>
          <w:b/>
          <w:sz w:val="24"/>
          <w:szCs w:val="24"/>
        </w:rPr>
      </w:pPr>
      <w:r>
        <w:rPr>
          <w:rFonts w:cs="Arial"/>
          <w:b/>
          <w:sz w:val="24"/>
          <w:szCs w:val="24"/>
        </w:rPr>
        <w:t>Reference 24 CFR 91.320(k)(1)</w:t>
      </w:r>
      <w:r>
        <w:rPr>
          <w:i/>
        </w:rPr>
        <w:t xml:space="preserve"> </w:t>
      </w:r>
    </w:p>
    <w:p w14:paraId="6CF95FCD" w14:textId="77777777" w:rsidR="00564ADD" w:rsidRDefault="00564ADD" w:rsidP="00564ADD">
      <w:pPr>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35DD19F5" w14:textId="77777777" w:rsidR="00564ADD" w:rsidRDefault="00564ADD" w:rsidP="00564ADD">
      <w:pPr>
        <w:widowControl w:val="0"/>
        <w:spacing w:after="0" w:line="240" w:lineRule="auto"/>
        <w:rPr>
          <w:rFonts w:cs="Arial"/>
        </w:rPr>
      </w:pPr>
    </w:p>
    <w:tbl>
      <w:tblPr>
        <w:tblW w:w="5101" w:type="pct"/>
        <w:tblInd w:w="115" w:type="dxa"/>
        <w:tblLook w:val="01E0" w:firstRow="1" w:lastRow="1" w:firstColumn="1" w:lastColumn="1" w:noHBand="0" w:noVBand="0"/>
      </w:tblPr>
      <w:tblGrid>
        <w:gridCol w:w="7989"/>
        <w:gridCol w:w="1560"/>
      </w:tblGrid>
      <w:tr w:rsidR="00564ADD" w14:paraId="04E6DDC8" w14:textId="77777777" w:rsidTr="009D1558">
        <w:trPr>
          <w:trHeight w:val="277"/>
        </w:trPr>
        <w:tc>
          <w:tcPr>
            <w:tcW w:w="9550" w:type="dxa"/>
            <w:gridSpan w:val="2"/>
            <w:tcBorders>
              <w:bottom w:val="single" w:sz="4" w:space="0" w:color="auto"/>
            </w:tcBorders>
          </w:tcPr>
          <w:p w14:paraId="7E39A7CA" w14:textId="77777777" w:rsidR="00564ADD" w:rsidRDefault="00564ADD" w:rsidP="009D1558">
            <w:pPr>
              <w:widowControl w:val="0"/>
              <w:spacing w:after="0" w:line="240" w:lineRule="auto"/>
              <w:rPr>
                <w:rFonts w:cs="Arial"/>
              </w:rPr>
            </w:pPr>
          </w:p>
        </w:tc>
      </w:tr>
      <w:tr w:rsidR="00564ADD" w14:paraId="79B7E99D" w14:textId="77777777" w:rsidTr="009D1558">
        <w:trPr>
          <w:trHeight w:val="539"/>
        </w:trPr>
        <w:tc>
          <w:tcPr>
            <w:tcW w:w="7990" w:type="dxa"/>
            <w:tcBorders>
              <w:top w:val="single" w:sz="4" w:space="0" w:color="auto"/>
              <w:left w:val="single" w:sz="4" w:space="0" w:color="auto"/>
              <w:bottom w:val="single" w:sz="4" w:space="0" w:color="auto"/>
              <w:right w:val="single" w:sz="4" w:space="0" w:color="auto"/>
            </w:tcBorders>
          </w:tcPr>
          <w:p w14:paraId="27D6FCA0" w14:textId="77777777" w:rsidR="00564ADD" w:rsidRDefault="00564ADD" w:rsidP="009D1558">
            <w:pPr>
              <w:widowControl w:val="0"/>
              <w:spacing w:after="0" w:line="240" w:lineRule="auto"/>
              <w:rPr>
                <w:rFonts w:cs="Arial"/>
              </w:rPr>
            </w:pPr>
            <w:r>
              <w:rPr>
                <w:rFonts w:cs="Arial"/>
              </w:rPr>
              <w:t xml:space="preserve">1. The total amount of program income that will have been received before </w:t>
            </w:r>
          </w:p>
          <w:p w14:paraId="7DA65E16" w14:textId="77777777" w:rsidR="00564ADD" w:rsidRDefault="00564ADD" w:rsidP="009D1558">
            <w:pPr>
              <w:widowControl w:val="0"/>
              <w:spacing w:after="0" w:line="240" w:lineRule="auto"/>
              <w:rPr>
                <w:rFonts w:cs="Arial"/>
              </w:rPr>
            </w:pPr>
            <w:r>
              <w:rPr>
                <w:rFonts w:cs="Arial"/>
              </w:rPr>
              <w:t>the start of the next program year and that has not yet been reprogrammed</w:t>
            </w:r>
          </w:p>
        </w:tc>
        <w:tc>
          <w:tcPr>
            <w:tcW w:w="1560" w:type="dxa"/>
            <w:tcBorders>
              <w:top w:val="single" w:sz="4" w:space="0" w:color="auto"/>
              <w:left w:val="single" w:sz="4" w:space="0" w:color="auto"/>
              <w:bottom w:val="single" w:sz="4" w:space="0" w:color="auto"/>
              <w:right w:val="single" w:sz="4" w:space="0" w:color="auto"/>
            </w:tcBorders>
          </w:tcPr>
          <w:p w14:paraId="72747BA2" w14:textId="77777777" w:rsidR="00564ADD" w:rsidRDefault="00564ADD" w:rsidP="009D1558">
            <w:pPr>
              <w:widowControl w:val="0"/>
              <w:spacing w:after="0" w:line="240" w:lineRule="auto"/>
              <w:jc w:val="center"/>
              <w:rPr>
                <w:rFonts w:cs="Arial"/>
              </w:rPr>
            </w:pPr>
            <w:r>
              <w:rPr>
                <w:rFonts w:cs="Arial"/>
              </w:rPr>
              <w:t>1,500,000</w:t>
            </w:r>
          </w:p>
        </w:tc>
      </w:tr>
      <w:tr w:rsidR="00564ADD" w14:paraId="087ECD12" w14:textId="77777777" w:rsidTr="009D1558">
        <w:trPr>
          <w:trHeight w:val="829"/>
        </w:trPr>
        <w:tc>
          <w:tcPr>
            <w:tcW w:w="7990" w:type="dxa"/>
            <w:tcBorders>
              <w:top w:val="single" w:sz="4" w:space="0" w:color="auto"/>
              <w:left w:val="single" w:sz="4" w:space="0" w:color="auto"/>
              <w:bottom w:val="single" w:sz="4" w:space="0" w:color="auto"/>
              <w:right w:val="single" w:sz="4" w:space="0" w:color="auto"/>
            </w:tcBorders>
          </w:tcPr>
          <w:p w14:paraId="1F8A1E4E" w14:textId="77777777" w:rsidR="00564ADD" w:rsidRDefault="00564ADD" w:rsidP="009D1558">
            <w:pPr>
              <w:widowControl w:val="0"/>
              <w:spacing w:after="0" w:line="240" w:lineRule="auto"/>
              <w:rPr>
                <w:rFonts w:cs="Arial"/>
              </w:rPr>
            </w:pPr>
            <w:r>
              <w:rPr>
                <w:rFonts w:cs="Arial"/>
              </w:rPr>
              <w:t xml:space="preserve">2. The amount of proceeds from section 108 loan guarantees that will be </w:t>
            </w:r>
          </w:p>
          <w:p w14:paraId="10B949F7" w14:textId="77777777" w:rsidR="00564ADD" w:rsidRDefault="00564ADD" w:rsidP="009D1558">
            <w:pPr>
              <w:widowControl w:val="0"/>
              <w:spacing w:after="0" w:line="240" w:lineRule="auto"/>
              <w:rPr>
                <w:rFonts w:cs="Arial"/>
              </w:rPr>
            </w:pPr>
            <w:r>
              <w:rPr>
                <w:rFonts w:cs="Arial"/>
              </w:rPr>
              <w:t xml:space="preserve">used during the year to address the priority needs and specific objectives </w:t>
            </w:r>
          </w:p>
          <w:p w14:paraId="2F5741FA" w14:textId="77777777" w:rsidR="00564ADD" w:rsidRDefault="00564ADD" w:rsidP="009D1558">
            <w:pPr>
              <w:widowControl w:val="0"/>
              <w:spacing w:after="0" w:line="240" w:lineRule="auto"/>
              <w:rPr>
                <w:rFonts w:cs="Arial"/>
              </w:rPr>
            </w:pPr>
            <w:r>
              <w:rPr>
                <w:rFonts w:cs="Arial"/>
              </w:rPr>
              <w:t>identified in the grantee's strategic plan</w:t>
            </w:r>
          </w:p>
        </w:tc>
        <w:tc>
          <w:tcPr>
            <w:tcW w:w="1560" w:type="dxa"/>
            <w:tcBorders>
              <w:top w:val="single" w:sz="4" w:space="0" w:color="auto"/>
              <w:left w:val="single" w:sz="4" w:space="0" w:color="auto"/>
              <w:bottom w:val="single" w:sz="4" w:space="0" w:color="auto"/>
              <w:right w:val="single" w:sz="4" w:space="0" w:color="auto"/>
            </w:tcBorders>
          </w:tcPr>
          <w:p w14:paraId="418AE4F8" w14:textId="77777777" w:rsidR="00564ADD" w:rsidRDefault="00564ADD" w:rsidP="009D1558">
            <w:pPr>
              <w:widowControl w:val="0"/>
              <w:spacing w:after="0" w:line="240" w:lineRule="auto"/>
              <w:jc w:val="center"/>
              <w:rPr>
                <w:rFonts w:cs="Arial"/>
              </w:rPr>
            </w:pPr>
            <w:r>
              <w:rPr>
                <w:rFonts w:cs="Arial"/>
              </w:rPr>
              <w:t>0</w:t>
            </w:r>
          </w:p>
        </w:tc>
      </w:tr>
      <w:tr w:rsidR="00564ADD" w14:paraId="691DBDDD" w14:textId="77777777" w:rsidTr="009D1558">
        <w:trPr>
          <w:trHeight w:val="262"/>
        </w:trPr>
        <w:tc>
          <w:tcPr>
            <w:tcW w:w="7990" w:type="dxa"/>
            <w:tcBorders>
              <w:top w:val="single" w:sz="4" w:space="0" w:color="auto"/>
              <w:left w:val="single" w:sz="4" w:space="0" w:color="auto"/>
              <w:bottom w:val="single" w:sz="4" w:space="0" w:color="auto"/>
              <w:right w:val="single" w:sz="4" w:space="0" w:color="auto"/>
            </w:tcBorders>
          </w:tcPr>
          <w:p w14:paraId="038DF041" w14:textId="77777777" w:rsidR="00564ADD" w:rsidRDefault="00564ADD" w:rsidP="009D1558">
            <w:pPr>
              <w:widowControl w:val="0"/>
              <w:spacing w:after="0" w:line="240" w:lineRule="auto"/>
              <w:rPr>
                <w:rFonts w:cs="Arial"/>
                <w:szCs w:val="4"/>
              </w:rPr>
            </w:pPr>
            <w:r>
              <w:rPr>
                <w:rFonts w:cs="Arial"/>
              </w:rPr>
              <w:t>3. The amount of surplus funds from urban renewal settlements</w:t>
            </w:r>
          </w:p>
        </w:tc>
        <w:tc>
          <w:tcPr>
            <w:tcW w:w="1560" w:type="dxa"/>
            <w:tcBorders>
              <w:top w:val="single" w:sz="4" w:space="0" w:color="auto"/>
              <w:left w:val="single" w:sz="4" w:space="0" w:color="auto"/>
              <w:bottom w:val="single" w:sz="4" w:space="0" w:color="auto"/>
              <w:right w:val="single" w:sz="4" w:space="0" w:color="auto"/>
            </w:tcBorders>
          </w:tcPr>
          <w:p w14:paraId="77469061" w14:textId="77777777" w:rsidR="00564ADD" w:rsidRDefault="00564ADD" w:rsidP="009D1558">
            <w:pPr>
              <w:widowControl w:val="0"/>
              <w:spacing w:after="0" w:line="240" w:lineRule="auto"/>
              <w:jc w:val="center"/>
              <w:rPr>
                <w:rFonts w:cs="Arial"/>
              </w:rPr>
            </w:pPr>
            <w:r>
              <w:rPr>
                <w:rFonts w:cs="Arial"/>
              </w:rPr>
              <w:t>0</w:t>
            </w:r>
          </w:p>
        </w:tc>
      </w:tr>
      <w:tr w:rsidR="00564ADD" w14:paraId="6A58E214" w14:textId="77777777" w:rsidTr="009D1558">
        <w:trPr>
          <w:trHeight w:val="552"/>
        </w:trPr>
        <w:tc>
          <w:tcPr>
            <w:tcW w:w="7990" w:type="dxa"/>
            <w:tcBorders>
              <w:top w:val="single" w:sz="4" w:space="0" w:color="auto"/>
              <w:left w:val="single" w:sz="4" w:space="0" w:color="auto"/>
              <w:bottom w:val="single" w:sz="4" w:space="0" w:color="auto"/>
              <w:right w:val="single" w:sz="4" w:space="0" w:color="auto"/>
            </w:tcBorders>
          </w:tcPr>
          <w:p w14:paraId="3509C564" w14:textId="77777777" w:rsidR="00564ADD" w:rsidRDefault="00564ADD" w:rsidP="009D1558">
            <w:pPr>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0" w:type="dxa"/>
            <w:tcBorders>
              <w:top w:val="single" w:sz="4" w:space="0" w:color="auto"/>
              <w:left w:val="single" w:sz="4" w:space="0" w:color="auto"/>
              <w:bottom w:val="single" w:sz="4" w:space="0" w:color="auto"/>
              <w:right w:val="single" w:sz="4" w:space="0" w:color="auto"/>
            </w:tcBorders>
          </w:tcPr>
          <w:p w14:paraId="52E65BB4" w14:textId="77777777" w:rsidR="00564ADD" w:rsidRDefault="00564ADD" w:rsidP="009D1558">
            <w:pPr>
              <w:widowControl w:val="0"/>
              <w:spacing w:after="0" w:line="240" w:lineRule="auto"/>
              <w:jc w:val="center"/>
              <w:rPr>
                <w:rFonts w:cs="Arial"/>
              </w:rPr>
            </w:pPr>
            <w:r>
              <w:rPr>
                <w:rFonts w:cs="Arial"/>
              </w:rPr>
              <w:t>0</w:t>
            </w:r>
          </w:p>
        </w:tc>
      </w:tr>
      <w:tr w:rsidR="00564ADD" w14:paraId="0EB01E6D" w14:textId="77777777" w:rsidTr="009D1558">
        <w:trPr>
          <w:trHeight w:val="277"/>
        </w:trPr>
        <w:tc>
          <w:tcPr>
            <w:tcW w:w="7990" w:type="dxa"/>
            <w:tcBorders>
              <w:top w:val="single" w:sz="4" w:space="0" w:color="auto"/>
              <w:left w:val="single" w:sz="4" w:space="0" w:color="auto"/>
              <w:bottom w:val="single" w:sz="4" w:space="0" w:color="auto"/>
              <w:right w:val="single" w:sz="4" w:space="0" w:color="auto"/>
            </w:tcBorders>
          </w:tcPr>
          <w:p w14:paraId="6EE6035D" w14:textId="77777777" w:rsidR="00564ADD" w:rsidRDefault="00564ADD" w:rsidP="009D1558">
            <w:pPr>
              <w:widowControl w:val="0"/>
              <w:spacing w:after="0" w:line="240" w:lineRule="auto"/>
              <w:rPr>
                <w:rFonts w:cs="Arial"/>
                <w:szCs w:val="4"/>
              </w:rPr>
            </w:pPr>
            <w:r>
              <w:rPr>
                <w:rFonts w:cs="Arial"/>
              </w:rPr>
              <w:t>5. The amount of income from float-funded activities</w:t>
            </w:r>
          </w:p>
        </w:tc>
        <w:tc>
          <w:tcPr>
            <w:tcW w:w="1560" w:type="dxa"/>
            <w:tcBorders>
              <w:top w:val="single" w:sz="4" w:space="0" w:color="auto"/>
              <w:left w:val="single" w:sz="4" w:space="0" w:color="auto"/>
              <w:bottom w:val="single" w:sz="4" w:space="0" w:color="auto"/>
              <w:right w:val="single" w:sz="4" w:space="0" w:color="auto"/>
            </w:tcBorders>
          </w:tcPr>
          <w:p w14:paraId="091BE86C" w14:textId="77777777" w:rsidR="00564ADD" w:rsidRDefault="00564ADD" w:rsidP="009D1558">
            <w:pPr>
              <w:widowControl w:val="0"/>
              <w:spacing w:after="0" w:line="240" w:lineRule="auto"/>
              <w:jc w:val="center"/>
              <w:rPr>
                <w:rFonts w:cs="Arial"/>
              </w:rPr>
            </w:pPr>
            <w:r>
              <w:rPr>
                <w:rFonts w:cs="Arial"/>
              </w:rPr>
              <w:t>0</w:t>
            </w:r>
          </w:p>
        </w:tc>
      </w:tr>
      <w:tr w:rsidR="00564ADD" w14:paraId="601ADFE6" w14:textId="77777777" w:rsidTr="009D1558">
        <w:trPr>
          <w:trHeight w:val="262"/>
        </w:trPr>
        <w:tc>
          <w:tcPr>
            <w:tcW w:w="7990" w:type="dxa"/>
            <w:tcBorders>
              <w:top w:val="single" w:sz="4" w:space="0" w:color="auto"/>
              <w:left w:val="single" w:sz="4" w:space="0" w:color="auto"/>
              <w:bottom w:val="single" w:sz="4" w:space="0" w:color="auto"/>
              <w:right w:val="single" w:sz="4" w:space="0" w:color="auto"/>
            </w:tcBorders>
          </w:tcPr>
          <w:p w14:paraId="158BEF00" w14:textId="77777777" w:rsidR="00564ADD" w:rsidRDefault="00564ADD" w:rsidP="009D1558">
            <w:pPr>
              <w:widowControl w:val="0"/>
              <w:spacing w:after="0" w:line="240" w:lineRule="auto"/>
              <w:rPr>
                <w:rFonts w:cs="Arial"/>
                <w:szCs w:val="4"/>
              </w:rPr>
            </w:pPr>
            <w:r>
              <w:rPr>
                <w:rFonts w:cs="Arial"/>
              </w:rPr>
              <w:t>Total Program Income</w:t>
            </w:r>
          </w:p>
        </w:tc>
        <w:tc>
          <w:tcPr>
            <w:tcW w:w="1560" w:type="dxa"/>
            <w:tcBorders>
              <w:top w:val="single" w:sz="4" w:space="0" w:color="auto"/>
              <w:left w:val="single" w:sz="4" w:space="0" w:color="auto"/>
              <w:bottom w:val="single" w:sz="4" w:space="0" w:color="auto"/>
              <w:right w:val="single" w:sz="4" w:space="0" w:color="auto"/>
            </w:tcBorders>
          </w:tcPr>
          <w:p w14:paraId="345C9DB4" w14:textId="77777777" w:rsidR="00564ADD" w:rsidRPr="001E711C" w:rsidRDefault="00564ADD" w:rsidP="009D1558">
            <w:pPr>
              <w:widowControl w:val="0"/>
              <w:spacing w:after="0" w:line="240" w:lineRule="auto"/>
              <w:jc w:val="center"/>
              <w:rPr>
                <w:rFonts w:cs="Arial"/>
                <w:b/>
              </w:rPr>
            </w:pPr>
            <w:r w:rsidRPr="001E711C">
              <w:rPr>
                <w:rFonts w:cs="Arial"/>
                <w:b/>
              </w:rPr>
              <w:t>1,500,000</w:t>
            </w:r>
          </w:p>
        </w:tc>
      </w:tr>
    </w:tbl>
    <w:p w14:paraId="020C6EC6" w14:textId="77777777" w:rsidR="00564ADD" w:rsidRDefault="00564ADD" w:rsidP="00564ADD">
      <w:pPr>
        <w:widowControl w:val="0"/>
        <w:spacing w:after="0" w:line="240" w:lineRule="auto"/>
        <w:rPr>
          <w:rFonts w:cs="Arial"/>
        </w:rPr>
      </w:pPr>
    </w:p>
    <w:p w14:paraId="32024AD7" w14:textId="77777777" w:rsidR="00564ADD" w:rsidRDefault="00564ADD" w:rsidP="00564ADD">
      <w:pPr>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735"/>
        <w:gridCol w:w="1625"/>
      </w:tblGrid>
      <w:tr w:rsidR="00564ADD" w14:paraId="568727F3" w14:textId="77777777" w:rsidTr="009D1558">
        <w:tc>
          <w:tcPr>
            <w:tcW w:w="9576" w:type="dxa"/>
            <w:gridSpan w:val="2"/>
            <w:tcBorders>
              <w:bottom w:val="single" w:sz="4" w:space="0" w:color="auto"/>
            </w:tcBorders>
          </w:tcPr>
          <w:p w14:paraId="1CFDFAB1" w14:textId="77777777" w:rsidR="00564ADD" w:rsidRDefault="00564ADD" w:rsidP="009D1558">
            <w:pPr>
              <w:widowControl w:val="0"/>
              <w:spacing w:after="0" w:line="240" w:lineRule="auto"/>
              <w:rPr>
                <w:rFonts w:cs="Arial"/>
              </w:rPr>
            </w:pPr>
          </w:p>
        </w:tc>
      </w:tr>
      <w:tr w:rsidR="00564ADD" w14:paraId="691EBABA" w14:textId="77777777" w:rsidTr="009D1558">
        <w:tc>
          <w:tcPr>
            <w:tcW w:w="7916" w:type="dxa"/>
            <w:tcBorders>
              <w:top w:val="single" w:sz="4" w:space="0" w:color="auto"/>
              <w:left w:val="single" w:sz="4" w:space="0" w:color="auto"/>
              <w:bottom w:val="single" w:sz="4" w:space="0" w:color="auto"/>
              <w:right w:val="single" w:sz="4" w:space="0" w:color="auto"/>
            </w:tcBorders>
          </w:tcPr>
          <w:p w14:paraId="1A147257" w14:textId="77777777" w:rsidR="00564ADD" w:rsidRDefault="00564ADD" w:rsidP="009D1558">
            <w:pPr>
              <w:widowControl w:val="0"/>
              <w:spacing w:after="0" w:line="240" w:lineRule="auto"/>
              <w:rPr>
                <w:rFonts w:cs="Arial"/>
                <w:szCs w:val="4"/>
              </w:rPr>
            </w:pPr>
            <w:r>
              <w:rPr>
                <w:rFonts w:cs="Arial"/>
              </w:rPr>
              <w:t>1. The amount of urgent need activities</w:t>
            </w:r>
          </w:p>
        </w:tc>
        <w:tc>
          <w:tcPr>
            <w:tcW w:w="1660" w:type="dxa"/>
            <w:tcBorders>
              <w:top w:val="single" w:sz="4" w:space="0" w:color="auto"/>
              <w:left w:val="single" w:sz="4" w:space="0" w:color="auto"/>
              <w:bottom w:val="single" w:sz="4" w:space="0" w:color="auto"/>
              <w:right w:val="single" w:sz="4" w:space="0" w:color="auto"/>
            </w:tcBorders>
          </w:tcPr>
          <w:p w14:paraId="1D733E03" w14:textId="77777777" w:rsidR="00564ADD" w:rsidRDefault="00564ADD" w:rsidP="009D1558">
            <w:pPr>
              <w:widowControl w:val="0"/>
              <w:spacing w:after="0" w:line="240" w:lineRule="auto"/>
              <w:rPr>
                <w:rFonts w:cs="Arial"/>
              </w:rPr>
            </w:pPr>
            <w:r>
              <w:rPr>
                <w:rFonts w:cs="Arial"/>
              </w:rPr>
              <w:t>0</w:t>
            </w:r>
          </w:p>
        </w:tc>
      </w:tr>
    </w:tbl>
    <w:p w14:paraId="5AEE4FE7" w14:textId="77777777" w:rsidR="00564ADD" w:rsidRDefault="00564ADD" w:rsidP="00564ADD">
      <w:pPr>
        <w:widowControl w:val="0"/>
        <w:spacing w:after="0" w:line="240" w:lineRule="auto"/>
        <w:rPr>
          <w:rFonts w:cs="Arial"/>
          <w:vanish/>
          <w:sz w:val="4"/>
          <w:szCs w:val="4"/>
        </w:rPr>
      </w:pPr>
    </w:p>
    <w:p w14:paraId="037C4510" w14:textId="77777777" w:rsidR="00564ADD" w:rsidRDefault="00564ADD" w:rsidP="00564ADD">
      <w:pPr>
        <w:spacing w:after="0" w:line="240" w:lineRule="auto"/>
        <w:rPr>
          <w:rFonts w:cs="Arial"/>
        </w:rPr>
      </w:pPr>
    </w:p>
    <w:p w14:paraId="517218C1" w14:textId="77777777" w:rsidR="00564ADD" w:rsidRDefault="00564ADD" w:rsidP="00564ADD">
      <w:pPr>
        <w:spacing w:after="0" w:line="240" w:lineRule="auto"/>
        <w:rPr>
          <w:rFonts w:cs="Arial"/>
        </w:rPr>
      </w:pPr>
    </w:p>
    <w:p w14:paraId="212C88D2" w14:textId="77777777" w:rsidR="00564ADD" w:rsidRDefault="00564ADD" w:rsidP="00564ADD">
      <w:pPr>
        <w:spacing w:after="0" w:line="240" w:lineRule="auto"/>
        <w:rPr>
          <w:rFonts w:cs="Arial"/>
        </w:rPr>
      </w:pPr>
    </w:p>
    <w:p w14:paraId="4489988F" w14:textId="77777777" w:rsidR="00564ADD" w:rsidRDefault="00564ADD" w:rsidP="00564ADD">
      <w:pPr>
        <w:spacing w:after="0" w:line="240" w:lineRule="auto"/>
        <w:jc w:val="center"/>
        <w:rPr>
          <w:rFonts w:cs="Arial"/>
          <w:b/>
          <w:sz w:val="24"/>
          <w:szCs w:val="24"/>
        </w:rPr>
      </w:pPr>
      <w:r>
        <w:rPr>
          <w:rFonts w:cs="Arial"/>
          <w:b/>
          <w:sz w:val="24"/>
          <w:szCs w:val="24"/>
        </w:rPr>
        <w:t>HOME Investment Partnership Program (HOME)</w:t>
      </w:r>
      <w:r>
        <w:rPr>
          <w:i/>
        </w:rPr>
        <w:t xml:space="preserve"> </w:t>
      </w:r>
    </w:p>
    <w:p w14:paraId="6DAE8F98" w14:textId="77777777" w:rsidR="00564ADD" w:rsidRDefault="00564ADD" w:rsidP="00564ADD">
      <w:pPr>
        <w:spacing w:after="0" w:line="240" w:lineRule="auto"/>
        <w:jc w:val="center"/>
        <w:rPr>
          <w:rFonts w:cs="Arial"/>
          <w:b/>
          <w:sz w:val="24"/>
          <w:szCs w:val="24"/>
        </w:rPr>
      </w:pPr>
      <w:r>
        <w:rPr>
          <w:rFonts w:cs="Arial"/>
          <w:b/>
          <w:sz w:val="24"/>
          <w:szCs w:val="24"/>
        </w:rPr>
        <w:t>Reference 24 CFR 91.320(k)(2)</w:t>
      </w:r>
      <w:r>
        <w:rPr>
          <w:i/>
        </w:rPr>
        <w:t xml:space="preserve"> </w:t>
      </w:r>
    </w:p>
    <w:p w14:paraId="5CC7BEC4" w14:textId="77777777" w:rsidR="00564ADD" w:rsidRPr="00754DC7" w:rsidRDefault="00564ADD" w:rsidP="00A121EE">
      <w:pPr>
        <w:widowControl w:val="0"/>
        <w:numPr>
          <w:ilvl w:val="0"/>
          <w:numId w:val="22"/>
        </w:numPr>
        <w:spacing w:after="0" w:line="240" w:lineRule="auto"/>
        <w:rPr>
          <w:rFonts w:cs="Arial"/>
          <w:sz w:val="24"/>
          <w:szCs w:val="24"/>
        </w:rPr>
      </w:pPr>
      <w:r w:rsidRPr="00754DC7">
        <w:rPr>
          <w:rFonts w:cs="Arial"/>
          <w:sz w:val="24"/>
          <w:szCs w:val="24"/>
        </w:rPr>
        <w:t>A description of other forms of investment being used beyond those identified in Section 92.205 is as follows:</w:t>
      </w:r>
      <w:r w:rsidRPr="00754DC7">
        <w:rPr>
          <w:i/>
          <w:sz w:val="24"/>
          <w:szCs w:val="24"/>
        </w:rPr>
        <w:t xml:space="preserve"> </w:t>
      </w:r>
    </w:p>
    <w:p w14:paraId="75EE4B7A" w14:textId="77777777" w:rsidR="00564ADD" w:rsidRPr="00754DC7" w:rsidRDefault="00564ADD" w:rsidP="00564ADD">
      <w:pPr>
        <w:widowControl w:val="0"/>
        <w:spacing w:after="0" w:line="240" w:lineRule="auto"/>
        <w:rPr>
          <w:i/>
          <w:sz w:val="24"/>
          <w:szCs w:val="24"/>
        </w:rPr>
      </w:pPr>
    </w:p>
    <w:p w14:paraId="51D28533" w14:textId="77777777" w:rsidR="00564ADD" w:rsidRPr="001E711C" w:rsidRDefault="00564ADD" w:rsidP="00564ADD">
      <w:pPr>
        <w:widowControl w:val="0"/>
        <w:spacing w:after="0" w:line="240" w:lineRule="auto"/>
        <w:rPr>
          <w:rFonts w:cs="Arial"/>
          <w:sz w:val="24"/>
        </w:rPr>
      </w:pPr>
      <w:r w:rsidRPr="001E711C">
        <w:rPr>
          <w:rFonts w:cs="Arial"/>
          <w:sz w:val="24"/>
        </w:rPr>
        <w:t>Kansas utilizes only the forms of investment included in Section 92.205</w:t>
      </w:r>
    </w:p>
    <w:p w14:paraId="144CD55D" w14:textId="77777777" w:rsidR="00564ADD" w:rsidRDefault="00564ADD" w:rsidP="00564ADD">
      <w:pPr>
        <w:spacing w:after="0" w:line="240" w:lineRule="auto"/>
        <w:rPr>
          <w:rFonts w:cs="Arial"/>
        </w:rPr>
      </w:pPr>
    </w:p>
    <w:p w14:paraId="62A21079" w14:textId="77777777" w:rsidR="00564ADD" w:rsidRPr="00754DC7" w:rsidRDefault="00564ADD" w:rsidP="00A121EE">
      <w:pPr>
        <w:widowControl w:val="0"/>
        <w:numPr>
          <w:ilvl w:val="0"/>
          <w:numId w:val="22"/>
        </w:numPr>
        <w:spacing w:after="0" w:line="240" w:lineRule="auto"/>
        <w:rPr>
          <w:rFonts w:cs="Arial"/>
          <w:sz w:val="24"/>
          <w:szCs w:val="24"/>
        </w:rPr>
      </w:pPr>
      <w:r w:rsidRPr="00754DC7">
        <w:rPr>
          <w:rFonts w:cs="Arial"/>
          <w:sz w:val="24"/>
          <w:szCs w:val="24"/>
        </w:rPr>
        <w:t>A description of the guidelines that will be used for resale or recapture of HOME funds when used for homebuyer activities as required in 92.254, is as follows:</w:t>
      </w:r>
      <w:r w:rsidRPr="00754DC7">
        <w:rPr>
          <w:i/>
          <w:sz w:val="24"/>
          <w:szCs w:val="24"/>
        </w:rPr>
        <w:t xml:space="preserve"> </w:t>
      </w:r>
    </w:p>
    <w:p w14:paraId="7E5EDAEE" w14:textId="77777777" w:rsidR="00564ADD" w:rsidRPr="00023028" w:rsidRDefault="00564ADD" w:rsidP="00564ADD">
      <w:pPr>
        <w:keepNext/>
        <w:widowControl w:val="0"/>
        <w:spacing w:beforeAutospacing="1" w:afterAutospacing="1"/>
        <w:rPr>
          <w:rFonts w:cs="Arial"/>
          <w:sz w:val="24"/>
        </w:rPr>
      </w:pPr>
      <w:r w:rsidRPr="00023028">
        <w:rPr>
          <w:rFonts w:cs="Arial"/>
          <w:sz w:val="24"/>
        </w:rPr>
        <w:t>Federal Recapture (hereinafter “Recapture”) provisions require that KHRC recoups all or a portion of the HOME assistance to the homebuyers if the housing subsidized does not continue to be the principal residence of the family for the duration of the period of affordability.  The period of affordability is based upon the total amount of HOME funds subject to Recapture described in 24 CFR 92.254 (a)(5)(ii)(A)(5).  For Note Holder, this period is ten (10) years for homebuyers assisted by the HOME Program.  The HOME investment that is subject to Recapture is based on the amount of HOME assistance that enabled the homebuyer to buy the dwelling unit.</w:t>
      </w:r>
    </w:p>
    <w:p w14:paraId="1801C8A9" w14:textId="77777777" w:rsidR="00564ADD" w:rsidRPr="00023028" w:rsidRDefault="00564ADD" w:rsidP="00564ADD">
      <w:pPr>
        <w:keepNext/>
        <w:widowControl w:val="0"/>
        <w:spacing w:beforeAutospacing="1" w:afterAutospacing="1"/>
        <w:rPr>
          <w:rFonts w:cs="Arial"/>
          <w:sz w:val="24"/>
        </w:rPr>
      </w:pPr>
      <w:r w:rsidRPr="00023028">
        <w:rPr>
          <w:rFonts w:cs="Arial"/>
          <w:sz w:val="24"/>
        </w:rPr>
        <w:t xml:space="preserve">If Borrower sells the property during the 10 year period of affordability, Note Holder shall calculate the Recapture amount using the </w:t>
      </w:r>
      <w:r w:rsidRPr="00023028">
        <w:rPr>
          <w:rFonts w:cs="Arial"/>
          <w:i/>
          <w:sz w:val="24"/>
        </w:rPr>
        <w:t>Reduction method</w:t>
      </w:r>
      <w:r w:rsidRPr="00023028">
        <w:rPr>
          <w:rFonts w:cs="Arial"/>
          <w:sz w:val="24"/>
        </w:rPr>
        <w:t>. Under this method, the terms of forgiveness shall be as follows:</w:t>
      </w:r>
    </w:p>
    <w:p w14:paraId="177BB9F6" w14:textId="77777777" w:rsidR="00564ADD" w:rsidRPr="00023028" w:rsidRDefault="00564ADD" w:rsidP="00564ADD">
      <w:pPr>
        <w:keepNext/>
        <w:widowControl w:val="0"/>
        <w:spacing w:beforeAutospacing="1" w:afterAutospacing="1"/>
        <w:rPr>
          <w:rFonts w:cs="Arial"/>
          <w:sz w:val="24"/>
        </w:rPr>
      </w:pPr>
      <w:r w:rsidRPr="00023028">
        <w:rPr>
          <w:rFonts w:cs="Arial"/>
          <w:sz w:val="24"/>
        </w:rPr>
        <w:t xml:space="preserve">Principal amounts of less than fifteen thousand dollars ($15,000) shall be reduced by a pro rata monthly reduction of one-half (1/2) of the principal balance over a period of sixty (60) months and the remaining one-half (1/2) of principal shall be forgiven after one hundred twenty (120) months, </w:t>
      </w:r>
      <w:r w:rsidRPr="00023028">
        <w:rPr>
          <w:rFonts w:cs="Arial"/>
          <w:i/>
          <w:sz w:val="24"/>
        </w:rPr>
        <w:t>provided</w:t>
      </w:r>
      <w:r w:rsidRPr="00023028">
        <w:rPr>
          <w:rFonts w:cs="Arial"/>
          <w:sz w:val="24"/>
        </w:rPr>
        <w:t xml:space="preserve"> all rules and regulations associated with the Program are complied with.</w:t>
      </w:r>
    </w:p>
    <w:p w14:paraId="0099DF8C" w14:textId="77777777" w:rsidR="00564ADD" w:rsidRPr="00023028" w:rsidRDefault="00564ADD" w:rsidP="00564ADD">
      <w:pPr>
        <w:keepNext/>
        <w:widowControl w:val="0"/>
        <w:spacing w:beforeAutospacing="1" w:afterAutospacing="1"/>
        <w:rPr>
          <w:rFonts w:cs="Arial"/>
          <w:sz w:val="24"/>
        </w:rPr>
      </w:pPr>
      <w:r w:rsidRPr="00023028">
        <w:rPr>
          <w:rFonts w:cs="Arial"/>
          <w:sz w:val="24"/>
        </w:rPr>
        <w:t>Principal amounts of fifteen thousand dollars ($15,000) or greater shall be reduced on a pro rata monthly reduction for one-half (1/2) of the principal balance over a period of one hundred twenty (120) months and the remaining one-half (1/2) of principal shall be forgiven after one hundred twenty (120) months,</w:t>
      </w:r>
      <w:r w:rsidRPr="00023028">
        <w:rPr>
          <w:rFonts w:cs="Arial"/>
          <w:i/>
          <w:sz w:val="24"/>
        </w:rPr>
        <w:t xml:space="preserve"> provided</w:t>
      </w:r>
      <w:r w:rsidRPr="00023028">
        <w:rPr>
          <w:rFonts w:cs="Arial"/>
          <w:sz w:val="24"/>
        </w:rPr>
        <w:t xml:space="preserve"> that all rules and regulations associated with the Program are complied with.</w:t>
      </w:r>
    </w:p>
    <w:p w14:paraId="2A21B4C9" w14:textId="77777777" w:rsidR="00564ADD" w:rsidRPr="00023028" w:rsidRDefault="00564ADD" w:rsidP="00564ADD">
      <w:pPr>
        <w:keepNext/>
        <w:widowControl w:val="0"/>
        <w:spacing w:beforeAutospacing="1" w:afterAutospacing="1"/>
        <w:rPr>
          <w:rFonts w:cs="Arial"/>
          <w:sz w:val="24"/>
        </w:rPr>
      </w:pPr>
      <w:r w:rsidRPr="00023028">
        <w:rPr>
          <w:rFonts w:cs="Arial"/>
          <w:sz w:val="24"/>
        </w:rPr>
        <w:t xml:space="preserve">However, should a property’s appraised value be below the amount required for full repayment, or the property has been on the market for over 6 months without a contract, the </w:t>
      </w:r>
      <w:r w:rsidRPr="00023028">
        <w:rPr>
          <w:rFonts w:cs="Arial"/>
          <w:i/>
          <w:sz w:val="24"/>
        </w:rPr>
        <w:t>Shared Net Proceeds</w:t>
      </w:r>
      <w:r w:rsidRPr="00023028">
        <w:rPr>
          <w:rFonts w:cs="Arial"/>
          <w:sz w:val="24"/>
        </w:rPr>
        <w:t xml:space="preserve"> method may be used.  The net proceeds are the sales price minus loan repayment (other than HOME funds) and closing costs. The net proceeds may be divided proportionally as set forth in the following mathematical formulas:</w:t>
      </w:r>
    </w:p>
    <w:p w14:paraId="6A213BF7" w14:textId="77777777" w:rsidR="00564ADD" w:rsidRPr="00023028" w:rsidRDefault="00564ADD" w:rsidP="00564ADD">
      <w:pPr>
        <w:keepNext/>
        <w:widowControl w:val="0"/>
        <w:spacing w:beforeAutospacing="1" w:afterAutospacing="1"/>
        <w:ind w:left="720"/>
        <w:rPr>
          <w:rFonts w:cs="Arial"/>
          <w:sz w:val="24"/>
        </w:rPr>
      </w:pPr>
      <w:r w:rsidRPr="00023028">
        <w:rPr>
          <w:rFonts w:cs="Arial"/>
          <w:sz w:val="24"/>
        </w:rPr>
        <w:t>HOME Investment / (HOME Investment + Homeowner investment) = HOME Percentage</w:t>
      </w:r>
    </w:p>
    <w:p w14:paraId="180659DF" w14:textId="77777777" w:rsidR="00564ADD" w:rsidRPr="00023028" w:rsidRDefault="00564ADD" w:rsidP="00564ADD">
      <w:pPr>
        <w:keepNext/>
        <w:widowControl w:val="0"/>
        <w:spacing w:beforeAutospacing="1" w:afterAutospacing="1"/>
        <w:ind w:left="720"/>
        <w:rPr>
          <w:rFonts w:cs="Arial"/>
          <w:sz w:val="24"/>
        </w:rPr>
      </w:pPr>
      <w:r w:rsidRPr="00023028">
        <w:rPr>
          <w:rFonts w:cs="Arial"/>
          <w:sz w:val="24"/>
        </w:rPr>
        <w:t>Homeowner Investment / (HOME Investment + Homeowner investment) = Homeowner Percentage</w:t>
      </w:r>
    </w:p>
    <w:p w14:paraId="46B287CB" w14:textId="77777777" w:rsidR="00564ADD" w:rsidRPr="00023028" w:rsidRDefault="00564ADD" w:rsidP="00564ADD">
      <w:pPr>
        <w:keepNext/>
        <w:widowControl w:val="0"/>
        <w:spacing w:beforeAutospacing="1" w:afterAutospacing="1"/>
        <w:rPr>
          <w:rFonts w:cs="Arial"/>
          <w:sz w:val="24"/>
        </w:rPr>
      </w:pPr>
      <w:r w:rsidRPr="00023028">
        <w:rPr>
          <w:rFonts w:cs="Arial"/>
          <w:sz w:val="24"/>
        </w:rPr>
        <w:t xml:space="preserve">If the property goes into foreclosure or Borrower deeds the property in lieu of foreclosure, Note Holder shall calculate the Recapture amount using the </w:t>
      </w:r>
      <w:r w:rsidRPr="00023028">
        <w:rPr>
          <w:rFonts w:cs="Arial"/>
          <w:i/>
          <w:sz w:val="24"/>
        </w:rPr>
        <w:t>Shared Net Proceeds method</w:t>
      </w:r>
      <w:r w:rsidRPr="00023028">
        <w:rPr>
          <w:rFonts w:cs="Arial"/>
          <w:sz w:val="24"/>
        </w:rPr>
        <w:t>.  Under this method, if there are no net proceeds or the net proceeds are insufficient to repay the HOME investment due, Note Holder will only Recapture the net proceeds, if any. The net proceeds are the sales price minus superior loan repayment (other than HOME funds) and any closing costs.  The net proceeds may be divided proportionally as set forth in the following mathematical formulas:</w:t>
      </w:r>
    </w:p>
    <w:p w14:paraId="4A105109" w14:textId="77777777" w:rsidR="00564ADD" w:rsidRPr="00023028" w:rsidRDefault="00564ADD" w:rsidP="00564ADD">
      <w:pPr>
        <w:keepNext/>
        <w:widowControl w:val="0"/>
        <w:spacing w:beforeAutospacing="1" w:afterAutospacing="1"/>
        <w:ind w:left="720"/>
        <w:rPr>
          <w:rFonts w:cs="Arial"/>
          <w:sz w:val="24"/>
        </w:rPr>
      </w:pPr>
      <w:r w:rsidRPr="00023028">
        <w:rPr>
          <w:rFonts w:cs="Arial"/>
          <w:sz w:val="24"/>
        </w:rPr>
        <w:t>HOME Investment / (HOME Investment + Homeowner investment) = HOME Percentage</w:t>
      </w:r>
    </w:p>
    <w:p w14:paraId="6F019B63" w14:textId="77777777" w:rsidR="00564ADD" w:rsidRPr="00023028" w:rsidRDefault="00564ADD" w:rsidP="00564ADD">
      <w:pPr>
        <w:keepNext/>
        <w:widowControl w:val="0"/>
        <w:spacing w:beforeAutospacing="1" w:afterAutospacing="1"/>
        <w:ind w:left="720"/>
        <w:rPr>
          <w:rFonts w:cs="Arial"/>
          <w:sz w:val="24"/>
        </w:rPr>
      </w:pPr>
      <w:r w:rsidRPr="00023028">
        <w:rPr>
          <w:rFonts w:cs="Arial"/>
          <w:sz w:val="24"/>
        </w:rPr>
        <w:t>Homeowner Investment / (HOME Investment + Homeowner investment) = Homeowner Percentage</w:t>
      </w:r>
    </w:p>
    <w:p w14:paraId="2BB30BFE" w14:textId="77777777" w:rsidR="00564ADD" w:rsidRDefault="00564ADD" w:rsidP="00564ADD">
      <w:pPr>
        <w:spacing w:after="0" w:line="240" w:lineRule="auto"/>
        <w:rPr>
          <w:rFonts w:cs="Arial"/>
        </w:rPr>
      </w:pPr>
    </w:p>
    <w:p w14:paraId="0EDFDFD3" w14:textId="77777777" w:rsidR="00564ADD" w:rsidRPr="00754DC7" w:rsidRDefault="00564ADD" w:rsidP="00A121EE">
      <w:pPr>
        <w:widowControl w:val="0"/>
        <w:numPr>
          <w:ilvl w:val="0"/>
          <w:numId w:val="22"/>
        </w:numPr>
        <w:spacing w:after="0" w:line="240" w:lineRule="auto"/>
        <w:rPr>
          <w:rFonts w:cs="Arial"/>
          <w:sz w:val="24"/>
          <w:szCs w:val="24"/>
        </w:rPr>
      </w:pPr>
      <w:r w:rsidRPr="00754DC7">
        <w:rPr>
          <w:rFonts w:cs="Arial"/>
          <w:sz w:val="24"/>
          <w:szCs w:val="24"/>
        </w:rPr>
        <w:t>A description of the guidelines for resale or recapture that ensures the affordability of units acquired with HOME funds? See 24 CFR 92.254(a)(4) are as follows:</w:t>
      </w:r>
      <w:r w:rsidRPr="00754DC7">
        <w:rPr>
          <w:i/>
          <w:sz w:val="24"/>
          <w:szCs w:val="24"/>
        </w:rPr>
        <w:t xml:space="preserve"> </w:t>
      </w:r>
    </w:p>
    <w:p w14:paraId="3D9A5F3E" w14:textId="77777777" w:rsidR="00564ADD" w:rsidRPr="00023028" w:rsidRDefault="00564ADD" w:rsidP="00564ADD">
      <w:pPr>
        <w:keepNext/>
        <w:widowControl w:val="0"/>
        <w:spacing w:beforeAutospacing="1" w:afterAutospacing="1"/>
        <w:rPr>
          <w:rFonts w:cs="Arial"/>
          <w:sz w:val="24"/>
        </w:rPr>
      </w:pPr>
      <w:r w:rsidRPr="00023028">
        <w:rPr>
          <w:rFonts w:cs="Arial"/>
          <w:sz w:val="24"/>
        </w:rPr>
        <w:t>A period of affordability of units acquired with HOME funds will be followed per CFR 92.254(a)(4).  The soft second mortgage will be forgiven over a 60 month period or 120 month period depending upon the level of assistance received.</w:t>
      </w:r>
    </w:p>
    <w:p w14:paraId="6644B333" w14:textId="77777777" w:rsidR="00564ADD" w:rsidRPr="00754DC7" w:rsidRDefault="00564ADD" w:rsidP="00A121EE">
      <w:pPr>
        <w:widowControl w:val="0"/>
        <w:numPr>
          <w:ilvl w:val="0"/>
          <w:numId w:val="22"/>
        </w:numPr>
        <w:spacing w:after="0" w:line="240" w:lineRule="auto"/>
        <w:rPr>
          <w:rFonts w:cs="Arial"/>
          <w:sz w:val="24"/>
          <w:szCs w:val="24"/>
        </w:rPr>
      </w:pPr>
      <w:r w:rsidRPr="00754DC7">
        <w:rPr>
          <w:rFonts w:cs="Arial"/>
          <w:sz w:val="24"/>
          <w:szCs w:val="24"/>
        </w:rPr>
        <w:t>Plans for using HOME funds to refinance existing debt secured by multifamily housing that is rehabilitated with HOME funds along with a description of the refinancing guidelines required that will be used under 24 CFR 92.206(b), are as follows:</w:t>
      </w:r>
      <w:r w:rsidRPr="00754DC7">
        <w:rPr>
          <w:i/>
          <w:sz w:val="24"/>
          <w:szCs w:val="24"/>
        </w:rPr>
        <w:t xml:space="preserve"> </w:t>
      </w:r>
    </w:p>
    <w:p w14:paraId="749B9805" w14:textId="77777777" w:rsidR="00564ADD" w:rsidRPr="00023028" w:rsidRDefault="00564ADD" w:rsidP="00564ADD">
      <w:pPr>
        <w:keepNext/>
        <w:widowControl w:val="0"/>
        <w:spacing w:beforeAutospacing="1" w:afterAutospacing="1"/>
        <w:rPr>
          <w:rFonts w:cs="Arial"/>
          <w:sz w:val="24"/>
        </w:rPr>
      </w:pPr>
      <w:r w:rsidRPr="00023028">
        <w:rPr>
          <w:rFonts w:cs="Arial"/>
          <w:sz w:val="24"/>
        </w:rPr>
        <w:t>HOME funds will not be used to refinance existing debt secured by multifamily housing that is rehabilitated with HOME funds. </w:t>
      </w:r>
    </w:p>
    <w:p w14:paraId="1023F89F" w14:textId="77777777" w:rsidR="00564ADD" w:rsidRDefault="00564ADD" w:rsidP="00564ADD">
      <w:pPr>
        <w:spacing w:after="0" w:line="240" w:lineRule="auto"/>
        <w:ind w:left="360"/>
        <w:rPr>
          <w:rFonts w:cs="Arial"/>
        </w:rPr>
      </w:pPr>
    </w:p>
    <w:p w14:paraId="4F05A887" w14:textId="77777777" w:rsidR="00564ADD" w:rsidRDefault="00564ADD" w:rsidP="00564ADD">
      <w:pPr>
        <w:widowControl w:val="0"/>
        <w:spacing w:after="0" w:line="240" w:lineRule="auto"/>
        <w:jc w:val="center"/>
        <w:rPr>
          <w:b/>
          <w:i/>
          <w:sz w:val="24"/>
        </w:rPr>
      </w:pPr>
      <w:r>
        <w:rPr>
          <w:rFonts w:cs="Arial"/>
          <w:b/>
          <w:sz w:val="24"/>
          <w:szCs w:val="24"/>
        </w:rPr>
        <w:t>Emergency Solutions Grant (ESG)</w:t>
      </w:r>
      <w:r>
        <w:rPr>
          <w:i/>
        </w:rPr>
        <w:t xml:space="preserve"> </w:t>
      </w:r>
    </w:p>
    <w:p w14:paraId="271F28CC" w14:textId="77777777" w:rsidR="00564ADD" w:rsidRDefault="00564ADD" w:rsidP="00564ADD">
      <w:pPr>
        <w:widowControl w:val="0"/>
        <w:spacing w:after="0" w:line="240" w:lineRule="auto"/>
        <w:jc w:val="center"/>
        <w:rPr>
          <w:b/>
          <w:bCs/>
          <w:sz w:val="24"/>
          <w:szCs w:val="24"/>
        </w:rPr>
      </w:pPr>
      <w:r>
        <w:rPr>
          <w:rStyle w:val="Strong"/>
          <w:sz w:val="24"/>
          <w:szCs w:val="24"/>
        </w:rPr>
        <w:t xml:space="preserve">Reference 91.320(k)(3) </w:t>
      </w:r>
    </w:p>
    <w:p w14:paraId="716CE735" w14:textId="77777777" w:rsidR="00564ADD" w:rsidRDefault="00564ADD" w:rsidP="00564ADD">
      <w:pPr>
        <w:widowControl w:val="0"/>
        <w:spacing w:after="0" w:line="240" w:lineRule="auto"/>
        <w:jc w:val="center"/>
        <w:rPr>
          <w:rFonts w:cs="Arial"/>
          <w:b/>
          <w:sz w:val="24"/>
          <w:szCs w:val="24"/>
        </w:rPr>
      </w:pPr>
    </w:p>
    <w:p w14:paraId="79EED8EE" w14:textId="77777777" w:rsidR="00564ADD" w:rsidRPr="00AB3AFD" w:rsidRDefault="00564ADD" w:rsidP="00A121EE">
      <w:pPr>
        <w:widowControl w:val="0"/>
        <w:numPr>
          <w:ilvl w:val="0"/>
          <w:numId w:val="23"/>
        </w:numPr>
        <w:spacing w:after="0" w:line="240" w:lineRule="auto"/>
        <w:rPr>
          <w:rFonts w:cs="Arial"/>
        </w:rPr>
      </w:pPr>
      <w:r>
        <w:rPr>
          <w:sz w:val="24"/>
          <w:szCs w:val="24"/>
        </w:rPr>
        <w:t>Include written standards for providing ESG assistance (may include as attachment)</w:t>
      </w:r>
    </w:p>
    <w:p w14:paraId="5B052C41" w14:textId="77777777" w:rsidR="00564ADD" w:rsidRDefault="00564ADD" w:rsidP="00564ADD">
      <w:pPr>
        <w:widowControl w:val="0"/>
        <w:spacing w:after="0" w:line="240" w:lineRule="auto"/>
        <w:rPr>
          <w:sz w:val="24"/>
          <w:szCs w:val="24"/>
        </w:rPr>
      </w:pPr>
    </w:p>
    <w:p w14:paraId="707F94F3" w14:textId="77777777" w:rsidR="00564ADD" w:rsidRPr="00023028" w:rsidRDefault="00564ADD" w:rsidP="00564ADD">
      <w:pPr>
        <w:keepNext/>
        <w:widowControl w:val="0"/>
        <w:spacing w:beforeAutospacing="1" w:afterAutospacing="1"/>
        <w:rPr>
          <w:rFonts w:cs="Arial"/>
          <w:sz w:val="24"/>
        </w:rPr>
      </w:pPr>
      <w:r w:rsidRPr="00023028">
        <w:rPr>
          <w:rFonts w:cs="Arial"/>
          <w:sz w:val="24"/>
        </w:rPr>
        <w:t>KHRC will require ESG awardees to have established and implemented written standards for providing ESG assistance prior to executing grant award contracts.</w:t>
      </w:r>
    </w:p>
    <w:p w14:paraId="69821839" w14:textId="77777777" w:rsidR="00564ADD" w:rsidRPr="00023028" w:rsidRDefault="00564ADD" w:rsidP="00564ADD">
      <w:pPr>
        <w:keepNext/>
        <w:widowControl w:val="0"/>
        <w:spacing w:beforeAutospacing="1" w:afterAutospacing="1"/>
        <w:rPr>
          <w:rFonts w:cs="Arial"/>
          <w:sz w:val="24"/>
        </w:rPr>
      </w:pPr>
      <w:r w:rsidRPr="00023028">
        <w:rPr>
          <w:rFonts w:cs="Arial"/>
          <w:sz w:val="24"/>
        </w:rPr>
        <w:t>KHRC will require awardees to establish written standards that include:</w:t>
      </w:r>
    </w:p>
    <w:p w14:paraId="3EE83CEA" w14:textId="77777777" w:rsidR="00564ADD" w:rsidRPr="00023028" w:rsidRDefault="00564ADD" w:rsidP="00564ADD">
      <w:pPr>
        <w:keepNext/>
        <w:widowControl w:val="0"/>
        <w:spacing w:beforeAutospacing="1" w:afterAutospacing="1"/>
        <w:ind w:left="360"/>
        <w:rPr>
          <w:rFonts w:cs="Arial"/>
          <w:sz w:val="24"/>
        </w:rPr>
      </w:pPr>
      <w:r w:rsidRPr="00023028">
        <w:rPr>
          <w:rFonts w:cs="Arial"/>
          <w:sz w:val="24"/>
        </w:rPr>
        <w:t>a) Standard policies and procedures for evaluating individuals’ and families’ eligibility for assistance under Emergency Solutions Grant (ESG).</w:t>
      </w:r>
    </w:p>
    <w:p w14:paraId="6E75C0A9" w14:textId="77777777" w:rsidR="00564ADD" w:rsidRPr="00023028" w:rsidRDefault="00564ADD" w:rsidP="00564ADD">
      <w:pPr>
        <w:keepNext/>
        <w:widowControl w:val="0"/>
        <w:spacing w:beforeAutospacing="1" w:afterAutospacing="1"/>
        <w:ind w:left="360"/>
        <w:rPr>
          <w:rFonts w:cs="Arial"/>
          <w:sz w:val="24"/>
        </w:rPr>
      </w:pPr>
      <w:r w:rsidRPr="00023028">
        <w:rPr>
          <w:rFonts w:cs="Arial"/>
          <w:sz w:val="24"/>
        </w:rPr>
        <w:t>b) Policies and procedures for coordination among emergency shelter providers, essential service providers, homelessness prevention and rapid re-housing assistance providers, other homeless assistance providers, and mainstream service and housing providers.</w:t>
      </w:r>
    </w:p>
    <w:p w14:paraId="366D0390" w14:textId="77777777" w:rsidR="00564ADD" w:rsidRPr="00023028" w:rsidRDefault="00564ADD" w:rsidP="00564ADD">
      <w:pPr>
        <w:keepNext/>
        <w:widowControl w:val="0"/>
        <w:spacing w:beforeAutospacing="1" w:afterAutospacing="1"/>
        <w:ind w:left="360"/>
        <w:rPr>
          <w:rFonts w:cs="Arial"/>
          <w:sz w:val="24"/>
        </w:rPr>
      </w:pPr>
      <w:r w:rsidRPr="00023028">
        <w:rPr>
          <w:rFonts w:cs="Arial"/>
          <w:sz w:val="24"/>
        </w:rPr>
        <w:t>c) Policies and procedures for determining and prioritizing which eligible families and individuals will receive homelessness prevention assistance and which eligible families and individuals will receive rapid re-housing assistance.</w:t>
      </w:r>
    </w:p>
    <w:p w14:paraId="0F2E8202" w14:textId="77777777" w:rsidR="00564ADD" w:rsidRPr="00023028" w:rsidRDefault="00564ADD" w:rsidP="00564ADD">
      <w:pPr>
        <w:keepNext/>
        <w:widowControl w:val="0"/>
        <w:spacing w:beforeAutospacing="1" w:afterAutospacing="1"/>
        <w:ind w:left="360"/>
        <w:rPr>
          <w:rFonts w:cs="Arial"/>
          <w:sz w:val="24"/>
        </w:rPr>
      </w:pPr>
      <w:r w:rsidRPr="00023028">
        <w:rPr>
          <w:rFonts w:cs="Arial"/>
          <w:sz w:val="24"/>
        </w:rPr>
        <w:t>d) Standards for determining the share of rent and utilities costs that each program participant must pay, if any, while receiving homelessness prevention or rapid re-housing assistance.</w:t>
      </w:r>
    </w:p>
    <w:p w14:paraId="063E4046" w14:textId="77777777" w:rsidR="00564ADD" w:rsidRPr="00023028" w:rsidRDefault="00564ADD" w:rsidP="00564ADD">
      <w:pPr>
        <w:keepNext/>
        <w:widowControl w:val="0"/>
        <w:spacing w:beforeAutospacing="1" w:afterAutospacing="1"/>
        <w:ind w:left="360"/>
        <w:rPr>
          <w:rFonts w:cs="Arial"/>
          <w:sz w:val="24"/>
        </w:rPr>
      </w:pPr>
      <w:r w:rsidRPr="00023028">
        <w:rPr>
          <w:rFonts w:cs="Arial"/>
          <w:sz w:val="24"/>
        </w:rPr>
        <w:t>e) Standards for determining how long a particular program participant will be provided with rental assistance and whether and how the amount of that assistance will be adjusted over time.</w:t>
      </w:r>
    </w:p>
    <w:p w14:paraId="1D348417" w14:textId="77777777" w:rsidR="00564ADD" w:rsidRPr="00AB3AFD" w:rsidRDefault="00564ADD" w:rsidP="00564ADD">
      <w:pPr>
        <w:keepNext/>
        <w:widowControl w:val="0"/>
        <w:spacing w:beforeAutospacing="1" w:afterAutospacing="1"/>
        <w:ind w:left="360"/>
        <w:rPr>
          <w:rFonts w:cs="Arial"/>
          <w:sz w:val="24"/>
        </w:rPr>
      </w:pPr>
      <w:r w:rsidRPr="00023028">
        <w:rPr>
          <w:rFonts w:cs="Arial"/>
          <w:sz w:val="24"/>
        </w:rPr>
        <w:t>f) Standards for determining the type, amount, and duration of housing stabilization and/or relocation services to provide a program participant, including the limits, if any, on the homelessness prevention or rapid re-housing assistance that each program participant may receive, such as the maximum amount of assistance, maximum number of months the program participants receives assistance; or the maximum number of times the program participants may receive assistance.</w:t>
      </w:r>
    </w:p>
    <w:p w14:paraId="02BC24DA" w14:textId="77777777" w:rsidR="00564ADD" w:rsidRDefault="00564ADD" w:rsidP="00564ADD">
      <w:pPr>
        <w:widowControl w:val="0"/>
        <w:spacing w:after="0" w:line="240" w:lineRule="auto"/>
        <w:rPr>
          <w:rFonts w:cs="Arial"/>
        </w:rPr>
      </w:pPr>
      <w:r>
        <w:rPr>
          <w:i/>
        </w:rPr>
        <w:t xml:space="preserve"> </w:t>
      </w:r>
    </w:p>
    <w:p w14:paraId="06DE5F0B" w14:textId="77777777" w:rsidR="00564ADD" w:rsidRPr="00AB3AFD" w:rsidRDefault="00564ADD" w:rsidP="00A121EE">
      <w:pPr>
        <w:widowControl w:val="0"/>
        <w:numPr>
          <w:ilvl w:val="0"/>
          <w:numId w:val="23"/>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14:paraId="1BF0E40B" w14:textId="77777777" w:rsidR="00564ADD" w:rsidRDefault="00564ADD" w:rsidP="00564ADD">
      <w:pPr>
        <w:widowControl w:val="0"/>
        <w:spacing w:after="0" w:line="240" w:lineRule="auto"/>
        <w:rPr>
          <w:i/>
        </w:rPr>
      </w:pPr>
    </w:p>
    <w:p w14:paraId="03694991" w14:textId="77777777" w:rsidR="00564ADD" w:rsidRPr="00AB3AFD" w:rsidRDefault="00564ADD" w:rsidP="00564ADD">
      <w:pPr>
        <w:rPr>
          <w:sz w:val="28"/>
          <w:szCs w:val="24"/>
        </w:rPr>
      </w:pPr>
      <w:r w:rsidRPr="00023028">
        <w:rPr>
          <w:rFonts w:cs="Arial"/>
          <w:sz w:val="24"/>
        </w:rPr>
        <w:t>The State of Kansas supports a continuum of care approach among State ESG recipients. KHRC collaborates on a recurring basis with the Balance of State CoC and the Johnson County CoC. All funds from the State’s ESG funding are made available to the non ESG entitlement continuums. Continuum of Care components include affordable, accessible, and integrated permanent housing and homeless services that enable individuals and families to reach the maximum degree of self-sufficiency possible. In reviewing ESG applications, the State relies on local units of government to determine what their communities’ unique homeless needs may be, and how the ESG program can assist with those needs. This approach allows local jurisdictions to determine their own priorities and needs in addressing homelessness in their communities.</w:t>
      </w:r>
    </w:p>
    <w:p w14:paraId="7937E027" w14:textId="77777777" w:rsidR="00564ADD" w:rsidRPr="00AB3AFD" w:rsidRDefault="00564ADD" w:rsidP="00A121EE">
      <w:pPr>
        <w:widowControl w:val="0"/>
        <w:numPr>
          <w:ilvl w:val="0"/>
          <w:numId w:val="23"/>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p>
    <w:p w14:paraId="6F9F419F" w14:textId="77777777" w:rsidR="00564ADD" w:rsidRPr="00AB3AFD" w:rsidRDefault="00564ADD" w:rsidP="00564ADD">
      <w:pPr>
        <w:widowControl w:val="0"/>
        <w:spacing w:beforeAutospacing="1" w:afterAutospacing="1"/>
        <w:rPr>
          <w:rFonts w:cs="Arial"/>
          <w:sz w:val="24"/>
        </w:rPr>
      </w:pPr>
      <w:r>
        <w:rPr>
          <w:rFonts w:cs="Arial"/>
          <w:sz w:val="24"/>
        </w:rPr>
        <w:t>Funds are made availabl</w:t>
      </w:r>
      <w:r w:rsidRPr="00AB3AFD">
        <w:rPr>
          <w:rFonts w:cs="Arial"/>
          <w:sz w:val="24"/>
        </w:rPr>
        <w:t>e annually to local units of government, who in turn distribute them to agencies in their community that assist the homeless.</w:t>
      </w:r>
    </w:p>
    <w:p w14:paraId="4BA56653" w14:textId="77777777" w:rsidR="00564ADD" w:rsidRPr="00AB3AFD" w:rsidRDefault="00564ADD" w:rsidP="00564ADD">
      <w:pPr>
        <w:widowControl w:val="0"/>
        <w:spacing w:beforeAutospacing="1" w:afterAutospacing="1"/>
        <w:rPr>
          <w:rFonts w:cs="Arial"/>
          <w:sz w:val="24"/>
        </w:rPr>
      </w:pPr>
      <w:r w:rsidRPr="00AB3AFD">
        <w:rPr>
          <w:rFonts w:cs="Arial"/>
          <w:sz w:val="24"/>
        </w:rPr>
        <w:t>KHRC is awarded these funds annually and makes them available for application to local units of government of non ESG entitlement communities of Kansas. As part of their application, local units of government allocate funds for specific activities to private nonprofit organizations that provide services to the homeless in their community. A recipient nonprofit organization must be tax exempt under Section 501 (c) (3) of the Internal Revenue Code and must have an acceptable accounting system, have a voluntary board, and practice non-discrimination in hiring prac</w:t>
      </w:r>
      <w:r>
        <w:rPr>
          <w:rFonts w:cs="Arial"/>
          <w:sz w:val="24"/>
        </w:rPr>
        <w:t>tices and the provision of servi</w:t>
      </w:r>
      <w:r w:rsidRPr="00AB3AFD">
        <w:rPr>
          <w:rFonts w:cs="Arial"/>
          <w:sz w:val="24"/>
        </w:rPr>
        <w:t>ces.</w:t>
      </w:r>
    </w:p>
    <w:p w14:paraId="235357D8" w14:textId="77777777" w:rsidR="00564ADD" w:rsidRDefault="00564ADD" w:rsidP="00564ADD">
      <w:pPr>
        <w:widowControl w:val="0"/>
        <w:spacing w:after="0" w:line="240" w:lineRule="auto"/>
        <w:rPr>
          <w:rFonts w:cs="Arial"/>
        </w:rPr>
      </w:pPr>
      <w:r>
        <w:rPr>
          <w:i/>
        </w:rPr>
        <w:t xml:space="preserve"> </w:t>
      </w:r>
    </w:p>
    <w:p w14:paraId="4F5DBD34" w14:textId="77777777" w:rsidR="00564ADD" w:rsidRPr="00AB3AFD" w:rsidRDefault="00564ADD" w:rsidP="00A121EE">
      <w:pPr>
        <w:widowControl w:val="0"/>
        <w:numPr>
          <w:ilvl w:val="0"/>
          <w:numId w:val="23"/>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14:paraId="5A305585" w14:textId="77777777" w:rsidR="00564ADD" w:rsidRDefault="00564ADD" w:rsidP="00564ADD">
      <w:pPr>
        <w:widowControl w:val="0"/>
        <w:spacing w:after="0" w:line="240" w:lineRule="auto"/>
        <w:rPr>
          <w:i/>
        </w:rPr>
      </w:pPr>
    </w:p>
    <w:p w14:paraId="0B4DC329" w14:textId="77777777" w:rsidR="00564ADD" w:rsidRDefault="00564ADD" w:rsidP="00564ADD">
      <w:pPr>
        <w:spacing w:beforeAutospacing="1" w:afterAutospacing="1"/>
      </w:pPr>
      <w:r>
        <w:rPr>
          <w:rFonts w:cs="Arial"/>
        </w:rPr>
        <w:t>576.405(a), the jurisdiction must specify its plan for reaching out to and consulting with homeless or formerly homeless individuals in considering policies and funding decisions regarding facilities and services funded under ESG.</w:t>
      </w:r>
      <w:r>
        <w:rPr>
          <w:rFonts w:cs="Arial"/>
          <w:i/>
        </w:rPr>
        <w:t xml:space="preserve"> </w:t>
      </w:r>
    </w:p>
    <w:p w14:paraId="4144A854" w14:textId="77777777" w:rsidR="00564ADD" w:rsidRDefault="00564ADD" w:rsidP="00564ADD">
      <w:pPr>
        <w:widowControl w:val="0"/>
        <w:spacing w:beforeAutospacing="1" w:afterAutospacing="1"/>
        <w:rPr>
          <w:rFonts w:cs="Arial"/>
        </w:rPr>
      </w:pPr>
      <w:r>
        <w:rPr>
          <w:rFonts w:cs="Arial"/>
        </w:rPr>
        <w:t>This requirement does not apply to states</w:t>
      </w:r>
    </w:p>
    <w:p w14:paraId="01FA6D58" w14:textId="77777777" w:rsidR="00564ADD" w:rsidRPr="00AB3AFD" w:rsidRDefault="00564ADD" w:rsidP="00A121EE">
      <w:pPr>
        <w:widowControl w:val="0"/>
        <w:numPr>
          <w:ilvl w:val="0"/>
          <w:numId w:val="23"/>
        </w:numPr>
        <w:spacing w:after="0" w:line="240" w:lineRule="auto"/>
        <w:rPr>
          <w:rFonts w:cs="Arial"/>
          <w:i/>
        </w:rPr>
      </w:pPr>
      <w:r>
        <w:rPr>
          <w:sz w:val="24"/>
          <w:szCs w:val="24"/>
        </w:rPr>
        <w:t>Describe performance standards for evaluating ESG.</w:t>
      </w:r>
      <w:r>
        <w:rPr>
          <w:i/>
        </w:rPr>
        <w:t xml:space="preserve"> </w:t>
      </w:r>
    </w:p>
    <w:p w14:paraId="7F417FBD" w14:textId="77777777" w:rsidR="00564ADD" w:rsidRPr="00AB3AFD" w:rsidRDefault="00564ADD" w:rsidP="00564ADD">
      <w:pPr>
        <w:widowControl w:val="0"/>
        <w:spacing w:beforeAutospacing="1" w:afterAutospacing="1"/>
        <w:rPr>
          <w:rFonts w:cs="Arial"/>
          <w:sz w:val="24"/>
        </w:rPr>
      </w:pPr>
      <w:r w:rsidRPr="00AB3AFD">
        <w:rPr>
          <w:rFonts w:cs="Arial"/>
          <w:sz w:val="24"/>
        </w:rPr>
        <w:t>Performance standards will be established and continue to evolve over the next few years as the ESG Interim Rule is implemented and as ESG program outcomes are determined through the evaluation of Homeless Management Information System (HMIS) data and through integration of ESG services into their local continuum of care.  The program’s focus has changed from addressing the needs of homeless people in emergency or transitional shelters to assisting people to quickly regain stability in permanent housing after experiencing a housing crisis and/or homelessness.</w:t>
      </w:r>
    </w:p>
    <w:p w14:paraId="0ECE6D67" w14:textId="77777777" w:rsidR="00564ADD" w:rsidRDefault="00564ADD" w:rsidP="00564ADD">
      <w:pPr>
        <w:contextualSpacing/>
        <w:jc w:val="center"/>
        <w:rPr>
          <w:b/>
          <w:bCs/>
        </w:rPr>
      </w:pPr>
      <w:r>
        <w:rPr>
          <w:b/>
          <w:bCs/>
        </w:rPr>
        <w:t>Housing Trust Fund (HTF)</w:t>
      </w:r>
    </w:p>
    <w:p w14:paraId="2047B6A7" w14:textId="77777777" w:rsidR="00564ADD" w:rsidRDefault="00564ADD" w:rsidP="00564ADD">
      <w:pPr>
        <w:jc w:val="center"/>
      </w:pPr>
      <w:r>
        <w:rPr>
          <w:b/>
          <w:bCs/>
        </w:rPr>
        <w:t>Reference 24 CFR 91.320(k)(5)</w:t>
      </w:r>
    </w:p>
    <w:p w14:paraId="7A36DAEA" w14:textId="77777777" w:rsidR="00564ADD" w:rsidRPr="00023028" w:rsidRDefault="00564ADD" w:rsidP="00A121EE">
      <w:pPr>
        <w:pStyle w:val="ListParagraph"/>
        <w:numPr>
          <w:ilvl w:val="0"/>
          <w:numId w:val="58"/>
        </w:numPr>
        <w:spacing w:after="0" w:line="240" w:lineRule="auto"/>
        <w:rPr>
          <w:sz w:val="24"/>
          <w:szCs w:val="24"/>
        </w:rPr>
      </w:pPr>
      <w:r w:rsidRPr="00023028">
        <w:rPr>
          <w:sz w:val="24"/>
          <w:szCs w:val="24"/>
        </w:rPr>
        <w:t>How will the grantee distribute its HTF funds?  Select all that apply:</w:t>
      </w:r>
    </w:p>
    <w:p w14:paraId="25793055" w14:textId="77777777" w:rsidR="00564ADD" w:rsidRDefault="00564ADD" w:rsidP="00564ADD">
      <w:pPr>
        <w:spacing w:after="0" w:line="240" w:lineRule="auto"/>
        <w:rPr>
          <w:sz w:val="24"/>
          <w:szCs w:val="24"/>
        </w:rPr>
      </w:pPr>
    </w:p>
    <w:p w14:paraId="353FE0F4" w14:textId="77777777" w:rsidR="00564ADD" w:rsidRPr="003537F4" w:rsidRDefault="00564ADD" w:rsidP="00564ADD">
      <w:pPr>
        <w:keepNext/>
        <w:widowControl w:val="0"/>
        <w:spacing w:after="100" w:afterAutospacing="1" w:line="240" w:lineRule="auto"/>
        <w:rPr>
          <w:color w:val="000000" w:themeColor="text1"/>
          <w:sz w:val="24"/>
          <w:szCs w:val="24"/>
        </w:rPr>
      </w:pPr>
      <w:r>
        <w:rPr>
          <w:color w:val="000000" w:themeColor="text1"/>
          <w:sz w:val="24"/>
          <w:szCs w:val="24"/>
        </w:rPr>
        <w:sym w:font="Wingdings" w:char="F0FE"/>
      </w:r>
      <w:r>
        <w:rPr>
          <w:color w:val="000000" w:themeColor="text1"/>
          <w:sz w:val="24"/>
          <w:szCs w:val="24"/>
        </w:rPr>
        <w:t xml:space="preserve"> Applications submitted by eligible recipients</w:t>
      </w:r>
    </w:p>
    <w:p w14:paraId="6EA5D3B1" w14:textId="77777777" w:rsidR="00564ADD" w:rsidRPr="003537F4" w:rsidRDefault="00564ADD" w:rsidP="00A121EE">
      <w:pPr>
        <w:pStyle w:val="ListParagraph"/>
        <w:numPr>
          <w:ilvl w:val="0"/>
          <w:numId w:val="58"/>
        </w:numPr>
        <w:rPr>
          <w:sz w:val="24"/>
          <w:szCs w:val="24"/>
        </w:rPr>
      </w:pPr>
      <w:r w:rsidRPr="003537F4">
        <w:rPr>
          <w:sz w:val="24"/>
          <w:szCs w:val="24"/>
        </w:rPr>
        <w:t>If distributing HTF funds  through grants to subgrantees, describe the method for distributing HTF funds through grants to subgrantees and how those funds will be made available to state agencies and/or units of general local government. If not distributing funds through grants to subgrantees, enter “N/A”.</w:t>
      </w:r>
    </w:p>
    <w:p w14:paraId="6AB73272" w14:textId="77777777" w:rsidR="00564ADD" w:rsidRPr="003537F4" w:rsidRDefault="00564ADD" w:rsidP="00564ADD">
      <w:pPr>
        <w:rPr>
          <w:sz w:val="28"/>
          <w:szCs w:val="24"/>
        </w:rPr>
      </w:pPr>
      <w:r w:rsidRPr="003537F4">
        <w:rPr>
          <w:rFonts w:cs="Arial"/>
          <w:sz w:val="24"/>
        </w:rPr>
        <w:t>KHRC will not distribute HTF funds through local jurisdiction subgrantees. </w:t>
      </w:r>
    </w:p>
    <w:p w14:paraId="11173714" w14:textId="77777777" w:rsidR="00564ADD" w:rsidRPr="00DD5A88" w:rsidRDefault="00564ADD" w:rsidP="00564ADD">
      <w:pPr>
        <w:rPr>
          <w:b/>
          <w:sz w:val="24"/>
          <w:szCs w:val="24"/>
        </w:rPr>
      </w:pPr>
      <w:r w:rsidRPr="00DD5A88">
        <w:rPr>
          <w:b/>
          <w:sz w:val="24"/>
          <w:szCs w:val="24"/>
        </w:rPr>
        <w:t xml:space="preserve">3. If distributing HTF funds by selecting applications submitted by eligible recipients, </w:t>
      </w:r>
    </w:p>
    <w:p w14:paraId="42A8B0D0" w14:textId="77777777" w:rsidR="00564ADD" w:rsidRPr="00DD5A88" w:rsidRDefault="00564ADD" w:rsidP="00564ADD">
      <w:pPr>
        <w:rPr>
          <w:b/>
          <w:sz w:val="24"/>
          <w:szCs w:val="24"/>
        </w:rPr>
      </w:pPr>
      <w:r w:rsidRPr="00DD5A88">
        <w:rPr>
          <w:b/>
          <w:sz w:val="24"/>
          <w:szCs w:val="24"/>
        </w:rPr>
        <w:t>a. Describe the eligibility requirements for recipients of HTF funds (as defined in 24 CFR § 93.2).  If not distributing funds by selecting applications submitted by eligible recipients, enter “N/A”.</w:t>
      </w:r>
    </w:p>
    <w:p w14:paraId="5C93FE64" w14:textId="77777777" w:rsidR="00564ADD" w:rsidRDefault="00564ADD" w:rsidP="00564ADD">
      <w:pPr>
        <w:rPr>
          <w:sz w:val="24"/>
          <w:szCs w:val="24"/>
        </w:rPr>
      </w:pPr>
      <w:r>
        <w:rPr>
          <w:sz w:val="24"/>
          <w:szCs w:val="24"/>
        </w:rPr>
        <w:t>See above</w:t>
      </w:r>
    </w:p>
    <w:p w14:paraId="34933292" w14:textId="77777777" w:rsidR="00564ADD" w:rsidRPr="00DD5A88" w:rsidRDefault="00564ADD" w:rsidP="00564ADD">
      <w:pPr>
        <w:rPr>
          <w:b/>
          <w:sz w:val="24"/>
          <w:szCs w:val="24"/>
        </w:rPr>
      </w:pPr>
      <w:r w:rsidRPr="00DD5A88">
        <w:rPr>
          <w:b/>
          <w:sz w:val="24"/>
          <w:szCs w:val="24"/>
        </w:rPr>
        <w:t xml:space="preserve">b. Describe the grantee’s application requirements for eligible recipients to apply for HTF funds.  If not distributing funds by selecting applications submitted by eligible recipients, enter “N/A”. </w:t>
      </w:r>
    </w:p>
    <w:p w14:paraId="0E07E8A1" w14:textId="77777777" w:rsidR="00564ADD" w:rsidRPr="00346C50" w:rsidRDefault="00564ADD" w:rsidP="00564ADD">
      <w:pPr>
        <w:keepNext/>
        <w:widowControl w:val="0"/>
        <w:spacing w:beforeAutospacing="1" w:afterAutospacing="1"/>
        <w:rPr>
          <w:b/>
          <w:sz w:val="28"/>
          <w:szCs w:val="24"/>
        </w:rPr>
      </w:pPr>
      <w:r w:rsidRPr="00346C50">
        <w:rPr>
          <w:rFonts w:cs="Arial"/>
          <w:sz w:val="24"/>
        </w:rPr>
        <w:t>A formal system will be used to evaluate, select, and fund applications for loans. The selection criteria are designed to facilitate an objective assessment of need for the proposed housing, the applicant’s capacity to develop and manage affordable housing, and the specific characteristics of the proposed activity (including but not limited to location and site planning, building design and construction, affordability, cost reasonableness, and financial sustainability). When the application becomes available it will be provided on request, and reasonable attempts will be made to notify potential applicants of its availability. The application dates and review period will coincide with those of KHRC's Low Income Housing Tax Credit (LIHTC) and HOME Rental Development application rounds, in order to facilitate the combining and leveraging of those resources to develop affordable housing. Additional HTF application rounds may be scheduled if necessary to distribute the available funds.</w:t>
      </w:r>
    </w:p>
    <w:p w14:paraId="607416F1" w14:textId="77777777" w:rsidR="00564ADD" w:rsidRPr="00DD5A88" w:rsidRDefault="00564ADD" w:rsidP="00564ADD">
      <w:pPr>
        <w:rPr>
          <w:b/>
          <w:sz w:val="24"/>
          <w:szCs w:val="24"/>
        </w:rPr>
      </w:pPr>
      <w:r w:rsidRPr="00DD5A88">
        <w:rPr>
          <w:b/>
          <w:sz w:val="24"/>
          <w:szCs w:val="24"/>
        </w:rPr>
        <w:t>c. Describe the selection criteria that the grantee will use to select applications submitted by eligible recipients.  If not distributing funds by selecting applications submitted by eligible recipients, enter “N/A”.</w:t>
      </w:r>
    </w:p>
    <w:p w14:paraId="60A10D11" w14:textId="77777777" w:rsidR="00564ADD" w:rsidRPr="00DD5A88" w:rsidRDefault="00564ADD" w:rsidP="00564ADD">
      <w:pPr>
        <w:keepNext/>
        <w:widowControl w:val="0"/>
        <w:spacing w:beforeAutospacing="1" w:afterAutospacing="1"/>
        <w:rPr>
          <w:b/>
          <w:sz w:val="28"/>
          <w:szCs w:val="24"/>
        </w:rPr>
      </w:pPr>
      <w:r w:rsidRPr="00DD5A88">
        <w:rPr>
          <w:rFonts w:cs="Arial"/>
          <w:sz w:val="24"/>
        </w:rPr>
        <w:t>Projects will be selected for geographic diversity including urban and rural communities across the state.</w:t>
      </w:r>
    </w:p>
    <w:p w14:paraId="1D7F2623" w14:textId="77777777" w:rsidR="00564ADD" w:rsidRPr="00DD5A88" w:rsidRDefault="00564ADD" w:rsidP="00564ADD">
      <w:pPr>
        <w:keepNext/>
        <w:widowControl w:val="0"/>
        <w:spacing w:beforeAutospacing="1" w:afterAutospacing="1"/>
        <w:rPr>
          <w:b/>
          <w:sz w:val="28"/>
          <w:szCs w:val="24"/>
        </w:rPr>
      </w:pPr>
      <w:r w:rsidRPr="00DD5A88">
        <w:rPr>
          <w:rFonts w:cs="Arial"/>
          <w:sz w:val="24"/>
        </w:rPr>
        <w:t>Applications will be evaluated for local need. Geographic priorities will be communities (cities, counties, geographic regions, neighborhoods) with significantly higher rates of poverty or shortage of housing for Extremely Low Income (ELI) households compared to other locations.</w:t>
      </w:r>
    </w:p>
    <w:p w14:paraId="31E6C1D7" w14:textId="77777777" w:rsidR="00564ADD" w:rsidRPr="00DD5A88" w:rsidRDefault="00564ADD" w:rsidP="00564ADD">
      <w:pPr>
        <w:keepNext/>
        <w:widowControl w:val="0"/>
        <w:spacing w:beforeAutospacing="1" w:afterAutospacing="1"/>
        <w:rPr>
          <w:b/>
          <w:sz w:val="28"/>
          <w:szCs w:val="24"/>
        </w:rPr>
      </w:pPr>
      <w:r w:rsidRPr="00DD5A88">
        <w:rPr>
          <w:rFonts w:cs="Arial"/>
          <w:sz w:val="24"/>
        </w:rPr>
        <w:t>Applications will receive consideration only if it can be demonstrated to be financially viable, at a minimum, throughout the 30-year affordability period.  Applications will be evaluated and prioritized for sustainability beyond that minimum threshold, including through the availability of project based rental assistance.</w:t>
      </w:r>
    </w:p>
    <w:p w14:paraId="7CA726A0" w14:textId="77777777" w:rsidR="00564ADD" w:rsidRDefault="00564ADD" w:rsidP="00564ADD">
      <w:pPr>
        <w:rPr>
          <w:sz w:val="24"/>
          <w:szCs w:val="24"/>
        </w:rPr>
      </w:pPr>
      <w:r>
        <w:rPr>
          <w:sz w:val="24"/>
          <w:szCs w:val="24"/>
        </w:rPr>
        <w:t>d. Describe the grantee’s required priority for funding based on geographic diversity (as defined by the grantee in the consolidated plan).  If not distributing funds by selecting applications submitted by eligible recipients, enter “N/A”.</w:t>
      </w:r>
    </w:p>
    <w:p w14:paraId="3381B9F1" w14:textId="77777777" w:rsidR="00564ADD" w:rsidRPr="00DD5A88" w:rsidRDefault="00564ADD" w:rsidP="00564ADD">
      <w:pPr>
        <w:keepNext/>
        <w:widowControl w:val="0"/>
        <w:spacing w:beforeAutospacing="1" w:afterAutospacing="1"/>
        <w:rPr>
          <w:b/>
          <w:sz w:val="28"/>
          <w:szCs w:val="24"/>
        </w:rPr>
      </w:pPr>
      <w:r w:rsidRPr="00DD5A88">
        <w:rPr>
          <w:rFonts w:cs="Arial"/>
          <w:sz w:val="24"/>
        </w:rPr>
        <w:t>HTF funds will be distributed statewide, including HOME and CDBG Entitlement Communities to eligible recipients whose applications address the criteria outlined in this allocation plan as well as priority housing needs as identified in the state’s Consolidated Plan. Applications will be evaluated for local need. Geographic priorities for the development of housing for general occupancy will be communities (cities, counties, geographic regions, neighborhoods) with significantly higher rates of poverty or shortage of housing for Extremely Low Income (ELI) households compared to other locations. Developments which preserve housing with PBRA, or which target housing for populations with historically higher rates of ELI, such as elderly, disabled, or homeless households, may receive priority regardless of other geographic factors.</w:t>
      </w:r>
    </w:p>
    <w:p w14:paraId="12C72919" w14:textId="77777777" w:rsidR="00564ADD" w:rsidRDefault="00564ADD" w:rsidP="00564ADD">
      <w:pPr>
        <w:rPr>
          <w:sz w:val="24"/>
          <w:szCs w:val="24"/>
        </w:rPr>
      </w:pPr>
      <w:r>
        <w:rPr>
          <w:sz w:val="24"/>
          <w:szCs w:val="24"/>
        </w:rPr>
        <w:t>e. Describe the grantee’s required priority for funding based on the applicant's ability to obligate HTF funds and undertake eligible activities in a timely manner.  If not distributing funds by selecting applications submitted by eligible recipients, enter “N/A”.</w:t>
      </w:r>
    </w:p>
    <w:p w14:paraId="7D804FB0" w14:textId="77777777" w:rsidR="00564ADD" w:rsidRDefault="00564ADD" w:rsidP="00564ADD">
      <w:pPr>
        <w:rPr>
          <w:sz w:val="24"/>
          <w:szCs w:val="24"/>
        </w:rPr>
      </w:pPr>
    </w:p>
    <w:p w14:paraId="3E7E0833" w14:textId="0C1B7B34" w:rsidR="00564ADD" w:rsidRDefault="00564ADD" w:rsidP="00564ADD">
      <w:pPr>
        <w:rPr>
          <w:sz w:val="24"/>
          <w:szCs w:val="24"/>
        </w:rPr>
      </w:pPr>
      <w:r>
        <w:rPr>
          <w:sz w:val="24"/>
          <w:szCs w:val="24"/>
        </w:rPr>
        <w:t xml:space="preserve">f. Describe the grantee’s required priority for funding based on the extent to which the rental project has </w:t>
      </w:r>
      <w:r w:rsidR="00556755">
        <w:rPr>
          <w:sz w:val="24"/>
          <w:szCs w:val="24"/>
        </w:rPr>
        <w:t>f</w:t>
      </w:r>
      <w:r>
        <w:rPr>
          <w:sz w:val="24"/>
          <w:szCs w:val="24"/>
        </w:rPr>
        <w:t xml:space="preserve">ederal, </w:t>
      </w:r>
      <w:r w:rsidR="00556755">
        <w:rPr>
          <w:sz w:val="24"/>
          <w:szCs w:val="24"/>
        </w:rPr>
        <w:t>state</w:t>
      </w:r>
      <w:r>
        <w:rPr>
          <w:sz w:val="24"/>
          <w:szCs w:val="24"/>
        </w:rPr>
        <w:t>, or local project-based rental assistance so that rents are affordable to extremely low-income families.  If not distributing funds by selecting applications submitted by eligible recipients, enter “N/A”.</w:t>
      </w:r>
    </w:p>
    <w:p w14:paraId="040D70B6" w14:textId="77777777" w:rsidR="00564ADD" w:rsidRDefault="00564ADD" w:rsidP="00564ADD">
      <w:pPr>
        <w:rPr>
          <w:sz w:val="24"/>
          <w:szCs w:val="24"/>
        </w:rPr>
      </w:pPr>
    </w:p>
    <w:p w14:paraId="12A9A3FA" w14:textId="77777777" w:rsidR="00564ADD" w:rsidRDefault="00564ADD" w:rsidP="00564ADD">
      <w:pPr>
        <w:rPr>
          <w:sz w:val="24"/>
          <w:szCs w:val="24"/>
        </w:rPr>
      </w:pPr>
      <w:r>
        <w:rPr>
          <w:sz w:val="24"/>
          <w:szCs w:val="24"/>
        </w:rPr>
        <w:t>g. Describe the grantee’s required priority for funding based on the financial feasibility of the project beyond the required 30-year period.  If not distributing funds by selecting applications submitted by eligible recipients, enter “N/A”.</w:t>
      </w:r>
    </w:p>
    <w:p w14:paraId="11046798" w14:textId="77777777" w:rsidR="00564ADD" w:rsidRDefault="00564ADD" w:rsidP="00564ADD">
      <w:pPr>
        <w:rPr>
          <w:sz w:val="24"/>
          <w:szCs w:val="24"/>
        </w:rPr>
      </w:pPr>
    </w:p>
    <w:p w14:paraId="7106E76A" w14:textId="77777777" w:rsidR="00564ADD" w:rsidRDefault="00564ADD" w:rsidP="00564ADD">
      <w:pPr>
        <w:rPr>
          <w:sz w:val="24"/>
          <w:szCs w:val="24"/>
        </w:rPr>
      </w:pPr>
      <w:r>
        <w:rPr>
          <w:sz w:val="24"/>
          <w:szCs w:val="24"/>
        </w:rPr>
        <w:t>h. Describe the grantee’s required priority for funding based on the merits of the application in meeting the priority housing needs of the grantee (such as housing that is accessible to transit or employment centers, housing that includes green building and sustainable development features, or housing that serves special needs populations).  If not distributing funds by selecting applications submitted by eligible recipients, enter “N/A”.</w:t>
      </w:r>
    </w:p>
    <w:p w14:paraId="30E8CC5D" w14:textId="77777777" w:rsidR="00564ADD" w:rsidRDefault="00564ADD" w:rsidP="00564ADD">
      <w:pPr>
        <w:rPr>
          <w:sz w:val="24"/>
          <w:szCs w:val="24"/>
        </w:rPr>
      </w:pPr>
    </w:p>
    <w:p w14:paraId="6DF4D330" w14:textId="77777777" w:rsidR="00564ADD" w:rsidRDefault="00564ADD" w:rsidP="00564ADD">
      <w:pPr>
        <w:rPr>
          <w:sz w:val="24"/>
          <w:szCs w:val="24"/>
        </w:rPr>
      </w:pPr>
      <w:r>
        <w:rPr>
          <w:sz w:val="24"/>
          <w:szCs w:val="24"/>
        </w:rPr>
        <w:t>i. Describe the grantee’s required priority for funding based on the extent to which the application makes use of non-federal funding sources.  If not distributing funds by selecting applications submitted by eligible recipients, enter “N/A”.</w:t>
      </w:r>
    </w:p>
    <w:p w14:paraId="6456DC9C" w14:textId="77777777" w:rsidR="00564ADD" w:rsidRDefault="00564ADD" w:rsidP="00564ADD">
      <w:pPr>
        <w:rPr>
          <w:b/>
          <w:sz w:val="24"/>
          <w:szCs w:val="24"/>
        </w:rPr>
      </w:pPr>
    </w:p>
    <w:p w14:paraId="735A3665" w14:textId="77777777" w:rsidR="00564ADD" w:rsidRDefault="00564ADD" w:rsidP="00564ADD">
      <w:pPr>
        <w:rPr>
          <w:sz w:val="24"/>
          <w:szCs w:val="24"/>
        </w:rPr>
      </w:pPr>
      <w:r>
        <w:rPr>
          <w:sz w:val="24"/>
          <w:szCs w:val="24"/>
        </w:rPr>
        <w:t xml:space="preserve">4. Does the grantee’s application require the applicant to include a description of the eligible activities to be conducted with HTF funds?  If not distributing funds by selecting applications submitted by eligible recipients, select “N/A”.  </w:t>
      </w:r>
    </w:p>
    <w:p w14:paraId="66E5A5D8" w14:textId="77777777" w:rsidR="00564ADD" w:rsidRDefault="00564ADD" w:rsidP="00564ADD">
      <w:pPr>
        <w:rPr>
          <w:sz w:val="24"/>
          <w:szCs w:val="24"/>
        </w:rPr>
      </w:pPr>
      <w:r>
        <w:rPr>
          <w:sz w:val="24"/>
          <w:szCs w:val="24"/>
        </w:rPr>
        <w:t>5. Does the grantee’s application require that each eligible recipient certify that housing units assisted with HTF funds will comply with HTF requirements?  If not distributing funds by selecting applications submitted by eligible recipients, select “N/A”.</w:t>
      </w:r>
    </w:p>
    <w:p w14:paraId="131831B4" w14:textId="77777777" w:rsidR="00564ADD" w:rsidRDefault="00564ADD" w:rsidP="00564ADD">
      <w:pPr>
        <w:rPr>
          <w:sz w:val="24"/>
          <w:szCs w:val="24"/>
        </w:rPr>
      </w:pPr>
      <w:r>
        <w:rPr>
          <w:sz w:val="24"/>
          <w:szCs w:val="24"/>
        </w:rPr>
        <w:t xml:space="preserve">6. </w:t>
      </w:r>
      <w:r>
        <w:rPr>
          <w:b/>
          <w:sz w:val="24"/>
          <w:szCs w:val="24"/>
        </w:rPr>
        <w:t>Performance Goals and Benchmarks.</w:t>
      </w:r>
      <w:r>
        <w:rPr>
          <w:sz w:val="24"/>
          <w:szCs w:val="24"/>
        </w:rPr>
        <w:t xml:space="preserve">  The grantee has met the requirement to provide for performance goals and benchmarks against which the grantee will measure its progress, consistent with the grantee’s goals established under 24 CFR 91.315(b)(2), by including HTF in its housing goals in the housing table on the SP-45 Goals and AP-20 Annual Goals and Objectives screens.  </w:t>
      </w:r>
    </w:p>
    <w:p w14:paraId="22377EE4" w14:textId="77777777" w:rsidR="00564ADD" w:rsidRDefault="00564ADD" w:rsidP="00564ADD">
      <w:pPr>
        <w:rPr>
          <w:sz w:val="24"/>
          <w:szCs w:val="24"/>
        </w:rPr>
      </w:pPr>
      <w:r>
        <w:rPr>
          <w:sz w:val="24"/>
          <w:szCs w:val="24"/>
        </w:rPr>
        <w:t xml:space="preserve">7. </w:t>
      </w:r>
      <w:r>
        <w:rPr>
          <w:b/>
          <w:sz w:val="24"/>
          <w:szCs w:val="24"/>
        </w:rPr>
        <w:t>Maximum Per-unit Development Subsidy Amount for Housing Assisted with HTF Funds.</w:t>
      </w:r>
      <w:r>
        <w:rPr>
          <w:sz w:val="24"/>
          <w:szCs w:val="24"/>
        </w:rPr>
        <w:t xml:space="preserve">  Enter or attach the grantee’s maximum per-unit development subsidy limits for housing assisted with HTF funds.</w:t>
      </w:r>
    </w:p>
    <w:p w14:paraId="460BA2A8" w14:textId="77777777" w:rsidR="00564ADD" w:rsidRDefault="00564ADD" w:rsidP="00564ADD">
      <w:pPr>
        <w:rPr>
          <w:sz w:val="24"/>
          <w:szCs w:val="24"/>
        </w:rPr>
      </w:pPr>
      <w:r>
        <w:rPr>
          <w:sz w:val="24"/>
          <w:szCs w:val="24"/>
        </w:rPr>
        <w:t>The limits must be adjusted for the number of bedrooms and the geographic location of the project.  The limits must also be reasonable and based on actual costs of developing non-luxury housing in the area.</w:t>
      </w:r>
    </w:p>
    <w:p w14:paraId="476BD8DA" w14:textId="77777777" w:rsidR="00564ADD" w:rsidRDefault="00564ADD" w:rsidP="00564ADD">
      <w:pPr>
        <w:rPr>
          <w:sz w:val="24"/>
          <w:szCs w:val="24"/>
        </w:rPr>
      </w:pPr>
      <w:r>
        <w:rPr>
          <w:sz w:val="24"/>
          <w:szCs w:val="24"/>
        </w:rPr>
        <w:t>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p>
    <w:p w14:paraId="0F6B0A86" w14:textId="77777777" w:rsidR="00564ADD" w:rsidRDefault="00564ADD" w:rsidP="00564ADD">
      <w:pPr>
        <w:rPr>
          <w:sz w:val="24"/>
          <w:szCs w:val="24"/>
        </w:rPr>
      </w:pPr>
    </w:p>
    <w:p w14:paraId="187F7CAA" w14:textId="77777777" w:rsidR="00564ADD" w:rsidRDefault="00564ADD" w:rsidP="00564ADD">
      <w:pPr>
        <w:rPr>
          <w:sz w:val="24"/>
          <w:szCs w:val="24"/>
        </w:rPr>
      </w:pPr>
      <w:r>
        <w:rPr>
          <w:sz w:val="24"/>
          <w:szCs w:val="24"/>
        </w:rPr>
        <w:t xml:space="preserve">8. </w:t>
      </w:r>
      <w:r>
        <w:rPr>
          <w:b/>
          <w:sz w:val="24"/>
          <w:szCs w:val="24"/>
        </w:rPr>
        <w:t>Rehabilitation Standards.</w:t>
      </w:r>
      <w:r>
        <w:rPr>
          <w:sz w:val="24"/>
          <w:szCs w:val="24"/>
        </w:rPr>
        <w:t xml:space="preserve">  The grantee must establish rehabilitation standards for all HTF-assisted housing rehabilitation activities that set forth the requirements that the housing must meet upon project completion. The grantee’s description of its standards must be in sufficient detail to determine the required rehabilitation work including methods and materials.  The standards may refer to applicable codes or they may establish requirements that exceed the minimum requirements of the codes.  The grantee must attach its rehabilitation standards below.  </w:t>
      </w:r>
    </w:p>
    <w:p w14:paraId="6DDE5242" w14:textId="77777777" w:rsidR="00564ADD" w:rsidRDefault="00564ADD" w:rsidP="00564ADD">
      <w:pPr>
        <w:rPr>
          <w:sz w:val="24"/>
          <w:szCs w:val="24"/>
        </w:rPr>
      </w:pPr>
      <w:r>
        <w:rPr>
          <w:sz w:val="24"/>
          <w:szCs w:val="24"/>
        </w:rPr>
        <w:t>In addition, the rehabilitation standards must address each of the following: health and safety; major systems; lead-based paint; accessibility; disaster mitigation (where relevant); state and local codes, ordinances, and zoning requirements; Uniform Physical Condition Standards; and Capital Needs Assessments (if applicable).</w:t>
      </w:r>
    </w:p>
    <w:p w14:paraId="05069947" w14:textId="77777777" w:rsidR="00564ADD" w:rsidRDefault="00564ADD" w:rsidP="00564ADD">
      <w:pPr>
        <w:rPr>
          <w:sz w:val="24"/>
          <w:szCs w:val="24"/>
        </w:rPr>
      </w:pPr>
    </w:p>
    <w:p w14:paraId="6932F076" w14:textId="77777777" w:rsidR="00564ADD" w:rsidRDefault="00564ADD" w:rsidP="00564ADD">
      <w:pPr>
        <w:rPr>
          <w:sz w:val="24"/>
          <w:szCs w:val="24"/>
        </w:rPr>
      </w:pPr>
      <w:r>
        <w:rPr>
          <w:sz w:val="24"/>
          <w:szCs w:val="24"/>
        </w:rPr>
        <w:t xml:space="preserve">9. </w:t>
      </w:r>
      <w:r>
        <w:rPr>
          <w:b/>
          <w:sz w:val="24"/>
          <w:szCs w:val="24"/>
        </w:rPr>
        <w:t>Resale or Recapture Guidelines.</w:t>
      </w:r>
      <w:r>
        <w:rPr>
          <w:sz w:val="24"/>
          <w:szCs w:val="24"/>
        </w:rPr>
        <w:t xml:space="preserve">  Below, the grantee must enter (or attach) a description of the guidelines that will be used for resale or recapture of HTF funds when used to assist first-time homebuyers.  If the grantee will not use HTF funds to assist first-time homebuyers, enter “N/A”.  </w:t>
      </w:r>
    </w:p>
    <w:p w14:paraId="623FDD7F" w14:textId="77777777" w:rsidR="00564ADD" w:rsidRDefault="00564ADD" w:rsidP="00564ADD">
      <w:pPr>
        <w:rPr>
          <w:bCs/>
          <w:sz w:val="24"/>
          <w:szCs w:val="24"/>
        </w:rPr>
      </w:pPr>
      <w:bookmarkStart w:id="77" w:name="_bookmark21"/>
      <w:bookmarkEnd w:id="77"/>
    </w:p>
    <w:p w14:paraId="472129ED" w14:textId="77777777" w:rsidR="00564ADD" w:rsidRDefault="00564ADD" w:rsidP="00564ADD">
      <w:pPr>
        <w:rPr>
          <w:sz w:val="24"/>
          <w:szCs w:val="24"/>
        </w:rPr>
      </w:pPr>
      <w:r>
        <w:rPr>
          <w:bCs/>
          <w:sz w:val="24"/>
          <w:szCs w:val="24"/>
        </w:rPr>
        <w:t xml:space="preserve">10. </w:t>
      </w:r>
      <w:bookmarkStart w:id="78" w:name="_bookmark22"/>
      <w:bookmarkEnd w:id="78"/>
      <w:r>
        <w:rPr>
          <w:b/>
          <w:sz w:val="24"/>
          <w:szCs w:val="24"/>
        </w:rPr>
        <w:t>HTF Affordable Homeownership Limits.</w:t>
      </w:r>
      <w:r>
        <w:rPr>
          <w:sz w:val="24"/>
          <w:szCs w:val="24"/>
        </w:rPr>
        <w:t xml:space="preserve">  If the grantee intends to use HTF funds for homebuyer assistance and does not use the HTF affordable homeownership limits for the area provided by HUD, it must determine 95 percent of the median area purchase price and set forth the information in accordance with §93.305.  If the grantee will not use HTF funds to assist first-time homebuyers, enter “N/A”.    </w:t>
      </w:r>
    </w:p>
    <w:p w14:paraId="5E524C4D" w14:textId="77777777" w:rsidR="00564ADD" w:rsidRDefault="00564ADD" w:rsidP="00564ADD">
      <w:pPr>
        <w:rPr>
          <w:sz w:val="24"/>
          <w:szCs w:val="24"/>
        </w:rPr>
      </w:pPr>
      <w:r>
        <w:rPr>
          <w:sz w:val="24"/>
          <w:szCs w:val="24"/>
        </w:rPr>
        <w:t xml:space="preserve">11. </w:t>
      </w:r>
      <w:bookmarkStart w:id="79" w:name="_bookmark23"/>
      <w:bookmarkEnd w:id="79"/>
      <w:r>
        <w:rPr>
          <w:b/>
          <w:sz w:val="24"/>
          <w:szCs w:val="24"/>
        </w:rPr>
        <w:t>Grantee Limited Beneficiaries or Preferences.</w:t>
      </w:r>
      <w:r>
        <w:rPr>
          <w:sz w:val="24"/>
          <w:szCs w:val="24"/>
        </w:rPr>
        <w:t xml:space="preserve">  Describe how the grantee will limit the beneficiaries or give preferences to a particular segment of the extremely low- or very low-income population to serve unmet needs identified in its consolidated plan or annual action plan.  If the grantee will not limit the beneficiaries or give preferences to a particular segment of the extremely low- or very low-income population, enter “N/A.”</w:t>
      </w:r>
    </w:p>
    <w:p w14:paraId="164612B2" w14:textId="77777777" w:rsidR="00564ADD" w:rsidRDefault="00564ADD" w:rsidP="00564ADD">
      <w:pPr>
        <w:rPr>
          <w:sz w:val="24"/>
          <w:szCs w:val="24"/>
        </w:rPr>
      </w:pPr>
      <w:r>
        <w:rPr>
          <w:sz w:val="24"/>
          <w:szCs w:val="24"/>
        </w:rPr>
        <w:t>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p>
    <w:p w14:paraId="6A5DD5F4" w14:textId="1F716BFF" w:rsidR="00564ADD" w:rsidRPr="009867E7" w:rsidRDefault="00564ADD" w:rsidP="009867E7">
      <w:pPr>
        <w:rPr>
          <w:sz w:val="24"/>
          <w:szCs w:val="24"/>
        </w:rPr>
      </w:pPr>
      <w:r>
        <w:rPr>
          <w:bCs/>
          <w:sz w:val="24"/>
          <w:szCs w:val="24"/>
        </w:rPr>
        <w:t xml:space="preserve">12. </w:t>
      </w:r>
      <w:r>
        <w:rPr>
          <w:b/>
          <w:bCs/>
          <w:sz w:val="24"/>
          <w:szCs w:val="24"/>
        </w:rPr>
        <w:t>Refinancing of Existing Debt.</w:t>
      </w:r>
      <w:r>
        <w:rPr>
          <w:bCs/>
          <w:sz w:val="24"/>
          <w:szCs w:val="24"/>
        </w:rPr>
        <w:t xml:space="preserve">  Enter or attach the </w:t>
      </w:r>
      <w:r>
        <w:rPr>
          <w:sz w:val="24"/>
          <w:szCs w:val="24"/>
        </w:rPr>
        <w:t xml:space="preserve">grantee’s </w:t>
      </w:r>
      <w:r>
        <w:rPr>
          <w:bCs/>
          <w:sz w:val="24"/>
          <w:szCs w:val="24"/>
        </w:rPr>
        <w:t xml:space="preserve">refinancing guidelines below.  The guidelines describe the conditions under which the </w:t>
      </w:r>
      <w:r>
        <w:rPr>
          <w:sz w:val="24"/>
          <w:szCs w:val="24"/>
        </w:rPr>
        <w:t xml:space="preserve">grantee </w:t>
      </w:r>
      <w:r>
        <w:rPr>
          <w:bCs/>
          <w:sz w:val="24"/>
          <w:szCs w:val="24"/>
        </w:rPr>
        <w:t xml:space="preserve">will refinance existing debt.  The </w:t>
      </w:r>
      <w:r>
        <w:rPr>
          <w:sz w:val="24"/>
          <w:szCs w:val="24"/>
        </w:rPr>
        <w:t xml:space="preserve">grantee’s </w:t>
      </w:r>
      <w:r>
        <w:rPr>
          <w:bCs/>
          <w:sz w:val="24"/>
          <w:szCs w:val="24"/>
        </w:rPr>
        <w:t xml:space="preserve">refinancing guidelines must, at minimum, demonstrate that rehabilitation is the primary eligible activity and ensure that this requirement is met by establishing a minimum level of rehabilitation per unit or a required ratio between rehabilitation and refinancing.  </w:t>
      </w:r>
      <w:r>
        <w:rPr>
          <w:sz w:val="24"/>
          <w:szCs w:val="24"/>
        </w:rPr>
        <w:t xml:space="preserve">If the grantee </w:t>
      </w:r>
      <w:r>
        <w:rPr>
          <w:bCs/>
          <w:sz w:val="24"/>
          <w:szCs w:val="24"/>
        </w:rPr>
        <w:t>will not refinance existing debt</w:t>
      </w:r>
      <w:r>
        <w:rPr>
          <w:sz w:val="24"/>
          <w:szCs w:val="24"/>
        </w:rPr>
        <w:t>, enter “N/A.”</w:t>
      </w:r>
    </w:p>
    <w:sectPr w:rsidR="00564ADD" w:rsidRPr="009867E7" w:rsidSect="002555A9">
      <w:headerReference w:type="even" r:id="rId61"/>
      <w:headerReference w:type="default" r:id="rId62"/>
      <w:footerReference w:type="even"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45B8" w14:textId="77777777" w:rsidR="00E74F00" w:rsidRDefault="00E74F00">
      <w:r>
        <w:separator/>
      </w:r>
    </w:p>
  </w:endnote>
  <w:endnote w:type="continuationSeparator" w:id="0">
    <w:p w14:paraId="0081E013" w14:textId="77777777" w:rsidR="00E74F00" w:rsidRDefault="00E7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CE4BC0" w14:paraId="39527CB3" w14:textId="77777777">
      <w:trPr>
        <w:jc w:val="center"/>
      </w:trPr>
      <w:tc>
        <w:tcPr>
          <w:tcW w:w="1908" w:type="dxa"/>
        </w:tcPr>
        <w:p w14:paraId="3368CB72" w14:textId="77777777" w:rsidR="00CE4BC0" w:rsidRDefault="00CE4BC0">
          <w:pPr>
            <w:pStyle w:val="Footer"/>
            <w:spacing w:after="0" w:line="240" w:lineRule="auto"/>
            <w:ind w:left="-99"/>
          </w:pPr>
          <w:r>
            <w:t xml:space="preserve">  Consolidated Plan</w:t>
          </w:r>
        </w:p>
      </w:tc>
      <w:tc>
        <w:tcPr>
          <w:tcW w:w="5753" w:type="dxa"/>
        </w:tcPr>
        <w:p w14:paraId="5651A0B1" w14:textId="77777777" w:rsidR="00CE4BC0" w:rsidRDefault="00CE4BC0">
          <w:pPr>
            <w:pStyle w:val="Footer"/>
            <w:spacing w:after="0" w:line="240" w:lineRule="auto"/>
            <w:ind w:hanging="90"/>
            <w:jc w:val="center"/>
            <w:rPr>
              <w:rFonts w:cs="Arial"/>
            </w:rPr>
          </w:pPr>
          <w:r>
            <w:rPr>
              <w:rFonts w:cs="Arial"/>
            </w:rPr>
            <w:t>State of Kansas</w:t>
          </w:r>
        </w:p>
      </w:tc>
      <w:tc>
        <w:tcPr>
          <w:tcW w:w="2077" w:type="dxa"/>
        </w:tcPr>
        <w:p w14:paraId="148E7CB2" w14:textId="77777777" w:rsidR="00CE4BC0" w:rsidRDefault="00CE4BC0">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2C86B62C" w14:textId="77777777" w:rsidR="00CE4BC0" w:rsidRDefault="00CE4BC0">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0604" w14:textId="77777777" w:rsidR="00CE4BC0" w:rsidRDefault="00CE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CE4BC0" w14:paraId="414CA9B2" w14:textId="77777777">
      <w:trPr>
        <w:jc w:val="center"/>
      </w:trPr>
      <w:tc>
        <w:tcPr>
          <w:tcW w:w="1908" w:type="dxa"/>
        </w:tcPr>
        <w:p w14:paraId="6FC0EC01" w14:textId="77777777" w:rsidR="00CE4BC0" w:rsidRDefault="00CE4BC0">
          <w:pPr>
            <w:pStyle w:val="Footer"/>
            <w:spacing w:after="0" w:line="240" w:lineRule="auto"/>
            <w:ind w:left="-99"/>
          </w:pPr>
          <w:r>
            <w:t xml:space="preserve">  Consolidated Plan</w:t>
          </w:r>
        </w:p>
      </w:tc>
      <w:tc>
        <w:tcPr>
          <w:tcW w:w="5753" w:type="dxa"/>
        </w:tcPr>
        <w:p w14:paraId="572ADE4B" w14:textId="77777777" w:rsidR="00CE4BC0" w:rsidRDefault="00CE4BC0">
          <w:pPr>
            <w:pStyle w:val="Footer"/>
            <w:spacing w:after="0" w:line="240" w:lineRule="auto"/>
            <w:ind w:hanging="90"/>
            <w:jc w:val="center"/>
            <w:rPr>
              <w:rFonts w:cs="Arial"/>
            </w:rPr>
          </w:pPr>
        </w:p>
      </w:tc>
      <w:tc>
        <w:tcPr>
          <w:tcW w:w="2077" w:type="dxa"/>
        </w:tcPr>
        <w:p w14:paraId="229ECDDF" w14:textId="77777777" w:rsidR="00CE4BC0" w:rsidRDefault="00CE4BC0">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16E8A8" w14:textId="77777777" w:rsidR="00CE4BC0" w:rsidRDefault="00CE4BC0">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CE4BC0" w14:paraId="6C06C90F" w14:textId="77777777">
      <w:trPr>
        <w:jc w:val="center"/>
      </w:trPr>
      <w:tc>
        <w:tcPr>
          <w:tcW w:w="1908" w:type="dxa"/>
        </w:tcPr>
        <w:p w14:paraId="4C7CFA50" w14:textId="77777777" w:rsidR="00CE4BC0" w:rsidRDefault="00CE4BC0">
          <w:pPr>
            <w:pStyle w:val="Footer"/>
            <w:spacing w:after="0" w:line="240" w:lineRule="auto"/>
            <w:ind w:left="-99"/>
          </w:pPr>
          <w:r>
            <w:t xml:space="preserve">  Consolidated Plan</w:t>
          </w:r>
        </w:p>
      </w:tc>
      <w:tc>
        <w:tcPr>
          <w:tcW w:w="5753" w:type="dxa"/>
        </w:tcPr>
        <w:p w14:paraId="719BB569" w14:textId="77777777" w:rsidR="00CE4BC0" w:rsidRDefault="00CE4BC0">
          <w:pPr>
            <w:pStyle w:val="Footer"/>
            <w:spacing w:after="0" w:line="240" w:lineRule="auto"/>
            <w:ind w:hanging="90"/>
            <w:jc w:val="center"/>
            <w:rPr>
              <w:rFonts w:cs="Arial"/>
            </w:rPr>
          </w:pPr>
          <w:r>
            <w:rPr>
              <w:rFonts w:cs="Arial"/>
            </w:rPr>
            <w:t>KANSAS</w:t>
          </w:r>
        </w:p>
      </w:tc>
      <w:tc>
        <w:tcPr>
          <w:tcW w:w="2077" w:type="dxa"/>
        </w:tcPr>
        <w:p w14:paraId="7D8B81FD" w14:textId="77777777" w:rsidR="00CE4BC0" w:rsidRDefault="00CE4BC0">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5B5C31EB" w14:textId="77777777" w:rsidR="00CE4BC0" w:rsidRDefault="00CE4BC0">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CE4BC0" w14:paraId="2540B250" w14:textId="77777777">
      <w:trPr>
        <w:jc w:val="center"/>
      </w:trPr>
      <w:tc>
        <w:tcPr>
          <w:tcW w:w="1908" w:type="dxa"/>
        </w:tcPr>
        <w:p w14:paraId="48695932" w14:textId="77777777" w:rsidR="00CE4BC0" w:rsidRDefault="00CE4BC0">
          <w:pPr>
            <w:pStyle w:val="Footer"/>
            <w:spacing w:after="0" w:line="240" w:lineRule="auto"/>
            <w:ind w:left="-99"/>
          </w:pPr>
          <w:r>
            <w:t xml:space="preserve">  Consolidated Plan</w:t>
          </w:r>
        </w:p>
      </w:tc>
      <w:tc>
        <w:tcPr>
          <w:tcW w:w="5753" w:type="dxa"/>
        </w:tcPr>
        <w:p w14:paraId="0C8FA2F7" w14:textId="77777777" w:rsidR="00CE4BC0" w:rsidRDefault="00CE4BC0">
          <w:pPr>
            <w:pStyle w:val="Footer"/>
            <w:spacing w:after="0" w:line="240" w:lineRule="auto"/>
            <w:ind w:hanging="90"/>
            <w:jc w:val="center"/>
            <w:rPr>
              <w:rFonts w:cs="Arial"/>
            </w:rPr>
          </w:pPr>
          <w:r>
            <w:rPr>
              <w:rFonts w:cs="Arial"/>
            </w:rPr>
            <w:t>KANSAS</w:t>
          </w:r>
        </w:p>
      </w:tc>
      <w:tc>
        <w:tcPr>
          <w:tcW w:w="2077" w:type="dxa"/>
        </w:tcPr>
        <w:p w14:paraId="7D6BA25D" w14:textId="77777777" w:rsidR="00CE4BC0" w:rsidRDefault="00CE4BC0">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3E056986" w14:textId="77777777" w:rsidR="00CE4BC0" w:rsidRDefault="00CE4BC0">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7494" w14:textId="77777777" w:rsidR="00CE4BC0" w:rsidRDefault="00CE4B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CE4BC0" w14:paraId="7A0C4100" w14:textId="77777777">
      <w:trPr>
        <w:jc w:val="center"/>
      </w:trPr>
      <w:tc>
        <w:tcPr>
          <w:tcW w:w="1908" w:type="dxa"/>
        </w:tcPr>
        <w:p w14:paraId="380D30AC" w14:textId="77777777" w:rsidR="00CE4BC0" w:rsidRDefault="00CE4BC0">
          <w:pPr>
            <w:pStyle w:val="Footer"/>
            <w:spacing w:after="0" w:line="240" w:lineRule="auto"/>
            <w:ind w:left="-99"/>
          </w:pPr>
          <w:r>
            <w:t xml:space="preserve">  Consolidated Plan</w:t>
          </w:r>
        </w:p>
      </w:tc>
      <w:tc>
        <w:tcPr>
          <w:tcW w:w="5753" w:type="dxa"/>
        </w:tcPr>
        <w:p w14:paraId="6D110562" w14:textId="77777777" w:rsidR="00CE4BC0" w:rsidRDefault="00CE4BC0">
          <w:pPr>
            <w:pStyle w:val="Footer"/>
            <w:spacing w:after="0" w:line="240" w:lineRule="auto"/>
            <w:ind w:hanging="90"/>
            <w:jc w:val="center"/>
            <w:rPr>
              <w:rFonts w:cs="Arial"/>
            </w:rPr>
          </w:pPr>
          <w:r>
            <w:rPr>
              <w:rFonts w:cs="Arial"/>
            </w:rPr>
            <w:t>KANSAS</w:t>
          </w:r>
        </w:p>
      </w:tc>
      <w:tc>
        <w:tcPr>
          <w:tcW w:w="2077" w:type="dxa"/>
        </w:tcPr>
        <w:p w14:paraId="410864B5" w14:textId="77777777" w:rsidR="00CE4BC0" w:rsidRDefault="00CE4BC0">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4326A79E" w14:textId="77777777" w:rsidR="00CE4BC0" w:rsidRDefault="00CE4BC0">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22D9" w14:textId="77777777" w:rsidR="00CE4BC0" w:rsidRDefault="00CE4B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CE4BC0" w14:paraId="14B8AB56" w14:textId="77777777">
      <w:trPr>
        <w:jc w:val="center"/>
      </w:trPr>
      <w:tc>
        <w:tcPr>
          <w:tcW w:w="828" w:type="dxa"/>
        </w:tcPr>
        <w:p w14:paraId="49020EE2" w14:textId="77777777" w:rsidR="00CE4BC0" w:rsidRDefault="00CE4BC0">
          <w:pPr>
            <w:pStyle w:val="Footer"/>
            <w:spacing w:after="0" w:line="240" w:lineRule="auto"/>
            <w:jc w:val="center"/>
          </w:pPr>
        </w:p>
      </w:tc>
      <w:tc>
        <w:tcPr>
          <w:tcW w:w="7976" w:type="dxa"/>
        </w:tcPr>
        <w:p w14:paraId="6F01CEB0" w14:textId="77777777" w:rsidR="00CE4BC0" w:rsidRDefault="00CE4BC0">
          <w:pPr>
            <w:pStyle w:val="Footer"/>
            <w:spacing w:after="0" w:line="240" w:lineRule="auto"/>
            <w:jc w:val="center"/>
          </w:pPr>
          <w:r>
            <w:t>Annual Action Plan</w:t>
          </w:r>
        </w:p>
        <w:p w14:paraId="336326EE" w14:textId="77777777" w:rsidR="00CE4BC0" w:rsidRDefault="00CE4BC0">
          <w:pPr>
            <w:pStyle w:val="Footer"/>
            <w:spacing w:after="0" w:line="240" w:lineRule="auto"/>
            <w:jc w:val="center"/>
            <w:rPr>
              <w:rFonts w:cs="Arial"/>
            </w:rPr>
          </w:pPr>
          <w:r>
            <w:t>2019</w:t>
          </w:r>
        </w:p>
      </w:tc>
      <w:tc>
        <w:tcPr>
          <w:tcW w:w="772" w:type="dxa"/>
        </w:tcPr>
        <w:p w14:paraId="7DD94F00" w14:textId="77777777" w:rsidR="00CE4BC0" w:rsidRDefault="00CE4BC0">
          <w:pPr>
            <w:pStyle w:val="Footer"/>
            <w:spacing w:after="0" w:line="240" w:lineRule="auto"/>
            <w:jc w:val="right"/>
          </w:pPr>
          <w:r>
            <w:fldChar w:fldCharType="begin"/>
          </w:r>
          <w:r>
            <w:instrText>page</w:instrText>
          </w:r>
          <w:r>
            <w:fldChar w:fldCharType="separate"/>
          </w:r>
          <w:r>
            <w:t>30</w:t>
          </w:r>
          <w:r>
            <w:fldChar w:fldCharType="end"/>
          </w:r>
        </w:p>
      </w:tc>
    </w:tr>
  </w:tbl>
  <w:p w14:paraId="0B91D14C" w14:textId="77777777" w:rsidR="00CE4BC0" w:rsidRDefault="00CE4BC0">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2D78" w14:textId="77777777" w:rsidR="00CE4BC0" w:rsidRDefault="00CE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9289" w14:textId="77777777" w:rsidR="00E74F00" w:rsidRDefault="00E74F00">
      <w:r>
        <w:separator/>
      </w:r>
    </w:p>
  </w:footnote>
  <w:footnote w:type="continuationSeparator" w:id="0">
    <w:p w14:paraId="52EE58BB" w14:textId="77777777" w:rsidR="00E74F00" w:rsidRDefault="00E74F00">
      <w:r>
        <w:continuationSeparator/>
      </w:r>
    </w:p>
  </w:footnote>
  <w:footnote w:id="1">
    <w:p w14:paraId="3C27FA07" w14:textId="77777777" w:rsidR="00CE4BC0" w:rsidRPr="001F02F4" w:rsidRDefault="00CE4BC0" w:rsidP="009867E7">
      <w:pPr>
        <w:pStyle w:val="FootnoteText"/>
      </w:pPr>
      <w:r>
        <w:rPr>
          <w:rStyle w:val="FootnoteReference"/>
        </w:rPr>
        <w:footnoteRef/>
      </w:r>
      <w:r>
        <w:t xml:space="preserve"> </w:t>
      </w:r>
      <w:r w:rsidRPr="001F02F4">
        <w:t>Sources</w:t>
      </w:r>
    </w:p>
    <w:p w14:paraId="64AFBCA7" w14:textId="77777777" w:rsidR="00CE4BC0" w:rsidRPr="001F02F4" w:rsidRDefault="00CE4BC0" w:rsidP="009867E7">
      <w:pPr>
        <w:pStyle w:val="FootnoteText"/>
      </w:pPr>
      <w:r w:rsidRPr="001F02F4">
        <w:t xml:space="preserve">2016 -&gt; </w:t>
      </w:r>
      <w:hyperlink r:id="rId1" w:history="1">
        <w:r w:rsidRPr="001F02F4">
          <w:rPr>
            <w:rStyle w:val="Hyperlink"/>
          </w:rPr>
          <w:t>https://www.hudexchange.info/resource/reportmanagement/published/CoC_PopSub_CoC_KS-507-2015_KS_2016.pdf</w:t>
        </w:r>
      </w:hyperlink>
    </w:p>
    <w:p w14:paraId="44E531E7" w14:textId="77777777" w:rsidR="00CE4BC0" w:rsidRPr="001F02F4" w:rsidRDefault="00CE4BC0" w:rsidP="009867E7">
      <w:pPr>
        <w:pStyle w:val="FootnoteText"/>
      </w:pPr>
    </w:p>
    <w:p w14:paraId="27B83F97" w14:textId="77777777" w:rsidR="00CE4BC0" w:rsidRPr="001F02F4" w:rsidRDefault="00CE4BC0" w:rsidP="009867E7">
      <w:pPr>
        <w:pStyle w:val="FootnoteText"/>
      </w:pPr>
      <w:r w:rsidRPr="001F02F4">
        <w:t>2017-&gt;</w:t>
      </w:r>
    </w:p>
    <w:p w14:paraId="626C4112" w14:textId="77777777" w:rsidR="00CE4BC0" w:rsidRPr="001F02F4" w:rsidRDefault="00F85DD5" w:rsidP="009867E7">
      <w:pPr>
        <w:pStyle w:val="FootnoteText"/>
      </w:pPr>
      <w:hyperlink r:id="rId2" w:history="1">
        <w:r w:rsidR="00CE4BC0" w:rsidRPr="001F02F4">
          <w:rPr>
            <w:rStyle w:val="Hyperlink"/>
          </w:rPr>
          <w:t>https://www.hudexchange.info/resource/reportmanagement/published/CoC_PopSub_CoC_KS-507-2017_KS_2017.pdf</w:t>
        </w:r>
      </w:hyperlink>
    </w:p>
    <w:p w14:paraId="6E0938BC" w14:textId="77777777" w:rsidR="00CE4BC0" w:rsidRPr="001F02F4" w:rsidRDefault="00CE4BC0" w:rsidP="009867E7">
      <w:pPr>
        <w:pStyle w:val="FootnoteText"/>
      </w:pPr>
    </w:p>
    <w:p w14:paraId="72D28565" w14:textId="77777777" w:rsidR="00CE4BC0" w:rsidRDefault="00CE4BC0" w:rsidP="009867E7">
      <w:pPr>
        <w:pStyle w:val="FootnoteText"/>
      </w:pPr>
    </w:p>
  </w:footnote>
  <w:footnote w:id="2">
    <w:p w14:paraId="115472B3" w14:textId="77777777" w:rsidR="00CE4BC0" w:rsidRDefault="00CE4BC0" w:rsidP="009867E7">
      <w:pPr>
        <w:pStyle w:val="FootnoteText"/>
      </w:pPr>
      <w:r>
        <w:rPr>
          <w:rStyle w:val="FootnoteReference"/>
        </w:rPr>
        <w:footnoteRef/>
      </w:r>
      <w:r>
        <w:t xml:space="preserve"> </w:t>
      </w:r>
      <w:r w:rsidRPr="00116643">
        <w:t xml:space="preserve">Source </w:t>
      </w:r>
      <w:hyperlink r:id="rId3" w:history="1">
        <w:r w:rsidRPr="00116643">
          <w:rPr>
            <w:rStyle w:val="Hyperlink"/>
          </w:rPr>
          <w:t>https://www.samhsa.gov/data/population-data-nsduh/reports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DAED" w14:textId="77777777" w:rsidR="00CE4BC0" w:rsidRDefault="00CE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CA58" w14:textId="77777777" w:rsidR="00CE4BC0" w:rsidRDefault="00CE4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9D3F" w14:textId="77777777" w:rsidR="00CE4BC0" w:rsidRDefault="00CE4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10A4" w14:textId="77777777" w:rsidR="00CE4BC0" w:rsidRDefault="00CE4B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3C72" w14:textId="77777777" w:rsidR="00CE4BC0" w:rsidRDefault="00CE4B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663C" w14:textId="77777777" w:rsidR="00CE4BC0" w:rsidRDefault="00CE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765D65"/>
    <w:multiLevelType w:val="hybridMultilevel"/>
    <w:tmpl w:val="6EAE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40E10"/>
    <w:multiLevelType w:val="hybridMultilevel"/>
    <w:tmpl w:val="45C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C3870"/>
    <w:multiLevelType w:val="hybridMultilevel"/>
    <w:tmpl w:val="D506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4071F"/>
    <w:multiLevelType w:val="hybridMultilevel"/>
    <w:tmpl w:val="AA063FC4"/>
    <w:lvl w:ilvl="0" w:tplc="67E655B2">
      <w:start w:val="1"/>
      <w:numFmt w:val="decimal"/>
      <w:lvlText w:val="Table %1"/>
      <w:lvlJc w:val="left"/>
      <w:pPr>
        <w:ind w:left="1440" w:hanging="360"/>
      </w:pPr>
      <w:rPr>
        <w:rFonts w:hint="default"/>
      </w:rPr>
    </w:lvl>
    <w:lvl w:ilvl="1" w:tplc="A1BE75DA">
      <w:start w:val="1"/>
      <w:numFmt w:val="decimal"/>
      <w:pStyle w:val="TableStyle"/>
      <w:lvlText w:val="Table %2"/>
      <w:lvlJc w:val="left"/>
      <w:pPr>
        <w:ind w:left="990" w:hanging="360"/>
      </w:pPr>
      <w:rPr>
        <w:rFonts w:hint="default"/>
        <w:b/>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55768"/>
    <w:multiLevelType w:val="hybridMultilevel"/>
    <w:tmpl w:val="E37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B4701"/>
    <w:multiLevelType w:val="hybridMultilevel"/>
    <w:tmpl w:val="6D54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043E2"/>
    <w:multiLevelType w:val="hybridMultilevel"/>
    <w:tmpl w:val="E092C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4ED0"/>
    <w:multiLevelType w:val="hybridMultilevel"/>
    <w:tmpl w:val="28B63FEC"/>
    <w:lvl w:ilvl="0" w:tplc="D1AEB3F8">
      <w:start w:val="1"/>
      <w:numFmt w:val="bullet"/>
      <w:pStyle w:val="BulletLis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B11E6"/>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1" w15:restartNumberingAfterBreak="0">
    <w:nsid w:val="1A67057F"/>
    <w:multiLevelType w:val="hybridMultilevel"/>
    <w:tmpl w:val="FB4C5B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D80"/>
    <w:multiLevelType w:val="hybridMultilevel"/>
    <w:tmpl w:val="049A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460246"/>
    <w:multiLevelType w:val="hybridMultilevel"/>
    <w:tmpl w:val="CE6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F3E5A"/>
    <w:multiLevelType w:val="hybridMultilevel"/>
    <w:tmpl w:val="9A74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7050"/>
    <w:multiLevelType w:val="hybridMultilevel"/>
    <w:tmpl w:val="E58486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5072E"/>
    <w:multiLevelType w:val="hybridMultilevel"/>
    <w:tmpl w:val="330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9119C"/>
    <w:multiLevelType w:val="hybridMultilevel"/>
    <w:tmpl w:val="65980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321A3"/>
    <w:multiLevelType w:val="hybridMultilevel"/>
    <w:tmpl w:val="319E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F6FB4"/>
    <w:multiLevelType w:val="hybridMultilevel"/>
    <w:tmpl w:val="3EDE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81386"/>
    <w:multiLevelType w:val="hybridMultilevel"/>
    <w:tmpl w:val="40D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81DF8"/>
    <w:multiLevelType w:val="hybridMultilevel"/>
    <w:tmpl w:val="9928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97934"/>
    <w:multiLevelType w:val="hybridMultilevel"/>
    <w:tmpl w:val="384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C733E"/>
    <w:multiLevelType w:val="hybridMultilevel"/>
    <w:tmpl w:val="D7C8D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D0AFF"/>
    <w:multiLevelType w:val="hybridMultilevel"/>
    <w:tmpl w:val="1A86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E72E1"/>
    <w:multiLevelType w:val="hybridMultilevel"/>
    <w:tmpl w:val="C02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C6E74"/>
    <w:multiLevelType w:val="hybridMultilevel"/>
    <w:tmpl w:val="387C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3E090F"/>
    <w:multiLevelType w:val="hybridMultilevel"/>
    <w:tmpl w:val="87B4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76FF5"/>
    <w:multiLevelType w:val="hybridMultilevel"/>
    <w:tmpl w:val="8F1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E1B00"/>
    <w:multiLevelType w:val="hybridMultilevel"/>
    <w:tmpl w:val="FAD0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971A0"/>
    <w:multiLevelType w:val="hybridMultilevel"/>
    <w:tmpl w:val="D492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3F2C94"/>
    <w:multiLevelType w:val="hybridMultilevel"/>
    <w:tmpl w:val="856E67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94B52"/>
    <w:multiLevelType w:val="hybridMultilevel"/>
    <w:tmpl w:val="92D4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A7071"/>
    <w:multiLevelType w:val="hybridMultilevel"/>
    <w:tmpl w:val="9FE496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D33709F"/>
    <w:multiLevelType w:val="hybridMultilevel"/>
    <w:tmpl w:val="B51E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97412"/>
    <w:multiLevelType w:val="hybridMultilevel"/>
    <w:tmpl w:val="EFC2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70779"/>
    <w:multiLevelType w:val="hybridMultilevel"/>
    <w:tmpl w:val="87B4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D32BF"/>
    <w:multiLevelType w:val="hybridMultilevel"/>
    <w:tmpl w:val="924A9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4D77BF"/>
    <w:multiLevelType w:val="hybridMultilevel"/>
    <w:tmpl w:val="388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93657"/>
    <w:multiLevelType w:val="hybridMultilevel"/>
    <w:tmpl w:val="EF7C1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013277"/>
    <w:multiLevelType w:val="hybridMultilevel"/>
    <w:tmpl w:val="AB823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1622A1"/>
    <w:multiLevelType w:val="hybridMultilevel"/>
    <w:tmpl w:val="772E8C2E"/>
    <w:lvl w:ilvl="0" w:tplc="38F0CC2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D3F3E"/>
    <w:multiLevelType w:val="hybridMultilevel"/>
    <w:tmpl w:val="E9F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0A02"/>
    <w:multiLevelType w:val="hybridMultilevel"/>
    <w:tmpl w:val="5A80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6A3C56"/>
    <w:multiLevelType w:val="hybridMultilevel"/>
    <w:tmpl w:val="F31E6FA0"/>
    <w:lvl w:ilvl="0" w:tplc="0409000F">
      <w:start w:val="1"/>
      <w:numFmt w:val="decimal"/>
      <w:lvlText w:val="%1."/>
      <w:lvlJc w:val="left"/>
      <w:pPr>
        <w:ind w:left="720" w:hanging="360"/>
      </w:pPr>
    </w:lvl>
    <w:lvl w:ilvl="1" w:tplc="E53AA27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607BD"/>
    <w:multiLevelType w:val="hybridMultilevel"/>
    <w:tmpl w:val="5D4E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C15B94"/>
    <w:multiLevelType w:val="hybridMultilevel"/>
    <w:tmpl w:val="0BDC4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9C32D88"/>
    <w:multiLevelType w:val="hybridMultilevel"/>
    <w:tmpl w:val="CD24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6D827586"/>
    <w:multiLevelType w:val="hybridMultilevel"/>
    <w:tmpl w:val="EFDE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A16AAB"/>
    <w:multiLevelType w:val="hybridMultilevel"/>
    <w:tmpl w:val="BA5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45572"/>
    <w:multiLevelType w:val="hybridMultilevel"/>
    <w:tmpl w:val="772E8C2E"/>
    <w:lvl w:ilvl="0" w:tplc="38F0CC2A">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0605AC"/>
    <w:multiLevelType w:val="hybridMultilevel"/>
    <w:tmpl w:val="7CDA1CA8"/>
    <w:lvl w:ilvl="0" w:tplc="B468AFAA">
      <w:start w:val="1"/>
      <w:numFmt w:val="decimal"/>
      <w:pStyle w:val="ChartTitle"/>
      <w:lvlText w:val="Ch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7F1EF8"/>
    <w:multiLevelType w:val="hybridMultilevel"/>
    <w:tmpl w:val="9960966C"/>
    <w:lvl w:ilvl="0" w:tplc="21B68CA6">
      <w:start w:val="1"/>
      <w:numFmt w:val="decimal"/>
      <w:pStyle w:val="TableTitle"/>
      <w:lvlText w:val="Table %1"/>
      <w:lvlJc w:val="left"/>
      <w:pPr>
        <w:ind w:left="135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8361BF"/>
    <w:multiLevelType w:val="hybridMultilevel"/>
    <w:tmpl w:val="47DC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56EBF"/>
    <w:multiLevelType w:val="hybridMultilevel"/>
    <w:tmpl w:val="B2F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E42D03"/>
    <w:multiLevelType w:val="hybridMultilevel"/>
    <w:tmpl w:val="FE8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D2C5B3C"/>
    <w:multiLevelType w:val="hybridMultilevel"/>
    <w:tmpl w:val="ADA4E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EE6BCA"/>
    <w:multiLevelType w:val="hybridMultilevel"/>
    <w:tmpl w:val="87B4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740220"/>
    <w:multiLevelType w:val="hybridMultilevel"/>
    <w:tmpl w:val="66BE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9"/>
  </w:num>
  <w:num w:numId="3">
    <w:abstractNumId w:val="52"/>
  </w:num>
  <w:num w:numId="4">
    <w:abstractNumId w:val="5"/>
  </w:num>
  <w:num w:numId="5">
    <w:abstractNumId w:val="45"/>
  </w:num>
  <w:num w:numId="6">
    <w:abstractNumId w:val="35"/>
  </w:num>
  <w:num w:numId="7">
    <w:abstractNumId w:val="4"/>
  </w:num>
  <w:num w:numId="8">
    <w:abstractNumId w:val="40"/>
  </w:num>
  <w:num w:numId="9">
    <w:abstractNumId w:val="33"/>
  </w:num>
  <w:num w:numId="10">
    <w:abstractNumId w:val="1"/>
  </w:num>
  <w:num w:numId="11">
    <w:abstractNumId w:val="13"/>
  </w:num>
  <w:num w:numId="12">
    <w:abstractNumId w:val="34"/>
  </w:num>
  <w:num w:numId="13">
    <w:abstractNumId w:val="28"/>
  </w:num>
  <w:num w:numId="14">
    <w:abstractNumId w:val="20"/>
  </w:num>
  <w:num w:numId="15">
    <w:abstractNumId w:val="39"/>
  </w:num>
  <w:num w:numId="16">
    <w:abstractNumId w:val="23"/>
  </w:num>
  <w:num w:numId="17">
    <w:abstractNumId w:val="42"/>
  </w:num>
  <w:num w:numId="18">
    <w:abstractNumId w:val="21"/>
  </w:num>
  <w:num w:numId="19">
    <w:abstractNumId w:val="32"/>
  </w:num>
  <w:num w:numId="20">
    <w:abstractNumId w:val="22"/>
  </w:num>
  <w:num w:numId="21">
    <w:abstractNumId w:val="0"/>
  </w:num>
  <w:num w:numId="22">
    <w:abstractNumId w:val="57"/>
  </w:num>
  <w:num w:numId="23">
    <w:abstractNumId w:val="48"/>
  </w:num>
  <w:num w:numId="24">
    <w:abstractNumId w:val="58"/>
  </w:num>
  <w:num w:numId="25">
    <w:abstractNumId w:val="43"/>
  </w:num>
  <w:num w:numId="26">
    <w:abstractNumId w:val="26"/>
  </w:num>
  <w:num w:numId="27">
    <w:abstractNumId w:val="6"/>
  </w:num>
  <w:num w:numId="28">
    <w:abstractNumId w:val="27"/>
  </w:num>
  <w:num w:numId="29">
    <w:abstractNumId w:val="49"/>
  </w:num>
  <w:num w:numId="30">
    <w:abstractNumId w:val="8"/>
  </w:num>
  <w:num w:numId="31">
    <w:abstractNumId w:val="36"/>
  </w:num>
  <w:num w:numId="32">
    <w:abstractNumId w:val="59"/>
  </w:num>
  <w:num w:numId="33">
    <w:abstractNumId w:val="56"/>
  </w:num>
  <w:num w:numId="34">
    <w:abstractNumId w:val="25"/>
  </w:num>
  <w:num w:numId="35">
    <w:abstractNumId w:val="19"/>
  </w:num>
  <w:num w:numId="36">
    <w:abstractNumId w:val="44"/>
  </w:num>
  <w:num w:numId="37">
    <w:abstractNumId w:val="60"/>
  </w:num>
  <w:num w:numId="38">
    <w:abstractNumId w:val="18"/>
  </w:num>
  <w:num w:numId="39">
    <w:abstractNumId w:val="29"/>
  </w:num>
  <w:num w:numId="40">
    <w:abstractNumId w:val="7"/>
  </w:num>
  <w:num w:numId="41">
    <w:abstractNumId w:val="14"/>
  </w:num>
  <w:num w:numId="42">
    <w:abstractNumId w:val="31"/>
  </w:num>
  <w:num w:numId="43">
    <w:abstractNumId w:val="11"/>
  </w:num>
  <w:num w:numId="44">
    <w:abstractNumId w:val="15"/>
  </w:num>
  <w:num w:numId="45">
    <w:abstractNumId w:val="54"/>
  </w:num>
  <w:num w:numId="46">
    <w:abstractNumId w:val="37"/>
  </w:num>
  <w:num w:numId="47">
    <w:abstractNumId w:val="12"/>
  </w:num>
  <w:num w:numId="48">
    <w:abstractNumId w:val="17"/>
  </w:num>
  <w:num w:numId="49">
    <w:abstractNumId w:val="50"/>
  </w:num>
  <w:num w:numId="50">
    <w:abstractNumId w:val="3"/>
  </w:num>
  <w:num w:numId="51">
    <w:abstractNumId w:val="38"/>
  </w:num>
  <w:num w:numId="52">
    <w:abstractNumId w:val="51"/>
  </w:num>
  <w:num w:numId="53">
    <w:abstractNumId w:val="46"/>
  </w:num>
  <w:num w:numId="54">
    <w:abstractNumId w:val="2"/>
  </w:num>
  <w:num w:numId="55">
    <w:abstractNumId w:val="41"/>
  </w:num>
  <w:num w:numId="56">
    <w:abstractNumId w:val="0"/>
    <w:lvlOverride w:ilvl="0">
      <w:startOverride w:val="1"/>
    </w:lvlOverride>
  </w:num>
  <w:num w:numId="57">
    <w:abstractNumId w:val="10"/>
  </w:num>
  <w:num w:numId="58">
    <w:abstractNumId w:val="30"/>
  </w:num>
  <w:num w:numId="59">
    <w:abstractNumId w:val="24"/>
  </w:num>
  <w:num w:numId="60">
    <w:abstractNumId w:val="55"/>
  </w:num>
  <w:num w:numId="61">
    <w:abstractNumId w:val="47"/>
  </w:num>
  <w:num w:numId="62">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1E06"/>
    <w:rsid w:val="00002C53"/>
    <w:rsid w:val="000043C4"/>
    <w:rsid w:val="00004C54"/>
    <w:rsid w:val="00004F01"/>
    <w:rsid w:val="00004F3C"/>
    <w:rsid w:val="00005D9F"/>
    <w:rsid w:val="00007940"/>
    <w:rsid w:val="000116B2"/>
    <w:rsid w:val="00011967"/>
    <w:rsid w:val="00012AEB"/>
    <w:rsid w:val="000141EB"/>
    <w:rsid w:val="000147DC"/>
    <w:rsid w:val="00015DC5"/>
    <w:rsid w:val="00016A44"/>
    <w:rsid w:val="00016EBC"/>
    <w:rsid w:val="000204C7"/>
    <w:rsid w:val="0002083A"/>
    <w:rsid w:val="00023F52"/>
    <w:rsid w:val="00024464"/>
    <w:rsid w:val="000245E3"/>
    <w:rsid w:val="000248F7"/>
    <w:rsid w:val="00024F32"/>
    <w:rsid w:val="00026149"/>
    <w:rsid w:val="00027899"/>
    <w:rsid w:val="00027B5A"/>
    <w:rsid w:val="0003185F"/>
    <w:rsid w:val="00031897"/>
    <w:rsid w:val="00031FC3"/>
    <w:rsid w:val="00032C1E"/>
    <w:rsid w:val="0003300B"/>
    <w:rsid w:val="00035628"/>
    <w:rsid w:val="000357CA"/>
    <w:rsid w:val="00035F04"/>
    <w:rsid w:val="00036CA1"/>
    <w:rsid w:val="00036EBF"/>
    <w:rsid w:val="0004195A"/>
    <w:rsid w:val="00042036"/>
    <w:rsid w:val="00043DF8"/>
    <w:rsid w:val="00044565"/>
    <w:rsid w:val="000451C5"/>
    <w:rsid w:val="00045342"/>
    <w:rsid w:val="0004603E"/>
    <w:rsid w:val="00047B03"/>
    <w:rsid w:val="00047E3E"/>
    <w:rsid w:val="000518AA"/>
    <w:rsid w:val="00051A94"/>
    <w:rsid w:val="00051E70"/>
    <w:rsid w:val="00051ED8"/>
    <w:rsid w:val="00053E62"/>
    <w:rsid w:val="00056828"/>
    <w:rsid w:val="00057976"/>
    <w:rsid w:val="00057E29"/>
    <w:rsid w:val="00060C90"/>
    <w:rsid w:val="00060CD3"/>
    <w:rsid w:val="00060CE4"/>
    <w:rsid w:val="00061845"/>
    <w:rsid w:val="00061B37"/>
    <w:rsid w:val="00061C6C"/>
    <w:rsid w:val="000620FD"/>
    <w:rsid w:val="00062E6D"/>
    <w:rsid w:val="000634B1"/>
    <w:rsid w:val="00066D38"/>
    <w:rsid w:val="00066D3C"/>
    <w:rsid w:val="000670CF"/>
    <w:rsid w:val="0006773B"/>
    <w:rsid w:val="00067D0E"/>
    <w:rsid w:val="00067FB3"/>
    <w:rsid w:val="00067FD4"/>
    <w:rsid w:val="00071AE5"/>
    <w:rsid w:val="00072C8A"/>
    <w:rsid w:val="00072E1F"/>
    <w:rsid w:val="000739DA"/>
    <w:rsid w:val="00075338"/>
    <w:rsid w:val="00075389"/>
    <w:rsid w:val="00075F3E"/>
    <w:rsid w:val="00076459"/>
    <w:rsid w:val="0007671C"/>
    <w:rsid w:val="0007671E"/>
    <w:rsid w:val="0007735F"/>
    <w:rsid w:val="000803B0"/>
    <w:rsid w:val="00080ECB"/>
    <w:rsid w:val="00081136"/>
    <w:rsid w:val="000825DF"/>
    <w:rsid w:val="00082712"/>
    <w:rsid w:val="000831B8"/>
    <w:rsid w:val="00083B49"/>
    <w:rsid w:val="00083C0D"/>
    <w:rsid w:val="000845E7"/>
    <w:rsid w:val="0008531E"/>
    <w:rsid w:val="00085ECE"/>
    <w:rsid w:val="000865AF"/>
    <w:rsid w:val="0008729C"/>
    <w:rsid w:val="0008764E"/>
    <w:rsid w:val="00087BEC"/>
    <w:rsid w:val="000906C3"/>
    <w:rsid w:val="00090BC2"/>
    <w:rsid w:val="00091139"/>
    <w:rsid w:val="000916BB"/>
    <w:rsid w:val="00091ED5"/>
    <w:rsid w:val="00091F70"/>
    <w:rsid w:val="000922ED"/>
    <w:rsid w:val="0009239B"/>
    <w:rsid w:val="00092E75"/>
    <w:rsid w:val="0009419B"/>
    <w:rsid w:val="000942E0"/>
    <w:rsid w:val="00095835"/>
    <w:rsid w:val="00095B1E"/>
    <w:rsid w:val="000963F7"/>
    <w:rsid w:val="00096632"/>
    <w:rsid w:val="00096BAB"/>
    <w:rsid w:val="00096CEC"/>
    <w:rsid w:val="00096FE3"/>
    <w:rsid w:val="00097E9A"/>
    <w:rsid w:val="000A0224"/>
    <w:rsid w:val="000A0B94"/>
    <w:rsid w:val="000A1E6B"/>
    <w:rsid w:val="000A2579"/>
    <w:rsid w:val="000A2A12"/>
    <w:rsid w:val="000A2AE5"/>
    <w:rsid w:val="000A32D4"/>
    <w:rsid w:val="000A3328"/>
    <w:rsid w:val="000A3869"/>
    <w:rsid w:val="000A3A36"/>
    <w:rsid w:val="000A3AF5"/>
    <w:rsid w:val="000A549F"/>
    <w:rsid w:val="000A6604"/>
    <w:rsid w:val="000A738D"/>
    <w:rsid w:val="000A77DE"/>
    <w:rsid w:val="000A7C39"/>
    <w:rsid w:val="000A7D7E"/>
    <w:rsid w:val="000A7EB6"/>
    <w:rsid w:val="000B06BE"/>
    <w:rsid w:val="000B2234"/>
    <w:rsid w:val="000B2695"/>
    <w:rsid w:val="000B2B4C"/>
    <w:rsid w:val="000B3461"/>
    <w:rsid w:val="000B45BD"/>
    <w:rsid w:val="000B5614"/>
    <w:rsid w:val="000B597F"/>
    <w:rsid w:val="000B5D24"/>
    <w:rsid w:val="000B657D"/>
    <w:rsid w:val="000B7A3C"/>
    <w:rsid w:val="000B7A4F"/>
    <w:rsid w:val="000B7EAD"/>
    <w:rsid w:val="000C0482"/>
    <w:rsid w:val="000C0752"/>
    <w:rsid w:val="000C0905"/>
    <w:rsid w:val="000C0A02"/>
    <w:rsid w:val="000C20FC"/>
    <w:rsid w:val="000C265E"/>
    <w:rsid w:val="000C3ACA"/>
    <w:rsid w:val="000C50CD"/>
    <w:rsid w:val="000C539B"/>
    <w:rsid w:val="000C57EA"/>
    <w:rsid w:val="000C666E"/>
    <w:rsid w:val="000C670F"/>
    <w:rsid w:val="000C7311"/>
    <w:rsid w:val="000D0182"/>
    <w:rsid w:val="000D170D"/>
    <w:rsid w:val="000D2149"/>
    <w:rsid w:val="000D2680"/>
    <w:rsid w:val="000D3D10"/>
    <w:rsid w:val="000D734A"/>
    <w:rsid w:val="000E091F"/>
    <w:rsid w:val="000E1A26"/>
    <w:rsid w:val="000E1DFB"/>
    <w:rsid w:val="000E1F9B"/>
    <w:rsid w:val="000E2A0C"/>
    <w:rsid w:val="000E4093"/>
    <w:rsid w:val="000E4101"/>
    <w:rsid w:val="000E5032"/>
    <w:rsid w:val="000E5135"/>
    <w:rsid w:val="000E5D75"/>
    <w:rsid w:val="000E6121"/>
    <w:rsid w:val="000E640E"/>
    <w:rsid w:val="000E6B9A"/>
    <w:rsid w:val="000E6CB6"/>
    <w:rsid w:val="000F04AF"/>
    <w:rsid w:val="000F0A25"/>
    <w:rsid w:val="000F1AB9"/>
    <w:rsid w:val="000F3A3D"/>
    <w:rsid w:val="000F40DE"/>
    <w:rsid w:val="000F421A"/>
    <w:rsid w:val="000F79C7"/>
    <w:rsid w:val="0010076F"/>
    <w:rsid w:val="0010086B"/>
    <w:rsid w:val="00101E3D"/>
    <w:rsid w:val="00102442"/>
    <w:rsid w:val="00103633"/>
    <w:rsid w:val="001042E4"/>
    <w:rsid w:val="001057F7"/>
    <w:rsid w:val="00105DC0"/>
    <w:rsid w:val="00105E83"/>
    <w:rsid w:val="001062D4"/>
    <w:rsid w:val="00106EFD"/>
    <w:rsid w:val="001076F0"/>
    <w:rsid w:val="001105E4"/>
    <w:rsid w:val="00110971"/>
    <w:rsid w:val="00110B76"/>
    <w:rsid w:val="00111C8B"/>
    <w:rsid w:val="00112002"/>
    <w:rsid w:val="00112F30"/>
    <w:rsid w:val="001131D7"/>
    <w:rsid w:val="00113B41"/>
    <w:rsid w:val="00114CA6"/>
    <w:rsid w:val="00115066"/>
    <w:rsid w:val="001153D9"/>
    <w:rsid w:val="001153EB"/>
    <w:rsid w:val="001153FB"/>
    <w:rsid w:val="001162C9"/>
    <w:rsid w:val="001163FE"/>
    <w:rsid w:val="00117179"/>
    <w:rsid w:val="00117CAF"/>
    <w:rsid w:val="00120856"/>
    <w:rsid w:val="001212BC"/>
    <w:rsid w:val="001227AA"/>
    <w:rsid w:val="00123B67"/>
    <w:rsid w:val="00124AB6"/>
    <w:rsid w:val="00125428"/>
    <w:rsid w:val="0012585F"/>
    <w:rsid w:val="00125DF5"/>
    <w:rsid w:val="00125ED6"/>
    <w:rsid w:val="00125FCA"/>
    <w:rsid w:val="00126214"/>
    <w:rsid w:val="0013012C"/>
    <w:rsid w:val="0013028E"/>
    <w:rsid w:val="0013207E"/>
    <w:rsid w:val="00132CEA"/>
    <w:rsid w:val="00133189"/>
    <w:rsid w:val="001338F6"/>
    <w:rsid w:val="0013404D"/>
    <w:rsid w:val="00134B79"/>
    <w:rsid w:val="00135B76"/>
    <w:rsid w:val="00135EA7"/>
    <w:rsid w:val="0013605A"/>
    <w:rsid w:val="00140130"/>
    <w:rsid w:val="001414E7"/>
    <w:rsid w:val="00141ECA"/>
    <w:rsid w:val="00141F8B"/>
    <w:rsid w:val="0014367A"/>
    <w:rsid w:val="0014372F"/>
    <w:rsid w:val="00143AD8"/>
    <w:rsid w:val="001446FD"/>
    <w:rsid w:val="0014489D"/>
    <w:rsid w:val="00145923"/>
    <w:rsid w:val="001460FB"/>
    <w:rsid w:val="00150B00"/>
    <w:rsid w:val="001510DC"/>
    <w:rsid w:val="00151527"/>
    <w:rsid w:val="00151A9E"/>
    <w:rsid w:val="00152A13"/>
    <w:rsid w:val="00156045"/>
    <w:rsid w:val="00156205"/>
    <w:rsid w:val="00156FB3"/>
    <w:rsid w:val="00160894"/>
    <w:rsid w:val="0016089C"/>
    <w:rsid w:val="00160AC1"/>
    <w:rsid w:val="00160D16"/>
    <w:rsid w:val="00161DF7"/>
    <w:rsid w:val="0016267E"/>
    <w:rsid w:val="0016294A"/>
    <w:rsid w:val="00162952"/>
    <w:rsid w:val="00162A99"/>
    <w:rsid w:val="00163BA8"/>
    <w:rsid w:val="00164969"/>
    <w:rsid w:val="00165B3F"/>
    <w:rsid w:val="001664F7"/>
    <w:rsid w:val="001703C2"/>
    <w:rsid w:val="00171070"/>
    <w:rsid w:val="00171084"/>
    <w:rsid w:val="001710EC"/>
    <w:rsid w:val="001719EF"/>
    <w:rsid w:val="001726F4"/>
    <w:rsid w:val="001728FD"/>
    <w:rsid w:val="00172D3C"/>
    <w:rsid w:val="00172E8F"/>
    <w:rsid w:val="00174EFD"/>
    <w:rsid w:val="0017587A"/>
    <w:rsid w:val="00175A92"/>
    <w:rsid w:val="001763BE"/>
    <w:rsid w:val="00176F2C"/>
    <w:rsid w:val="00177099"/>
    <w:rsid w:val="0017714B"/>
    <w:rsid w:val="0017732A"/>
    <w:rsid w:val="00177DEF"/>
    <w:rsid w:val="00180753"/>
    <w:rsid w:val="00180A50"/>
    <w:rsid w:val="00181F49"/>
    <w:rsid w:val="00184182"/>
    <w:rsid w:val="00184CFB"/>
    <w:rsid w:val="00184D7C"/>
    <w:rsid w:val="0018757B"/>
    <w:rsid w:val="00187CDB"/>
    <w:rsid w:val="00190078"/>
    <w:rsid w:val="00190E60"/>
    <w:rsid w:val="00192D04"/>
    <w:rsid w:val="00193AF0"/>
    <w:rsid w:val="00193F98"/>
    <w:rsid w:val="00194176"/>
    <w:rsid w:val="00194AA8"/>
    <w:rsid w:val="00194CDA"/>
    <w:rsid w:val="00196757"/>
    <w:rsid w:val="00197A7A"/>
    <w:rsid w:val="001A0074"/>
    <w:rsid w:val="001A0F7B"/>
    <w:rsid w:val="001A1131"/>
    <w:rsid w:val="001A1479"/>
    <w:rsid w:val="001A4013"/>
    <w:rsid w:val="001A53F5"/>
    <w:rsid w:val="001A6644"/>
    <w:rsid w:val="001A6827"/>
    <w:rsid w:val="001A6828"/>
    <w:rsid w:val="001A6F81"/>
    <w:rsid w:val="001A7789"/>
    <w:rsid w:val="001A7CF6"/>
    <w:rsid w:val="001A7F28"/>
    <w:rsid w:val="001B0567"/>
    <w:rsid w:val="001B165C"/>
    <w:rsid w:val="001B321A"/>
    <w:rsid w:val="001B5AF8"/>
    <w:rsid w:val="001B5D7E"/>
    <w:rsid w:val="001B6520"/>
    <w:rsid w:val="001B6936"/>
    <w:rsid w:val="001B6B2A"/>
    <w:rsid w:val="001B75E2"/>
    <w:rsid w:val="001B7DB9"/>
    <w:rsid w:val="001C1E60"/>
    <w:rsid w:val="001C1F9F"/>
    <w:rsid w:val="001C3C19"/>
    <w:rsid w:val="001C456B"/>
    <w:rsid w:val="001C4867"/>
    <w:rsid w:val="001C61C3"/>
    <w:rsid w:val="001C7A55"/>
    <w:rsid w:val="001D0384"/>
    <w:rsid w:val="001D15FC"/>
    <w:rsid w:val="001D2011"/>
    <w:rsid w:val="001D20E3"/>
    <w:rsid w:val="001D285F"/>
    <w:rsid w:val="001D4882"/>
    <w:rsid w:val="001D4BB0"/>
    <w:rsid w:val="001D5457"/>
    <w:rsid w:val="001D6ECF"/>
    <w:rsid w:val="001D759E"/>
    <w:rsid w:val="001D78ED"/>
    <w:rsid w:val="001D7C26"/>
    <w:rsid w:val="001E01AF"/>
    <w:rsid w:val="001E1072"/>
    <w:rsid w:val="001E1C24"/>
    <w:rsid w:val="001E3EA8"/>
    <w:rsid w:val="001E418A"/>
    <w:rsid w:val="001E4314"/>
    <w:rsid w:val="001E4618"/>
    <w:rsid w:val="001E4FF9"/>
    <w:rsid w:val="001E5D7F"/>
    <w:rsid w:val="001E5F46"/>
    <w:rsid w:val="001E6702"/>
    <w:rsid w:val="001E7545"/>
    <w:rsid w:val="001E763D"/>
    <w:rsid w:val="001E7D42"/>
    <w:rsid w:val="001F12C7"/>
    <w:rsid w:val="001F1BE7"/>
    <w:rsid w:val="001F234E"/>
    <w:rsid w:val="001F3858"/>
    <w:rsid w:val="001F3C7D"/>
    <w:rsid w:val="001F4CA5"/>
    <w:rsid w:val="001F5909"/>
    <w:rsid w:val="001F6123"/>
    <w:rsid w:val="001F68DE"/>
    <w:rsid w:val="001F6D98"/>
    <w:rsid w:val="001F71E8"/>
    <w:rsid w:val="00200851"/>
    <w:rsid w:val="00202748"/>
    <w:rsid w:val="00202AD9"/>
    <w:rsid w:val="0020352F"/>
    <w:rsid w:val="00205644"/>
    <w:rsid w:val="002058FD"/>
    <w:rsid w:val="00205CCE"/>
    <w:rsid w:val="00206330"/>
    <w:rsid w:val="00206DDC"/>
    <w:rsid w:val="00211313"/>
    <w:rsid w:val="00211BCE"/>
    <w:rsid w:val="002129EC"/>
    <w:rsid w:val="00212C6C"/>
    <w:rsid w:val="00212E96"/>
    <w:rsid w:val="00213386"/>
    <w:rsid w:val="00213745"/>
    <w:rsid w:val="002137A1"/>
    <w:rsid w:val="00214170"/>
    <w:rsid w:val="002163FF"/>
    <w:rsid w:val="002174E9"/>
    <w:rsid w:val="00217B66"/>
    <w:rsid w:val="0022066D"/>
    <w:rsid w:val="002209D7"/>
    <w:rsid w:val="0022101B"/>
    <w:rsid w:val="00221262"/>
    <w:rsid w:val="00221D81"/>
    <w:rsid w:val="002220E6"/>
    <w:rsid w:val="002228FF"/>
    <w:rsid w:val="00223C84"/>
    <w:rsid w:val="00224741"/>
    <w:rsid w:val="00224CD2"/>
    <w:rsid w:val="00224EEE"/>
    <w:rsid w:val="00226B56"/>
    <w:rsid w:val="00226B59"/>
    <w:rsid w:val="002310E9"/>
    <w:rsid w:val="002323D0"/>
    <w:rsid w:val="00232442"/>
    <w:rsid w:val="00232D1D"/>
    <w:rsid w:val="00232FF7"/>
    <w:rsid w:val="0023315D"/>
    <w:rsid w:val="00233524"/>
    <w:rsid w:val="00233956"/>
    <w:rsid w:val="00234115"/>
    <w:rsid w:val="002346CD"/>
    <w:rsid w:val="00235072"/>
    <w:rsid w:val="00235DD9"/>
    <w:rsid w:val="00235EB1"/>
    <w:rsid w:val="00236F35"/>
    <w:rsid w:val="00236F9D"/>
    <w:rsid w:val="002409D9"/>
    <w:rsid w:val="00240AEF"/>
    <w:rsid w:val="00241F8A"/>
    <w:rsid w:val="00243359"/>
    <w:rsid w:val="0024397D"/>
    <w:rsid w:val="00243CAA"/>
    <w:rsid w:val="0024539C"/>
    <w:rsid w:val="00245646"/>
    <w:rsid w:val="00246AA2"/>
    <w:rsid w:val="0024773A"/>
    <w:rsid w:val="00247E65"/>
    <w:rsid w:val="00251092"/>
    <w:rsid w:val="002525DB"/>
    <w:rsid w:val="00254774"/>
    <w:rsid w:val="00255547"/>
    <w:rsid w:val="002555A9"/>
    <w:rsid w:val="0025577D"/>
    <w:rsid w:val="0025595B"/>
    <w:rsid w:val="00255A4D"/>
    <w:rsid w:val="00255CB4"/>
    <w:rsid w:val="00256481"/>
    <w:rsid w:val="00260978"/>
    <w:rsid w:val="0026290F"/>
    <w:rsid w:val="00262DD1"/>
    <w:rsid w:val="00262F2D"/>
    <w:rsid w:val="00263CA8"/>
    <w:rsid w:val="00263E78"/>
    <w:rsid w:val="002643F3"/>
    <w:rsid w:val="0026448F"/>
    <w:rsid w:val="00264943"/>
    <w:rsid w:val="00264D83"/>
    <w:rsid w:val="00265681"/>
    <w:rsid w:val="002660BC"/>
    <w:rsid w:val="00267FE2"/>
    <w:rsid w:val="002707F7"/>
    <w:rsid w:val="00270A5E"/>
    <w:rsid w:val="00270B46"/>
    <w:rsid w:val="00271D31"/>
    <w:rsid w:val="00271D42"/>
    <w:rsid w:val="002721FA"/>
    <w:rsid w:val="002728E4"/>
    <w:rsid w:val="00272E1D"/>
    <w:rsid w:val="00275B88"/>
    <w:rsid w:val="00275F5E"/>
    <w:rsid w:val="0027761B"/>
    <w:rsid w:val="00277A52"/>
    <w:rsid w:val="002817D8"/>
    <w:rsid w:val="002826D8"/>
    <w:rsid w:val="00283067"/>
    <w:rsid w:val="00283142"/>
    <w:rsid w:val="00284E5C"/>
    <w:rsid w:val="002867C7"/>
    <w:rsid w:val="0028685B"/>
    <w:rsid w:val="00287A5D"/>
    <w:rsid w:val="00290FB7"/>
    <w:rsid w:val="00291BA6"/>
    <w:rsid w:val="002931ED"/>
    <w:rsid w:val="00293EC8"/>
    <w:rsid w:val="00294383"/>
    <w:rsid w:val="00294B1B"/>
    <w:rsid w:val="00294D34"/>
    <w:rsid w:val="00295998"/>
    <w:rsid w:val="00295F04"/>
    <w:rsid w:val="00296E8B"/>
    <w:rsid w:val="002A02D3"/>
    <w:rsid w:val="002A0922"/>
    <w:rsid w:val="002A1E84"/>
    <w:rsid w:val="002A2068"/>
    <w:rsid w:val="002A206F"/>
    <w:rsid w:val="002A2980"/>
    <w:rsid w:val="002A3408"/>
    <w:rsid w:val="002A3C5D"/>
    <w:rsid w:val="002A4196"/>
    <w:rsid w:val="002A4520"/>
    <w:rsid w:val="002A46E0"/>
    <w:rsid w:val="002A4896"/>
    <w:rsid w:val="002A49B8"/>
    <w:rsid w:val="002A4E8C"/>
    <w:rsid w:val="002A5352"/>
    <w:rsid w:val="002A5D07"/>
    <w:rsid w:val="002A5DBC"/>
    <w:rsid w:val="002A5E61"/>
    <w:rsid w:val="002A6136"/>
    <w:rsid w:val="002A771D"/>
    <w:rsid w:val="002B0324"/>
    <w:rsid w:val="002B05C6"/>
    <w:rsid w:val="002B0CED"/>
    <w:rsid w:val="002B3F22"/>
    <w:rsid w:val="002B4000"/>
    <w:rsid w:val="002B4777"/>
    <w:rsid w:val="002B5568"/>
    <w:rsid w:val="002B59AC"/>
    <w:rsid w:val="002B5E03"/>
    <w:rsid w:val="002B601A"/>
    <w:rsid w:val="002B634D"/>
    <w:rsid w:val="002B6F3F"/>
    <w:rsid w:val="002B743D"/>
    <w:rsid w:val="002B7461"/>
    <w:rsid w:val="002C3395"/>
    <w:rsid w:val="002C35A0"/>
    <w:rsid w:val="002C44B2"/>
    <w:rsid w:val="002C547E"/>
    <w:rsid w:val="002C5BED"/>
    <w:rsid w:val="002C5F73"/>
    <w:rsid w:val="002C62D0"/>
    <w:rsid w:val="002C68A7"/>
    <w:rsid w:val="002C7A73"/>
    <w:rsid w:val="002D0264"/>
    <w:rsid w:val="002D1426"/>
    <w:rsid w:val="002D1B12"/>
    <w:rsid w:val="002D1EA4"/>
    <w:rsid w:val="002D34A9"/>
    <w:rsid w:val="002D598B"/>
    <w:rsid w:val="002D60DD"/>
    <w:rsid w:val="002E01CD"/>
    <w:rsid w:val="002E0232"/>
    <w:rsid w:val="002E0D6C"/>
    <w:rsid w:val="002E1883"/>
    <w:rsid w:val="002E250C"/>
    <w:rsid w:val="002E35A6"/>
    <w:rsid w:val="002E3E4A"/>
    <w:rsid w:val="002E3F3A"/>
    <w:rsid w:val="002E4180"/>
    <w:rsid w:val="002E525A"/>
    <w:rsid w:val="002E6457"/>
    <w:rsid w:val="002E65ED"/>
    <w:rsid w:val="002E675D"/>
    <w:rsid w:val="002E7287"/>
    <w:rsid w:val="002F2279"/>
    <w:rsid w:val="002F3535"/>
    <w:rsid w:val="002F3A6D"/>
    <w:rsid w:val="002F4183"/>
    <w:rsid w:val="002F5987"/>
    <w:rsid w:val="002F5D01"/>
    <w:rsid w:val="002F5D76"/>
    <w:rsid w:val="002F7A63"/>
    <w:rsid w:val="0030038D"/>
    <w:rsid w:val="00300BAE"/>
    <w:rsid w:val="00300FBD"/>
    <w:rsid w:val="00301312"/>
    <w:rsid w:val="00301E6B"/>
    <w:rsid w:val="00302101"/>
    <w:rsid w:val="00302737"/>
    <w:rsid w:val="00303693"/>
    <w:rsid w:val="00304450"/>
    <w:rsid w:val="003045F6"/>
    <w:rsid w:val="003056D6"/>
    <w:rsid w:val="003062A8"/>
    <w:rsid w:val="00306E0A"/>
    <w:rsid w:val="003120FD"/>
    <w:rsid w:val="00314B0B"/>
    <w:rsid w:val="00315842"/>
    <w:rsid w:val="003158E7"/>
    <w:rsid w:val="00315E87"/>
    <w:rsid w:val="00316631"/>
    <w:rsid w:val="00316EE5"/>
    <w:rsid w:val="003173DC"/>
    <w:rsid w:val="00317AD6"/>
    <w:rsid w:val="00320D59"/>
    <w:rsid w:val="00321093"/>
    <w:rsid w:val="00321368"/>
    <w:rsid w:val="00323CEF"/>
    <w:rsid w:val="0032422B"/>
    <w:rsid w:val="0032440F"/>
    <w:rsid w:val="0032477D"/>
    <w:rsid w:val="003262D2"/>
    <w:rsid w:val="0032731B"/>
    <w:rsid w:val="00327499"/>
    <w:rsid w:val="00327DDD"/>
    <w:rsid w:val="003314A2"/>
    <w:rsid w:val="0033195A"/>
    <w:rsid w:val="00332323"/>
    <w:rsid w:val="00332A82"/>
    <w:rsid w:val="00333971"/>
    <w:rsid w:val="003343A2"/>
    <w:rsid w:val="00335546"/>
    <w:rsid w:val="00335C82"/>
    <w:rsid w:val="00340D9C"/>
    <w:rsid w:val="0034130D"/>
    <w:rsid w:val="0034477A"/>
    <w:rsid w:val="00344D60"/>
    <w:rsid w:val="0034628D"/>
    <w:rsid w:val="00346C40"/>
    <w:rsid w:val="00347BEF"/>
    <w:rsid w:val="003504FE"/>
    <w:rsid w:val="00351CEF"/>
    <w:rsid w:val="003521B8"/>
    <w:rsid w:val="00352316"/>
    <w:rsid w:val="0035316E"/>
    <w:rsid w:val="00354214"/>
    <w:rsid w:val="00354514"/>
    <w:rsid w:val="00354D12"/>
    <w:rsid w:val="003550DA"/>
    <w:rsid w:val="003553D6"/>
    <w:rsid w:val="003558E7"/>
    <w:rsid w:val="00357A2A"/>
    <w:rsid w:val="00357C5C"/>
    <w:rsid w:val="00357D12"/>
    <w:rsid w:val="003601E8"/>
    <w:rsid w:val="00361146"/>
    <w:rsid w:val="00361CC3"/>
    <w:rsid w:val="003622B9"/>
    <w:rsid w:val="0036281D"/>
    <w:rsid w:val="00365B17"/>
    <w:rsid w:val="00365CE8"/>
    <w:rsid w:val="0036684C"/>
    <w:rsid w:val="00366B16"/>
    <w:rsid w:val="003670D6"/>
    <w:rsid w:val="0037043A"/>
    <w:rsid w:val="0037146A"/>
    <w:rsid w:val="00371AE2"/>
    <w:rsid w:val="00375820"/>
    <w:rsid w:val="003764EF"/>
    <w:rsid w:val="00376799"/>
    <w:rsid w:val="003767B3"/>
    <w:rsid w:val="003769A0"/>
    <w:rsid w:val="00376EB9"/>
    <w:rsid w:val="00377E02"/>
    <w:rsid w:val="00380C4B"/>
    <w:rsid w:val="003813BF"/>
    <w:rsid w:val="003814EF"/>
    <w:rsid w:val="00382A62"/>
    <w:rsid w:val="00383267"/>
    <w:rsid w:val="0038340A"/>
    <w:rsid w:val="00383DA8"/>
    <w:rsid w:val="00384189"/>
    <w:rsid w:val="00384469"/>
    <w:rsid w:val="00386F8C"/>
    <w:rsid w:val="00390513"/>
    <w:rsid w:val="0039057C"/>
    <w:rsid w:val="003924E4"/>
    <w:rsid w:val="00392E73"/>
    <w:rsid w:val="00393270"/>
    <w:rsid w:val="00393AA6"/>
    <w:rsid w:val="00393D1A"/>
    <w:rsid w:val="00394057"/>
    <w:rsid w:val="00394DF1"/>
    <w:rsid w:val="00394DFB"/>
    <w:rsid w:val="00394F4A"/>
    <w:rsid w:val="003958D3"/>
    <w:rsid w:val="00396088"/>
    <w:rsid w:val="00396D36"/>
    <w:rsid w:val="00396DBA"/>
    <w:rsid w:val="003974F9"/>
    <w:rsid w:val="003A05C5"/>
    <w:rsid w:val="003A13CA"/>
    <w:rsid w:val="003A1AB1"/>
    <w:rsid w:val="003A231A"/>
    <w:rsid w:val="003A3022"/>
    <w:rsid w:val="003A35A7"/>
    <w:rsid w:val="003A38B6"/>
    <w:rsid w:val="003A3BED"/>
    <w:rsid w:val="003A3DFE"/>
    <w:rsid w:val="003A4F9E"/>
    <w:rsid w:val="003A683D"/>
    <w:rsid w:val="003A7906"/>
    <w:rsid w:val="003A7DA4"/>
    <w:rsid w:val="003B0A5D"/>
    <w:rsid w:val="003B0F38"/>
    <w:rsid w:val="003B2D3A"/>
    <w:rsid w:val="003B2DED"/>
    <w:rsid w:val="003B37A6"/>
    <w:rsid w:val="003B441D"/>
    <w:rsid w:val="003B47FF"/>
    <w:rsid w:val="003B5D48"/>
    <w:rsid w:val="003B66A4"/>
    <w:rsid w:val="003B7CE7"/>
    <w:rsid w:val="003C0FDC"/>
    <w:rsid w:val="003C1628"/>
    <w:rsid w:val="003C1968"/>
    <w:rsid w:val="003C2350"/>
    <w:rsid w:val="003C255D"/>
    <w:rsid w:val="003C5D86"/>
    <w:rsid w:val="003D0515"/>
    <w:rsid w:val="003D20C4"/>
    <w:rsid w:val="003D2D3C"/>
    <w:rsid w:val="003D45C0"/>
    <w:rsid w:val="003D56FB"/>
    <w:rsid w:val="003D5DC3"/>
    <w:rsid w:val="003D6CD4"/>
    <w:rsid w:val="003D6FCF"/>
    <w:rsid w:val="003D72A1"/>
    <w:rsid w:val="003E1933"/>
    <w:rsid w:val="003E22CB"/>
    <w:rsid w:val="003E258F"/>
    <w:rsid w:val="003E284D"/>
    <w:rsid w:val="003E3F93"/>
    <w:rsid w:val="003E4568"/>
    <w:rsid w:val="003E4E58"/>
    <w:rsid w:val="003E54C9"/>
    <w:rsid w:val="003E57C0"/>
    <w:rsid w:val="003E7057"/>
    <w:rsid w:val="003F0ED4"/>
    <w:rsid w:val="003F38FB"/>
    <w:rsid w:val="003F5EDB"/>
    <w:rsid w:val="003F5F7A"/>
    <w:rsid w:val="003F6E5F"/>
    <w:rsid w:val="004000E2"/>
    <w:rsid w:val="00400274"/>
    <w:rsid w:val="00400B9A"/>
    <w:rsid w:val="00400E58"/>
    <w:rsid w:val="00402B56"/>
    <w:rsid w:val="00403A11"/>
    <w:rsid w:val="00403D51"/>
    <w:rsid w:val="00404D01"/>
    <w:rsid w:val="00405EEA"/>
    <w:rsid w:val="004067AD"/>
    <w:rsid w:val="004073C1"/>
    <w:rsid w:val="00407683"/>
    <w:rsid w:val="004101AF"/>
    <w:rsid w:val="00413518"/>
    <w:rsid w:val="00414E9D"/>
    <w:rsid w:val="0041586D"/>
    <w:rsid w:val="00415BA6"/>
    <w:rsid w:val="004165F5"/>
    <w:rsid w:val="004169C2"/>
    <w:rsid w:val="00416AF6"/>
    <w:rsid w:val="00416FB6"/>
    <w:rsid w:val="00417A3C"/>
    <w:rsid w:val="00417A90"/>
    <w:rsid w:val="00417CA3"/>
    <w:rsid w:val="00422D34"/>
    <w:rsid w:val="00423F3B"/>
    <w:rsid w:val="00425815"/>
    <w:rsid w:val="004273E8"/>
    <w:rsid w:val="00427712"/>
    <w:rsid w:val="00427FC9"/>
    <w:rsid w:val="00430129"/>
    <w:rsid w:val="00432796"/>
    <w:rsid w:val="00432919"/>
    <w:rsid w:val="00432EB4"/>
    <w:rsid w:val="00433273"/>
    <w:rsid w:val="00433982"/>
    <w:rsid w:val="00434057"/>
    <w:rsid w:val="004340B1"/>
    <w:rsid w:val="00435450"/>
    <w:rsid w:val="00437701"/>
    <w:rsid w:val="0044241B"/>
    <w:rsid w:val="00443363"/>
    <w:rsid w:val="00443A29"/>
    <w:rsid w:val="004441CA"/>
    <w:rsid w:val="004448CA"/>
    <w:rsid w:val="00444933"/>
    <w:rsid w:val="00444BE8"/>
    <w:rsid w:val="004468BC"/>
    <w:rsid w:val="00447517"/>
    <w:rsid w:val="004477A4"/>
    <w:rsid w:val="004477A6"/>
    <w:rsid w:val="00450760"/>
    <w:rsid w:val="00451B1C"/>
    <w:rsid w:val="00451D36"/>
    <w:rsid w:val="00452325"/>
    <w:rsid w:val="00452D61"/>
    <w:rsid w:val="00453780"/>
    <w:rsid w:val="0045398A"/>
    <w:rsid w:val="00453A5D"/>
    <w:rsid w:val="00454365"/>
    <w:rsid w:val="00455186"/>
    <w:rsid w:val="00455495"/>
    <w:rsid w:val="004560ED"/>
    <w:rsid w:val="00460B14"/>
    <w:rsid w:val="004618A9"/>
    <w:rsid w:val="00461BC9"/>
    <w:rsid w:val="004622B6"/>
    <w:rsid w:val="004628D1"/>
    <w:rsid w:val="00463017"/>
    <w:rsid w:val="00463B4E"/>
    <w:rsid w:val="0046519F"/>
    <w:rsid w:val="004657FC"/>
    <w:rsid w:val="0046678C"/>
    <w:rsid w:val="004702B9"/>
    <w:rsid w:val="00470BB5"/>
    <w:rsid w:val="004713D1"/>
    <w:rsid w:val="004718FE"/>
    <w:rsid w:val="00473099"/>
    <w:rsid w:val="00474C83"/>
    <w:rsid w:val="00475265"/>
    <w:rsid w:val="004800FA"/>
    <w:rsid w:val="00480466"/>
    <w:rsid w:val="0048057D"/>
    <w:rsid w:val="0048115F"/>
    <w:rsid w:val="00481644"/>
    <w:rsid w:val="00481EDA"/>
    <w:rsid w:val="004829FE"/>
    <w:rsid w:val="00483E66"/>
    <w:rsid w:val="00485454"/>
    <w:rsid w:val="0048572B"/>
    <w:rsid w:val="00487807"/>
    <w:rsid w:val="00490153"/>
    <w:rsid w:val="00490E8F"/>
    <w:rsid w:val="00491271"/>
    <w:rsid w:val="00492522"/>
    <w:rsid w:val="00493352"/>
    <w:rsid w:val="00494561"/>
    <w:rsid w:val="00494D71"/>
    <w:rsid w:val="00496962"/>
    <w:rsid w:val="00497133"/>
    <w:rsid w:val="00497E93"/>
    <w:rsid w:val="004A02F3"/>
    <w:rsid w:val="004A1D57"/>
    <w:rsid w:val="004A2076"/>
    <w:rsid w:val="004A2462"/>
    <w:rsid w:val="004A2A46"/>
    <w:rsid w:val="004A2E59"/>
    <w:rsid w:val="004A5050"/>
    <w:rsid w:val="004A7384"/>
    <w:rsid w:val="004B0112"/>
    <w:rsid w:val="004B1980"/>
    <w:rsid w:val="004B2719"/>
    <w:rsid w:val="004B35BC"/>
    <w:rsid w:val="004B3742"/>
    <w:rsid w:val="004B4FB1"/>
    <w:rsid w:val="004B50AE"/>
    <w:rsid w:val="004B5288"/>
    <w:rsid w:val="004B5691"/>
    <w:rsid w:val="004B7342"/>
    <w:rsid w:val="004B7869"/>
    <w:rsid w:val="004C0183"/>
    <w:rsid w:val="004C0761"/>
    <w:rsid w:val="004C0BA5"/>
    <w:rsid w:val="004C280F"/>
    <w:rsid w:val="004C35FA"/>
    <w:rsid w:val="004C4853"/>
    <w:rsid w:val="004C4E6E"/>
    <w:rsid w:val="004C554B"/>
    <w:rsid w:val="004C5F00"/>
    <w:rsid w:val="004C753E"/>
    <w:rsid w:val="004D0140"/>
    <w:rsid w:val="004D0B8A"/>
    <w:rsid w:val="004D0B97"/>
    <w:rsid w:val="004D0D4A"/>
    <w:rsid w:val="004D12DD"/>
    <w:rsid w:val="004D1847"/>
    <w:rsid w:val="004D2EF4"/>
    <w:rsid w:val="004D37E2"/>
    <w:rsid w:val="004D3AE0"/>
    <w:rsid w:val="004D48AC"/>
    <w:rsid w:val="004D5E58"/>
    <w:rsid w:val="004D77EA"/>
    <w:rsid w:val="004E06E9"/>
    <w:rsid w:val="004E0953"/>
    <w:rsid w:val="004E1EE7"/>
    <w:rsid w:val="004E2B41"/>
    <w:rsid w:val="004E2C11"/>
    <w:rsid w:val="004E3D2D"/>
    <w:rsid w:val="004E4441"/>
    <w:rsid w:val="004E50D0"/>
    <w:rsid w:val="004E5F9B"/>
    <w:rsid w:val="004E6310"/>
    <w:rsid w:val="004F07E5"/>
    <w:rsid w:val="004F0D4F"/>
    <w:rsid w:val="004F0F57"/>
    <w:rsid w:val="004F147D"/>
    <w:rsid w:val="004F2470"/>
    <w:rsid w:val="004F38B8"/>
    <w:rsid w:val="004F3C75"/>
    <w:rsid w:val="004F4014"/>
    <w:rsid w:val="004F54BE"/>
    <w:rsid w:val="004F6476"/>
    <w:rsid w:val="004F6E80"/>
    <w:rsid w:val="004F6ECC"/>
    <w:rsid w:val="004F7A38"/>
    <w:rsid w:val="004F7CCB"/>
    <w:rsid w:val="005001C9"/>
    <w:rsid w:val="00500F19"/>
    <w:rsid w:val="005011B4"/>
    <w:rsid w:val="00501532"/>
    <w:rsid w:val="00503EE0"/>
    <w:rsid w:val="00504D2F"/>
    <w:rsid w:val="00504EE0"/>
    <w:rsid w:val="00505B84"/>
    <w:rsid w:val="005067F1"/>
    <w:rsid w:val="005113F5"/>
    <w:rsid w:val="00511841"/>
    <w:rsid w:val="0051254A"/>
    <w:rsid w:val="00512873"/>
    <w:rsid w:val="00512DF5"/>
    <w:rsid w:val="00513204"/>
    <w:rsid w:val="0051398E"/>
    <w:rsid w:val="0051545A"/>
    <w:rsid w:val="005156C1"/>
    <w:rsid w:val="00515E6F"/>
    <w:rsid w:val="00515ECB"/>
    <w:rsid w:val="0051697E"/>
    <w:rsid w:val="005178F6"/>
    <w:rsid w:val="005207A1"/>
    <w:rsid w:val="00520995"/>
    <w:rsid w:val="00521B6A"/>
    <w:rsid w:val="0052234D"/>
    <w:rsid w:val="00523053"/>
    <w:rsid w:val="00523217"/>
    <w:rsid w:val="0052494B"/>
    <w:rsid w:val="00524FC6"/>
    <w:rsid w:val="00525472"/>
    <w:rsid w:val="0052777B"/>
    <w:rsid w:val="00527C2E"/>
    <w:rsid w:val="00530783"/>
    <w:rsid w:val="005329FE"/>
    <w:rsid w:val="005330F7"/>
    <w:rsid w:val="00534516"/>
    <w:rsid w:val="0053537A"/>
    <w:rsid w:val="00536B89"/>
    <w:rsid w:val="00536CE1"/>
    <w:rsid w:val="00537446"/>
    <w:rsid w:val="00537883"/>
    <w:rsid w:val="005401AF"/>
    <w:rsid w:val="00540586"/>
    <w:rsid w:val="00540DD9"/>
    <w:rsid w:val="00541D88"/>
    <w:rsid w:val="00542805"/>
    <w:rsid w:val="00542DDE"/>
    <w:rsid w:val="00542E35"/>
    <w:rsid w:val="005437BF"/>
    <w:rsid w:val="005438C6"/>
    <w:rsid w:val="00543BE1"/>
    <w:rsid w:val="00545DA9"/>
    <w:rsid w:val="005461B6"/>
    <w:rsid w:val="00550B29"/>
    <w:rsid w:val="0055124D"/>
    <w:rsid w:val="00551776"/>
    <w:rsid w:val="0055194F"/>
    <w:rsid w:val="00551BF3"/>
    <w:rsid w:val="00552009"/>
    <w:rsid w:val="00552158"/>
    <w:rsid w:val="005527F4"/>
    <w:rsid w:val="00552B6B"/>
    <w:rsid w:val="005535E3"/>
    <w:rsid w:val="00554682"/>
    <w:rsid w:val="005546C9"/>
    <w:rsid w:val="00554930"/>
    <w:rsid w:val="00554D8C"/>
    <w:rsid w:val="00555841"/>
    <w:rsid w:val="005558EA"/>
    <w:rsid w:val="00555DD8"/>
    <w:rsid w:val="005566BD"/>
    <w:rsid w:val="00556755"/>
    <w:rsid w:val="00556A53"/>
    <w:rsid w:val="00556DE1"/>
    <w:rsid w:val="00560238"/>
    <w:rsid w:val="005607C4"/>
    <w:rsid w:val="00560DD5"/>
    <w:rsid w:val="00560EC2"/>
    <w:rsid w:val="00563862"/>
    <w:rsid w:val="005640FE"/>
    <w:rsid w:val="0056434A"/>
    <w:rsid w:val="00564ADD"/>
    <w:rsid w:val="00564C37"/>
    <w:rsid w:val="0056597B"/>
    <w:rsid w:val="00566AD6"/>
    <w:rsid w:val="00567DA2"/>
    <w:rsid w:val="00571DC6"/>
    <w:rsid w:val="00571F71"/>
    <w:rsid w:val="005720BF"/>
    <w:rsid w:val="00572D8A"/>
    <w:rsid w:val="00572E71"/>
    <w:rsid w:val="00572F22"/>
    <w:rsid w:val="00573DB5"/>
    <w:rsid w:val="00575829"/>
    <w:rsid w:val="00575D4E"/>
    <w:rsid w:val="00577A52"/>
    <w:rsid w:val="00577E2B"/>
    <w:rsid w:val="005803CD"/>
    <w:rsid w:val="00580C46"/>
    <w:rsid w:val="005816FC"/>
    <w:rsid w:val="00581717"/>
    <w:rsid w:val="00581869"/>
    <w:rsid w:val="00582461"/>
    <w:rsid w:val="00583FB0"/>
    <w:rsid w:val="00584021"/>
    <w:rsid w:val="0058430F"/>
    <w:rsid w:val="00584916"/>
    <w:rsid w:val="00584C2C"/>
    <w:rsid w:val="00585FC7"/>
    <w:rsid w:val="00586105"/>
    <w:rsid w:val="005902D2"/>
    <w:rsid w:val="005913A4"/>
    <w:rsid w:val="005943CB"/>
    <w:rsid w:val="00594D9A"/>
    <w:rsid w:val="00596353"/>
    <w:rsid w:val="005971B3"/>
    <w:rsid w:val="00597F2A"/>
    <w:rsid w:val="005A031D"/>
    <w:rsid w:val="005A06D4"/>
    <w:rsid w:val="005A0870"/>
    <w:rsid w:val="005A0914"/>
    <w:rsid w:val="005A0BCC"/>
    <w:rsid w:val="005A0CFC"/>
    <w:rsid w:val="005A22D2"/>
    <w:rsid w:val="005A2481"/>
    <w:rsid w:val="005A28F5"/>
    <w:rsid w:val="005A384F"/>
    <w:rsid w:val="005A38E5"/>
    <w:rsid w:val="005A4CE7"/>
    <w:rsid w:val="005A56A4"/>
    <w:rsid w:val="005A6341"/>
    <w:rsid w:val="005A6511"/>
    <w:rsid w:val="005A7B5B"/>
    <w:rsid w:val="005B0DF2"/>
    <w:rsid w:val="005B114E"/>
    <w:rsid w:val="005B16A9"/>
    <w:rsid w:val="005B1C08"/>
    <w:rsid w:val="005B1C1A"/>
    <w:rsid w:val="005B27DA"/>
    <w:rsid w:val="005B2D2F"/>
    <w:rsid w:val="005B34EE"/>
    <w:rsid w:val="005B3518"/>
    <w:rsid w:val="005B453E"/>
    <w:rsid w:val="005B691B"/>
    <w:rsid w:val="005B7EED"/>
    <w:rsid w:val="005C021E"/>
    <w:rsid w:val="005C17AC"/>
    <w:rsid w:val="005C1844"/>
    <w:rsid w:val="005C1A32"/>
    <w:rsid w:val="005C2AC9"/>
    <w:rsid w:val="005C2AD9"/>
    <w:rsid w:val="005C3AE5"/>
    <w:rsid w:val="005C7B93"/>
    <w:rsid w:val="005D0D3F"/>
    <w:rsid w:val="005D112C"/>
    <w:rsid w:val="005D1834"/>
    <w:rsid w:val="005D1B30"/>
    <w:rsid w:val="005D1E29"/>
    <w:rsid w:val="005D22C5"/>
    <w:rsid w:val="005D28B7"/>
    <w:rsid w:val="005D3A3B"/>
    <w:rsid w:val="005D3B2C"/>
    <w:rsid w:val="005D57FC"/>
    <w:rsid w:val="005D59E2"/>
    <w:rsid w:val="005D6D7E"/>
    <w:rsid w:val="005D74C7"/>
    <w:rsid w:val="005E2231"/>
    <w:rsid w:val="005E478F"/>
    <w:rsid w:val="005E5820"/>
    <w:rsid w:val="005E624A"/>
    <w:rsid w:val="005E669F"/>
    <w:rsid w:val="005E68A8"/>
    <w:rsid w:val="005E6E47"/>
    <w:rsid w:val="005E775D"/>
    <w:rsid w:val="005F0778"/>
    <w:rsid w:val="005F324E"/>
    <w:rsid w:val="005F3836"/>
    <w:rsid w:val="005F4B6C"/>
    <w:rsid w:val="005F4E97"/>
    <w:rsid w:val="005F66AE"/>
    <w:rsid w:val="005F69CC"/>
    <w:rsid w:val="005F6D58"/>
    <w:rsid w:val="005F6F31"/>
    <w:rsid w:val="005F7B33"/>
    <w:rsid w:val="005F7C9B"/>
    <w:rsid w:val="005F7D60"/>
    <w:rsid w:val="0060180B"/>
    <w:rsid w:val="006020CF"/>
    <w:rsid w:val="0060218E"/>
    <w:rsid w:val="00602F9B"/>
    <w:rsid w:val="00602FB7"/>
    <w:rsid w:val="00603AC8"/>
    <w:rsid w:val="00603D0C"/>
    <w:rsid w:val="00604622"/>
    <w:rsid w:val="006053DE"/>
    <w:rsid w:val="00611099"/>
    <w:rsid w:val="006113C3"/>
    <w:rsid w:val="006115A9"/>
    <w:rsid w:val="00611F64"/>
    <w:rsid w:val="00612879"/>
    <w:rsid w:val="00612D8D"/>
    <w:rsid w:val="00613018"/>
    <w:rsid w:val="00614481"/>
    <w:rsid w:val="00614BB4"/>
    <w:rsid w:val="00614C31"/>
    <w:rsid w:val="006151EC"/>
    <w:rsid w:val="00615990"/>
    <w:rsid w:val="00615D7C"/>
    <w:rsid w:val="00615F75"/>
    <w:rsid w:val="00616684"/>
    <w:rsid w:val="00617632"/>
    <w:rsid w:val="00617974"/>
    <w:rsid w:val="006201FF"/>
    <w:rsid w:val="006208D1"/>
    <w:rsid w:val="006211BC"/>
    <w:rsid w:val="0062186C"/>
    <w:rsid w:val="006222B0"/>
    <w:rsid w:val="00622F64"/>
    <w:rsid w:val="006234D7"/>
    <w:rsid w:val="0062451D"/>
    <w:rsid w:val="00625C1E"/>
    <w:rsid w:val="00626214"/>
    <w:rsid w:val="00626273"/>
    <w:rsid w:val="006265B4"/>
    <w:rsid w:val="0062742C"/>
    <w:rsid w:val="006278C0"/>
    <w:rsid w:val="00627C2C"/>
    <w:rsid w:val="006308DE"/>
    <w:rsid w:val="00631E30"/>
    <w:rsid w:val="00632401"/>
    <w:rsid w:val="006331A9"/>
    <w:rsid w:val="006331CA"/>
    <w:rsid w:val="00633253"/>
    <w:rsid w:val="006343B2"/>
    <w:rsid w:val="006348E0"/>
    <w:rsid w:val="00634978"/>
    <w:rsid w:val="006349AE"/>
    <w:rsid w:val="00634F83"/>
    <w:rsid w:val="006353B8"/>
    <w:rsid w:val="006367F9"/>
    <w:rsid w:val="00636F16"/>
    <w:rsid w:val="00637636"/>
    <w:rsid w:val="00640563"/>
    <w:rsid w:val="00640EBD"/>
    <w:rsid w:val="0064190F"/>
    <w:rsid w:val="006434CD"/>
    <w:rsid w:val="00643F42"/>
    <w:rsid w:val="00644978"/>
    <w:rsid w:val="006449FF"/>
    <w:rsid w:val="00644A8B"/>
    <w:rsid w:val="00645293"/>
    <w:rsid w:val="00645AFE"/>
    <w:rsid w:val="00645F6C"/>
    <w:rsid w:val="00646008"/>
    <w:rsid w:val="00647D86"/>
    <w:rsid w:val="00651B78"/>
    <w:rsid w:val="00652006"/>
    <w:rsid w:val="0065246C"/>
    <w:rsid w:val="00652498"/>
    <w:rsid w:val="0065255E"/>
    <w:rsid w:val="00653C34"/>
    <w:rsid w:val="0065549B"/>
    <w:rsid w:val="00657A12"/>
    <w:rsid w:val="006607DB"/>
    <w:rsid w:val="00660C80"/>
    <w:rsid w:val="006611B0"/>
    <w:rsid w:val="0066204C"/>
    <w:rsid w:val="00664694"/>
    <w:rsid w:val="006651FC"/>
    <w:rsid w:val="00665241"/>
    <w:rsid w:val="00665277"/>
    <w:rsid w:val="006655A4"/>
    <w:rsid w:val="006658A8"/>
    <w:rsid w:val="006664DF"/>
    <w:rsid w:val="00670714"/>
    <w:rsid w:val="00670E53"/>
    <w:rsid w:val="00671593"/>
    <w:rsid w:val="00671A38"/>
    <w:rsid w:val="00671AB5"/>
    <w:rsid w:val="00671C60"/>
    <w:rsid w:val="00672548"/>
    <w:rsid w:val="00672590"/>
    <w:rsid w:val="0067260A"/>
    <w:rsid w:val="00672894"/>
    <w:rsid w:val="00672DD1"/>
    <w:rsid w:val="00672DE4"/>
    <w:rsid w:val="00672E7A"/>
    <w:rsid w:val="00673DC6"/>
    <w:rsid w:val="00674C23"/>
    <w:rsid w:val="00675285"/>
    <w:rsid w:val="006756F6"/>
    <w:rsid w:val="00677021"/>
    <w:rsid w:val="00677C85"/>
    <w:rsid w:val="00680AF7"/>
    <w:rsid w:val="0068154F"/>
    <w:rsid w:val="00681CD4"/>
    <w:rsid w:val="00682C47"/>
    <w:rsid w:val="00682CA3"/>
    <w:rsid w:val="00685714"/>
    <w:rsid w:val="00685DE2"/>
    <w:rsid w:val="0068663E"/>
    <w:rsid w:val="00686749"/>
    <w:rsid w:val="00686948"/>
    <w:rsid w:val="00687CBC"/>
    <w:rsid w:val="00690F4C"/>
    <w:rsid w:val="00691C59"/>
    <w:rsid w:val="0069273F"/>
    <w:rsid w:val="006929F3"/>
    <w:rsid w:val="006945A0"/>
    <w:rsid w:val="006950B9"/>
    <w:rsid w:val="00695965"/>
    <w:rsid w:val="006960B5"/>
    <w:rsid w:val="0069660F"/>
    <w:rsid w:val="00697D36"/>
    <w:rsid w:val="006A1271"/>
    <w:rsid w:val="006A1B7A"/>
    <w:rsid w:val="006A1B9F"/>
    <w:rsid w:val="006A306E"/>
    <w:rsid w:val="006A3251"/>
    <w:rsid w:val="006A3D4A"/>
    <w:rsid w:val="006A5CF6"/>
    <w:rsid w:val="006A616D"/>
    <w:rsid w:val="006A7B8B"/>
    <w:rsid w:val="006B04CE"/>
    <w:rsid w:val="006B260A"/>
    <w:rsid w:val="006B2D9B"/>
    <w:rsid w:val="006B3540"/>
    <w:rsid w:val="006B42E4"/>
    <w:rsid w:val="006B4576"/>
    <w:rsid w:val="006B4894"/>
    <w:rsid w:val="006B4955"/>
    <w:rsid w:val="006B4C68"/>
    <w:rsid w:val="006B5988"/>
    <w:rsid w:val="006B6993"/>
    <w:rsid w:val="006B6D17"/>
    <w:rsid w:val="006B7EAA"/>
    <w:rsid w:val="006C12C4"/>
    <w:rsid w:val="006C1C1B"/>
    <w:rsid w:val="006C2A62"/>
    <w:rsid w:val="006C3518"/>
    <w:rsid w:val="006C3FD7"/>
    <w:rsid w:val="006C44E9"/>
    <w:rsid w:val="006C4C77"/>
    <w:rsid w:val="006C74C7"/>
    <w:rsid w:val="006D3439"/>
    <w:rsid w:val="006D34BA"/>
    <w:rsid w:val="006D3736"/>
    <w:rsid w:val="006D3BCF"/>
    <w:rsid w:val="006D3FDB"/>
    <w:rsid w:val="006D4096"/>
    <w:rsid w:val="006D571A"/>
    <w:rsid w:val="006D658C"/>
    <w:rsid w:val="006D6906"/>
    <w:rsid w:val="006D6C0D"/>
    <w:rsid w:val="006E0C5F"/>
    <w:rsid w:val="006E0EF9"/>
    <w:rsid w:val="006E1389"/>
    <w:rsid w:val="006E18CB"/>
    <w:rsid w:val="006E2047"/>
    <w:rsid w:val="006E282A"/>
    <w:rsid w:val="006E3482"/>
    <w:rsid w:val="006E49E4"/>
    <w:rsid w:val="006E4DEC"/>
    <w:rsid w:val="006E4E83"/>
    <w:rsid w:val="006E53F9"/>
    <w:rsid w:val="006E58C6"/>
    <w:rsid w:val="006E59B8"/>
    <w:rsid w:val="006E5F96"/>
    <w:rsid w:val="006E6153"/>
    <w:rsid w:val="006E7115"/>
    <w:rsid w:val="006F0A51"/>
    <w:rsid w:val="006F26C7"/>
    <w:rsid w:val="006F2910"/>
    <w:rsid w:val="006F3358"/>
    <w:rsid w:val="006F3F9C"/>
    <w:rsid w:val="006F49D7"/>
    <w:rsid w:val="006F640C"/>
    <w:rsid w:val="006F71B9"/>
    <w:rsid w:val="006F746C"/>
    <w:rsid w:val="006F7A4C"/>
    <w:rsid w:val="00700C88"/>
    <w:rsid w:val="00702877"/>
    <w:rsid w:val="00702BAF"/>
    <w:rsid w:val="00703551"/>
    <w:rsid w:val="00704764"/>
    <w:rsid w:val="007052ED"/>
    <w:rsid w:val="0070546E"/>
    <w:rsid w:val="00705B11"/>
    <w:rsid w:val="00705C76"/>
    <w:rsid w:val="007068B5"/>
    <w:rsid w:val="00706C26"/>
    <w:rsid w:val="00706F51"/>
    <w:rsid w:val="0071070B"/>
    <w:rsid w:val="00710BE1"/>
    <w:rsid w:val="007124A2"/>
    <w:rsid w:val="007124E0"/>
    <w:rsid w:val="007136CD"/>
    <w:rsid w:val="00713D4D"/>
    <w:rsid w:val="007144DD"/>
    <w:rsid w:val="00715811"/>
    <w:rsid w:val="0071587E"/>
    <w:rsid w:val="00715B36"/>
    <w:rsid w:val="007172F1"/>
    <w:rsid w:val="00720BEA"/>
    <w:rsid w:val="00720F21"/>
    <w:rsid w:val="007211CA"/>
    <w:rsid w:val="00721F36"/>
    <w:rsid w:val="00722B5D"/>
    <w:rsid w:val="00725EA1"/>
    <w:rsid w:val="00727740"/>
    <w:rsid w:val="00731B72"/>
    <w:rsid w:val="0073309B"/>
    <w:rsid w:val="0073427D"/>
    <w:rsid w:val="00734EFB"/>
    <w:rsid w:val="0073622D"/>
    <w:rsid w:val="00736D5B"/>
    <w:rsid w:val="00736F43"/>
    <w:rsid w:val="0073788C"/>
    <w:rsid w:val="00737D78"/>
    <w:rsid w:val="0074017C"/>
    <w:rsid w:val="00740AAD"/>
    <w:rsid w:val="00740AD4"/>
    <w:rsid w:val="007412C3"/>
    <w:rsid w:val="0074344B"/>
    <w:rsid w:val="00743949"/>
    <w:rsid w:val="00744B50"/>
    <w:rsid w:val="00744B66"/>
    <w:rsid w:val="00745E9A"/>
    <w:rsid w:val="00747FBD"/>
    <w:rsid w:val="00750EA1"/>
    <w:rsid w:val="00751583"/>
    <w:rsid w:val="00751E02"/>
    <w:rsid w:val="00752484"/>
    <w:rsid w:val="007526EE"/>
    <w:rsid w:val="0075498A"/>
    <w:rsid w:val="00756DD9"/>
    <w:rsid w:val="00756E3B"/>
    <w:rsid w:val="0075731A"/>
    <w:rsid w:val="007577DC"/>
    <w:rsid w:val="00757A3C"/>
    <w:rsid w:val="007605E0"/>
    <w:rsid w:val="00760835"/>
    <w:rsid w:val="0076214F"/>
    <w:rsid w:val="007631A8"/>
    <w:rsid w:val="007639A7"/>
    <w:rsid w:val="007649B9"/>
    <w:rsid w:val="007650E2"/>
    <w:rsid w:val="0076528B"/>
    <w:rsid w:val="00765712"/>
    <w:rsid w:val="00765B7B"/>
    <w:rsid w:val="00765E27"/>
    <w:rsid w:val="00766F18"/>
    <w:rsid w:val="00767940"/>
    <w:rsid w:val="00767BB1"/>
    <w:rsid w:val="00771668"/>
    <w:rsid w:val="00772361"/>
    <w:rsid w:val="00772B1C"/>
    <w:rsid w:val="00774F22"/>
    <w:rsid w:val="007759E1"/>
    <w:rsid w:val="00782F74"/>
    <w:rsid w:val="007846C7"/>
    <w:rsid w:val="00784F23"/>
    <w:rsid w:val="0078560A"/>
    <w:rsid w:val="00785AFD"/>
    <w:rsid w:val="00785BF8"/>
    <w:rsid w:val="007863C7"/>
    <w:rsid w:val="007901BC"/>
    <w:rsid w:val="00790AAB"/>
    <w:rsid w:val="0079226E"/>
    <w:rsid w:val="0079330B"/>
    <w:rsid w:val="00793C28"/>
    <w:rsid w:val="0079430C"/>
    <w:rsid w:val="00794935"/>
    <w:rsid w:val="00795DDC"/>
    <w:rsid w:val="007A26A5"/>
    <w:rsid w:val="007A2F0F"/>
    <w:rsid w:val="007A37C2"/>
    <w:rsid w:val="007A45CE"/>
    <w:rsid w:val="007A55B0"/>
    <w:rsid w:val="007A5D79"/>
    <w:rsid w:val="007A6169"/>
    <w:rsid w:val="007A66C3"/>
    <w:rsid w:val="007A6C54"/>
    <w:rsid w:val="007A6E48"/>
    <w:rsid w:val="007A7409"/>
    <w:rsid w:val="007A7BC9"/>
    <w:rsid w:val="007B0AC6"/>
    <w:rsid w:val="007B0DDC"/>
    <w:rsid w:val="007B11DD"/>
    <w:rsid w:val="007B1C40"/>
    <w:rsid w:val="007B2073"/>
    <w:rsid w:val="007B20CA"/>
    <w:rsid w:val="007B262D"/>
    <w:rsid w:val="007B35C5"/>
    <w:rsid w:val="007B3DF5"/>
    <w:rsid w:val="007B456B"/>
    <w:rsid w:val="007B55E0"/>
    <w:rsid w:val="007B56D7"/>
    <w:rsid w:val="007B5CAF"/>
    <w:rsid w:val="007B5DF9"/>
    <w:rsid w:val="007B66B1"/>
    <w:rsid w:val="007C0385"/>
    <w:rsid w:val="007C0561"/>
    <w:rsid w:val="007C0902"/>
    <w:rsid w:val="007C178C"/>
    <w:rsid w:val="007C1BCE"/>
    <w:rsid w:val="007C40D0"/>
    <w:rsid w:val="007C520D"/>
    <w:rsid w:val="007C5727"/>
    <w:rsid w:val="007C64F5"/>
    <w:rsid w:val="007C709C"/>
    <w:rsid w:val="007C7977"/>
    <w:rsid w:val="007D00A7"/>
    <w:rsid w:val="007D0F81"/>
    <w:rsid w:val="007D21FA"/>
    <w:rsid w:val="007D2AFF"/>
    <w:rsid w:val="007D3B8E"/>
    <w:rsid w:val="007D407D"/>
    <w:rsid w:val="007D4512"/>
    <w:rsid w:val="007D46F1"/>
    <w:rsid w:val="007D670D"/>
    <w:rsid w:val="007D6AC5"/>
    <w:rsid w:val="007D7813"/>
    <w:rsid w:val="007E2409"/>
    <w:rsid w:val="007E2500"/>
    <w:rsid w:val="007E3665"/>
    <w:rsid w:val="007E3779"/>
    <w:rsid w:val="007E3BC4"/>
    <w:rsid w:val="007E4969"/>
    <w:rsid w:val="007E5A19"/>
    <w:rsid w:val="007E6BD9"/>
    <w:rsid w:val="007E7D06"/>
    <w:rsid w:val="007F08F0"/>
    <w:rsid w:val="007F128E"/>
    <w:rsid w:val="007F1801"/>
    <w:rsid w:val="007F2E0A"/>
    <w:rsid w:val="007F419D"/>
    <w:rsid w:val="007F4E09"/>
    <w:rsid w:val="007F58E8"/>
    <w:rsid w:val="008013D4"/>
    <w:rsid w:val="00802036"/>
    <w:rsid w:val="008021E7"/>
    <w:rsid w:val="0080284D"/>
    <w:rsid w:val="00802F6D"/>
    <w:rsid w:val="008032DD"/>
    <w:rsid w:val="00803C9F"/>
    <w:rsid w:val="0080435B"/>
    <w:rsid w:val="00804FD8"/>
    <w:rsid w:val="00805931"/>
    <w:rsid w:val="00806546"/>
    <w:rsid w:val="00807E25"/>
    <w:rsid w:val="00812DDE"/>
    <w:rsid w:val="00813088"/>
    <w:rsid w:val="00813FDE"/>
    <w:rsid w:val="008147E7"/>
    <w:rsid w:val="00814A8E"/>
    <w:rsid w:val="00815524"/>
    <w:rsid w:val="00816B19"/>
    <w:rsid w:val="00817315"/>
    <w:rsid w:val="0081787E"/>
    <w:rsid w:val="00820D95"/>
    <w:rsid w:val="0082124E"/>
    <w:rsid w:val="0082146C"/>
    <w:rsid w:val="008217FB"/>
    <w:rsid w:val="008225C9"/>
    <w:rsid w:val="00822631"/>
    <w:rsid w:val="00822AF1"/>
    <w:rsid w:val="008231EB"/>
    <w:rsid w:val="00823554"/>
    <w:rsid w:val="00823E7A"/>
    <w:rsid w:val="008240CD"/>
    <w:rsid w:val="008244F6"/>
    <w:rsid w:val="008245D2"/>
    <w:rsid w:val="00824CBF"/>
    <w:rsid w:val="0082597B"/>
    <w:rsid w:val="00825BC6"/>
    <w:rsid w:val="00826653"/>
    <w:rsid w:val="00827724"/>
    <w:rsid w:val="00827DE9"/>
    <w:rsid w:val="00834E11"/>
    <w:rsid w:val="00835D5C"/>
    <w:rsid w:val="00836AFA"/>
    <w:rsid w:val="00840187"/>
    <w:rsid w:val="008410E0"/>
    <w:rsid w:val="008413F6"/>
    <w:rsid w:val="00841A8D"/>
    <w:rsid w:val="008421A8"/>
    <w:rsid w:val="008425D0"/>
    <w:rsid w:val="00842C15"/>
    <w:rsid w:val="0084334C"/>
    <w:rsid w:val="008434B5"/>
    <w:rsid w:val="00843642"/>
    <w:rsid w:val="00843C6D"/>
    <w:rsid w:val="00844A61"/>
    <w:rsid w:val="00844B25"/>
    <w:rsid w:val="00845218"/>
    <w:rsid w:val="00845C9A"/>
    <w:rsid w:val="00847B38"/>
    <w:rsid w:val="0085018B"/>
    <w:rsid w:val="0085081F"/>
    <w:rsid w:val="00851368"/>
    <w:rsid w:val="00852145"/>
    <w:rsid w:val="00852869"/>
    <w:rsid w:val="0085382B"/>
    <w:rsid w:val="00853DEB"/>
    <w:rsid w:val="00854867"/>
    <w:rsid w:val="008555D8"/>
    <w:rsid w:val="0085665A"/>
    <w:rsid w:val="00856DB6"/>
    <w:rsid w:val="008573DE"/>
    <w:rsid w:val="00857F81"/>
    <w:rsid w:val="0086024D"/>
    <w:rsid w:val="00860487"/>
    <w:rsid w:val="008613B8"/>
    <w:rsid w:val="008621DB"/>
    <w:rsid w:val="00862CAD"/>
    <w:rsid w:val="00862D64"/>
    <w:rsid w:val="00863364"/>
    <w:rsid w:val="00864921"/>
    <w:rsid w:val="00866658"/>
    <w:rsid w:val="008676F3"/>
    <w:rsid w:val="00872276"/>
    <w:rsid w:val="00872439"/>
    <w:rsid w:val="00872551"/>
    <w:rsid w:val="008726D6"/>
    <w:rsid w:val="00873F95"/>
    <w:rsid w:val="0087683D"/>
    <w:rsid w:val="0087713F"/>
    <w:rsid w:val="00881271"/>
    <w:rsid w:val="00881943"/>
    <w:rsid w:val="00885519"/>
    <w:rsid w:val="00886C09"/>
    <w:rsid w:val="00886FC8"/>
    <w:rsid w:val="008871BE"/>
    <w:rsid w:val="008875E7"/>
    <w:rsid w:val="00887F56"/>
    <w:rsid w:val="008909A1"/>
    <w:rsid w:val="00891095"/>
    <w:rsid w:val="00892A70"/>
    <w:rsid w:val="00892B7E"/>
    <w:rsid w:val="00892CE3"/>
    <w:rsid w:val="00893413"/>
    <w:rsid w:val="00894D69"/>
    <w:rsid w:val="00895AF0"/>
    <w:rsid w:val="00895C45"/>
    <w:rsid w:val="00896D79"/>
    <w:rsid w:val="0089756B"/>
    <w:rsid w:val="00897D59"/>
    <w:rsid w:val="008A005F"/>
    <w:rsid w:val="008A1EFE"/>
    <w:rsid w:val="008A2D1D"/>
    <w:rsid w:val="008A31CD"/>
    <w:rsid w:val="008A401F"/>
    <w:rsid w:val="008A582F"/>
    <w:rsid w:val="008A5A08"/>
    <w:rsid w:val="008A6191"/>
    <w:rsid w:val="008A6E06"/>
    <w:rsid w:val="008A71E7"/>
    <w:rsid w:val="008A7E13"/>
    <w:rsid w:val="008B06E4"/>
    <w:rsid w:val="008B0B02"/>
    <w:rsid w:val="008B0E76"/>
    <w:rsid w:val="008B298E"/>
    <w:rsid w:val="008B2C7B"/>
    <w:rsid w:val="008B2D5E"/>
    <w:rsid w:val="008B37DF"/>
    <w:rsid w:val="008B3E2C"/>
    <w:rsid w:val="008B4FA5"/>
    <w:rsid w:val="008B535E"/>
    <w:rsid w:val="008B564C"/>
    <w:rsid w:val="008B6517"/>
    <w:rsid w:val="008B7117"/>
    <w:rsid w:val="008B7C5B"/>
    <w:rsid w:val="008C1074"/>
    <w:rsid w:val="008C1463"/>
    <w:rsid w:val="008C1647"/>
    <w:rsid w:val="008C1CF8"/>
    <w:rsid w:val="008C2A67"/>
    <w:rsid w:val="008C3587"/>
    <w:rsid w:val="008C4D16"/>
    <w:rsid w:val="008C4F77"/>
    <w:rsid w:val="008C5060"/>
    <w:rsid w:val="008C5B65"/>
    <w:rsid w:val="008C691A"/>
    <w:rsid w:val="008C6F52"/>
    <w:rsid w:val="008C7595"/>
    <w:rsid w:val="008D01A7"/>
    <w:rsid w:val="008D29C7"/>
    <w:rsid w:val="008D2E6B"/>
    <w:rsid w:val="008D32C6"/>
    <w:rsid w:val="008D3839"/>
    <w:rsid w:val="008D4015"/>
    <w:rsid w:val="008D4370"/>
    <w:rsid w:val="008D4DCD"/>
    <w:rsid w:val="008D4E10"/>
    <w:rsid w:val="008D5677"/>
    <w:rsid w:val="008D6489"/>
    <w:rsid w:val="008D6C5C"/>
    <w:rsid w:val="008D763E"/>
    <w:rsid w:val="008E0238"/>
    <w:rsid w:val="008E092F"/>
    <w:rsid w:val="008E1598"/>
    <w:rsid w:val="008E1CA8"/>
    <w:rsid w:val="008E2894"/>
    <w:rsid w:val="008E3EFD"/>
    <w:rsid w:val="008E3FF2"/>
    <w:rsid w:val="008E4093"/>
    <w:rsid w:val="008E4468"/>
    <w:rsid w:val="008E4DEC"/>
    <w:rsid w:val="008E4F2B"/>
    <w:rsid w:val="008E5047"/>
    <w:rsid w:val="008E5450"/>
    <w:rsid w:val="008E55AE"/>
    <w:rsid w:val="008E663A"/>
    <w:rsid w:val="008E6929"/>
    <w:rsid w:val="008E7A4E"/>
    <w:rsid w:val="008E7DE7"/>
    <w:rsid w:val="008F0632"/>
    <w:rsid w:val="008F1EF5"/>
    <w:rsid w:val="008F2255"/>
    <w:rsid w:val="008F27CE"/>
    <w:rsid w:val="008F2C72"/>
    <w:rsid w:val="008F3130"/>
    <w:rsid w:val="008F38C7"/>
    <w:rsid w:val="008F3AEA"/>
    <w:rsid w:val="008F3C4D"/>
    <w:rsid w:val="008F3ED7"/>
    <w:rsid w:val="008F7558"/>
    <w:rsid w:val="008F7626"/>
    <w:rsid w:val="009002D5"/>
    <w:rsid w:val="00900C1A"/>
    <w:rsid w:val="00901289"/>
    <w:rsid w:val="00901B2F"/>
    <w:rsid w:val="00901D68"/>
    <w:rsid w:val="00901FA8"/>
    <w:rsid w:val="009052FB"/>
    <w:rsid w:val="009070F0"/>
    <w:rsid w:val="00907D17"/>
    <w:rsid w:val="00910C42"/>
    <w:rsid w:val="00911783"/>
    <w:rsid w:val="00912DF4"/>
    <w:rsid w:val="009141AE"/>
    <w:rsid w:val="0091592C"/>
    <w:rsid w:val="009163D0"/>
    <w:rsid w:val="009170E8"/>
    <w:rsid w:val="009170F7"/>
    <w:rsid w:val="00921962"/>
    <w:rsid w:val="00921DA0"/>
    <w:rsid w:val="00922425"/>
    <w:rsid w:val="0092602F"/>
    <w:rsid w:val="00926242"/>
    <w:rsid w:val="00926387"/>
    <w:rsid w:val="00926493"/>
    <w:rsid w:val="00926DD7"/>
    <w:rsid w:val="009273EC"/>
    <w:rsid w:val="00927954"/>
    <w:rsid w:val="009301D9"/>
    <w:rsid w:val="0093116E"/>
    <w:rsid w:val="009322F9"/>
    <w:rsid w:val="00935744"/>
    <w:rsid w:val="00936843"/>
    <w:rsid w:val="009377CD"/>
    <w:rsid w:val="00940053"/>
    <w:rsid w:val="00940C44"/>
    <w:rsid w:val="00941202"/>
    <w:rsid w:val="0094223C"/>
    <w:rsid w:val="00942B12"/>
    <w:rsid w:val="00942D42"/>
    <w:rsid w:val="00942F2E"/>
    <w:rsid w:val="00943674"/>
    <w:rsid w:val="0094394B"/>
    <w:rsid w:val="00943F2C"/>
    <w:rsid w:val="0094577D"/>
    <w:rsid w:val="00945A9B"/>
    <w:rsid w:val="00947388"/>
    <w:rsid w:val="009509E9"/>
    <w:rsid w:val="00950C03"/>
    <w:rsid w:val="009514F1"/>
    <w:rsid w:val="00951CAF"/>
    <w:rsid w:val="0095219F"/>
    <w:rsid w:val="009525E5"/>
    <w:rsid w:val="00952805"/>
    <w:rsid w:val="009528D5"/>
    <w:rsid w:val="00952A72"/>
    <w:rsid w:val="00952B1E"/>
    <w:rsid w:val="00953096"/>
    <w:rsid w:val="00953B48"/>
    <w:rsid w:val="00955003"/>
    <w:rsid w:val="0095595D"/>
    <w:rsid w:val="00955B64"/>
    <w:rsid w:val="00955F1D"/>
    <w:rsid w:val="00955FBB"/>
    <w:rsid w:val="00956404"/>
    <w:rsid w:val="00956692"/>
    <w:rsid w:val="00957DF4"/>
    <w:rsid w:val="00960E2D"/>
    <w:rsid w:val="00961E05"/>
    <w:rsid w:val="009628C2"/>
    <w:rsid w:val="00963657"/>
    <w:rsid w:val="00964535"/>
    <w:rsid w:val="00964B86"/>
    <w:rsid w:val="00965A96"/>
    <w:rsid w:val="009673B5"/>
    <w:rsid w:val="00970202"/>
    <w:rsid w:val="009704E5"/>
    <w:rsid w:val="009707C5"/>
    <w:rsid w:val="009707E1"/>
    <w:rsid w:val="00970FEC"/>
    <w:rsid w:val="00971891"/>
    <w:rsid w:val="00971E47"/>
    <w:rsid w:val="009735E6"/>
    <w:rsid w:val="00973B58"/>
    <w:rsid w:val="00973BA0"/>
    <w:rsid w:val="00973DAB"/>
    <w:rsid w:val="00973DB7"/>
    <w:rsid w:val="009744BE"/>
    <w:rsid w:val="009745FE"/>
    <w:rsid w:val="00975B3E"/>
    <w:rsid w:val="00975EE0"/>
    <w:rsid w:val="009766AE"/>
    <w:rsid w:val="009770D8"/>
    <w:rsid w:val="00977203"/>
    <w:rsid w:val="00977C3C"/>
    <w:rsid w:val="00977DC0"/>
    <w:rsid w:val="00977F95"/>
    <w:rsid w:val="00981140"/>
    <w:rsid w:val="009813A9"/>
    <w:rsid w:val="00981424"/>
    <w:rsid w:val="009815CD"/>
    <w:rsid w:val="00981EAD"/>
    <w:rsid w:val="00981EBA"/>
    <w:rsid w:val="0098301A"/>
    <w:rsid w:val="00983A13"/>
    <w:rsid w:val="00984120"/>
    <w:rsid w:val="00984BE7"/>
    <w:rsid w:val="00985795"/>
    <w:rsid w:val="009867E7"/>
    <w:rsid w:val="009876C8"/>
    <w:rsid w:val="0098781B"/>
    <w:rsid w:val="0099120B"/>
    <w:rsid w:val="009927E2"/>
    <w:rsid w:val="009932BC"/>
    <w:rsid w:val="00993F5C"/>
    <w:rsid w:val="00994EB9"/>
    <w:rsid w:val="00995269"/>
    <w:rsid w:val="00995920"/>
    <w:rsid w:val="00995A30"/>
    <w:rsid w:val="00995CF5"/>
    <w:rsid w:val="00996AEE"/>
    <w:rsid w:val="00996B5E"/>
    <w:rsid w:val="009979C8"/>
    <w:rsid w:val="009A0CC2"/>
    <w:rsid w:val="009A149C"/>
    <w:rsid w:val="009A1F39"/>
    <w:rsid w:val="009A1FEE"/>
    <w:rsid w:val="009A298E"/>
    <w:rsid w:val="009A2FD9"/>
    <w:rsid w:val="009A34F3"/>
    <w:rsid w:val="009A370C"/>
    <w:rsid w:val="009A38B6"/>
    <w:rsid w:val="009A4B09"/>
    <w:rsid w:val="009A5F4E"/>
    <w:rsid w:val="009A6285"/>
    <w:rsid w:val="009B0407"/>
    <w:rsid w:val="009B161F"/>
    <w:rsid w:val="009B16EE"/>
    <w:rsid w:val="009B202B"/>
    <w:rsid w:val="009B233B"/>
    <w:rsid w:val="009B24B8"/>
    <w:rsid w:val="009B2F6B"/>
    <w:rsid w:val="009B3C01"/>
    <w:rsid w:val="009B42BB"/>
    <w:rsid w:val="009B438C"/>
    <w:rsid w:val="009B5E8F"/>
    <w:rsid w:val="009B66FA"/>
    <w:rsid w:val="009B6C43"/>
    <w:rsid w:val="009B6C74"/>
    <w:rsid w:val="009B73F1"/>
    <w:rsid w:val="009B7482"/>
    <w:rsid w:val="009B7B5D"/>
    <w:rsid w:val="009C0657"/>
    <w:rsid w:val="009C1C3A"/>
    <w:rsid w:val="009C1D1B"/>
    <w:rsid w:val="009C2F9A"/>
    <w:rsid w:val="009C3135"/>
    <w:rsid w:val="009C433C"/>
    <w:rsid w:val="009C48CA"/>
    <w:rsid w:val="009C59A7"/>
    <w:rsid w:val="009C5BED"/>
    <w:rsid w:val="009C6626"/>
    <w:rsid w:val="009C69FE"/>
    <w:rsid w:val="009C72D3"/>
    <w:rsid w:val="009D05DF"/>
    <w:rsid w:val="009D08DB"/>
    <w:rsid w:val="009D1558"/>
    <w:rsid w:val="009D1AE9"/>
    <w:rsid w:val="009D2023"/>
    <w:rsid w:val="009D2206"/>
    <w:rsid w:val="009D2346"/>
    <w:rsid w:val="009D325B"/>
    <w:rsid w:val="009D36DA"/>
    <w:rsid w:val="009D492F"/>
    <w:rsid w:val="009D4D25"/>
    <w:rsid w:val="009D594F"/>
    <w:rsid w:val="009D624F"/>
    <w:rsid w:val="009D694A"/>
    <w:rsid w:val="009D6DE6"/>
    <w:rsid w:val="009D73BD"/>
    <w:rsid w:val="009E100E"/>
    <w:rsid w:val="009E1997"/>
    <w:rsid w:val="009E250F"/>
    <w:rsid w:val="009E2D17"/>
    <w:rsid w:val="009E3EEC"/>
    <w:rsid w:val="009E4092"/>
    <w:rsid w:val="009E4096"/>
    <w:rsid w:val="009E443D"/>
    <w:rsid w:val="009E65DD"/>
    <w:rsid w:val="009E7970"/>
    <w:rsid w:val="009F0735"/>
    <w:rsid w:val="009F1823"/>
    <w:rsid w:val="009F233F"/>
    <w:rsid w:val="009F2DBE"/>
    <w:rsid w:val="009F35AA"/>
    <w:rsid w:val="009F3CD6"/>
    <w:rsid w:val="009F5514"/>
    <w:rsid w:val="009F6191"/>
    <w:rsid w:val="009F665C"/>
    <w:rsid w:val="009F6ABD"/>
    <w:rsid w:val="009F6C88"/>
    <w:rsid w:val="00A00D72"/>
    <w:rsid w:val="00A011AD"/>
    <w:rsid w:val="00A015E5"/>
    <w:rsid w:val="00A02632"/>
    <w:rsid w:val="00A0294C"/>
    <w:rsid w:val="00A03D27"/>
    <w:rsid w:val="00A06587"/>
    <w:rsid w:val="00A06770"/>
    <w:rsid w:val="00A06B0D"/>
    <w:rsid w:val="00A07864"/>
    <w:rsid w:val="00A07995"/>
    <w:rsid w:val="00A121EE"/>
    <w:rsid w:val="00A13688"/>
    <w:rsid w:val="00A15540"/>
    <w:rsid w:val="00A17281"/>
    <w:rsid w:val="00A17FAF"/>
    <w:rsid w:val="00A20A03"/>
    <w:rsid w:val="00A2102A"/>
    <w:rsid w:val="00A21160"/>
    <w:rsid w:val="00A2183E"/>
    <w:rsid w:val="00A21BD4"/>
    <w:rsid w:val="00A221C4"/>
    <w:rsid w:val="00A22CCE"/>
    <w:rsid w:val="00A22DA9"/>
    <w:rsid w:val="00A23C66"/>
    <w:rsid w:val="00A253DC"/>
    <w:rsid w:val="00A25BCB"/>
    <w:rsid w:val="00A265CE"/>
    <w:rsid w:val="00A30A91"/>
    <w:rsid w:val="00A31500"/>
    <w:rsid w:val="00A31D5B"/>
    <w:rsid w:val="00A3295F"/>
    <w:rsid w:val="00A33D1E"/>
    <w:rsid w:val="00A34D46"/>
    <w:rsid w:val="00A363B6"/>
    <w:rsid w:val="00A37571"/>
    <w:rsid w:val="00A40368"/>
    <w:rsid w:val="00A40B7C"/>
    <w:rsid w:val="00A42A24"/>
    <w:rsid w:val="00A42C4C"/>
    <w:rsid w:val="00A4330A"/>
    <w:rsid w:val="00A43597"/>
    <w:rsid w:val="00A43EB7"/>
    <w:rsid w:val="00A44FDC"/>
    <w:rsid w:val="00A450D6"/>
    <w:rsid w:val="00A45773"/>
    <w:rsid w:val="00A45FEF"/>
    <w:rsid w:val="00A464AC"/>
    <w:rsid w:val="00A464B7"/>
    <w:rsid w:val="00A46BFE"/>
    <w:rsid w:val="00A5008B"/>
    <w:rsid w:val="00A5029B"/>
    <w:rsid w:val="00A50C9B"/>
    <w:rsid w:val="00A50F5E"/>
    <w:rsid w:val="00A5173B"/>
    <w:rsid w:val="00A5232E"/>
    <w:rsid w:val="00A537FD"/>
    <w:rsid w:val="00A552B1"/>
    <w:rsid w:val="00A55729"/>
    <w:rsid w:val="00A5616F"/>
    <w:rsid w:val="00A56195"/>
    <w:rsid w:val="00A56364"/>
    <w:rsid w:val="00A56922"/>
    <w:rsid w:val="00A571D0"/>
    <w:rsid w:val="00A60422"/>
    <w:rsid w:val="00A60CF3"/>
    <w:rsid w:val="00A61255"/>
    <w:rsid w:val="00A630E0"/>
    <w:rsid w:val="00A63158"/>
    <w:rsid w:val="00A64F99"/>
    <w:rsid w:val="00A70800"/>
    <w:rsid w:val="00A70AC6"/>
    <w:rsid w:val="00A72BB3"/>
    <w:rsid w:val="00A7382F"/>
    <w:rsid w:val="00A75277"/>
    <w:rsid w:val="00A752FE"/>
    <w:rsid w:val="00A75301"/>
    <w:rsid w:val="00A82D42"/>
    <w:rsid w:val="00A82FE0"/>
    <w:rsid w:val="00A840C8"/>
    <w:rsid w:val="00A8431B"/>
    <w:rsid w:val="00A8482E"/>
    <w:rsid w:val="00A849CB"/>
    <w:rsid w:val="00A84F27"/>
    <w:rsid w:val="00A9107A"/>
    <w:rsid w:val="00A91ABA"/>
    <w:rsid w:val="00A91B91"/>
    <w:rsid w:val="00A91D6B"/>
    <w:rsid w:val="00A92365"/>
    <w:rsid w:val="00A92A51"/>
    <w:rsid w:val="00A92E29"/>
    <w:rsid w:val="00A93723"/>
    <w:rsid w:val="00A93A33"/>
    <w:rsid w:val="00A948F1"/>
    <w:rsid w:val="00A94D57"/>
    <w:rsid w:val="00A9535D"/>
    <w:rsid w:val="00A96D6D"/>
    <w:rsid w:val="00A97A29"/>
    <w:rsid w:val="00A97EE2"/>
    <w:rsid w:val="00AA0359"/>
    <w:rsid w:val="00AA0A98"/>
    <w:rsid w:val="00AA0B68"/>
    <w:rsid w:val="00AA11EA"/>
    <w:rsid w:val="00AA1CC6"/>
    <w:rsid w:val="00AA2025"/>
    <w:rsid w:val="00AA2359"/>
    <w:rsid w:val="00AA56E2"/>
    <w:rsid w:val="00AA5AE7"/>
    <w:rsid w:val="00AA6AC1"/>
    <w:rsid w:val="00AA7092"/>
    <w:rsid w:val="00AA78DC"/>
    <w:rsid w:val="00AA7F18"/>
    <w:rsid w:val="00AB00BA"/>
    <w:rsid w:val="00AB07C5"/>
    <w:rsid w:val="00AB0F20"/>
    <w:rsid w:val="00AB1270"/>
    <w:rsid w:val="00AB3391"/>
    <w:rsid w:val="00AB37DB"/>
    <w:rsid w:val="00AB39E5"/>
    <w:rsid w:val="00AB664E"/>
    <w:rsid w:val="00AB69A9"/>
    <w:rsid w:val="00AB6D3C"/>
    <w:rsid w:val="00AB747F"/>
    <w:rsid w:val="00AB7948"/>
    <w:rsid w:val="00AB7D32"/>
    <w:rsid w:val="00AB7E17"/>
    <w:rsid w:val="00AC039F"/>
    <w:rsid w:val="00AC0F87"/>
    <w:rsid w:val="00AC1D67"/>
    <w:rsid w:val="00AC2369"/>
    <w:rsid w:val="00AC2C7B"/>
    <w:rsid w:val="00AC3E53"/>
    <w:rsid w:val="00AC657B"/>
    <w:rsid w:val="00AC679B"/>
    <w:rsid w:val="00AD196F"/>
    <w:rsid w:val="00AD269F"/>
    <w:rsid w:val="00AD3293"/>
    <w:rsid w:val="00AD4328"/>
    <w:rsid w:val="00AD6239"/>
    <w:rsid w:val="00AD6388"/>
    <w:rsid w:val="00AD6A59"/>
    <w:rsid w:val="00AD7E03"/>
    <w:rsid w:val="00AE1ECF"/>
    <w:rsid w:val="00AE2301"/>
    <w:rsid w:val="00AE2775"/>
    <w:rsid w:val="00AE3650"/>
    <w:rsid w:val="00AE3DA0"/>
    <w:rsid w:val="00AE4035"/>
    <w:rsid w:val="00AE4853"/>
    <w:rsid w:val="00AE4C2D"/>
    <w:rsid w:val="00AE5854"/>
    <w:rsid w:val="00AE6801"/>
    <w:rsid w:val="00AE6A1F"/>
    <w:rsid w:val="00AE7A55"/>
    <w:rsid w:val="00AE7C53"/>
    <w:rsid w:val="00AF087F"/>
    <w:rsid w:val="00AF0EAF"/>
    <w:rsid w:val="00AF1352"/>
    <w:rsid w:val="00AF1CEF"/>
    <w:rsid w:val="00AF2301"/>
    <w:rsid w:val="00AF3A76"/>
    <w:rsid w:val="00AF400C"/>
    <w:rsid w:val="00AF406C"/>
    <w:rsid w:val="00AF4FF7"/>
    <w:rsid w:val="00AF544D"/>
    <w:rsid w:val="00AF5C86"/>
    <w:rsid w:val="00AF738F"/>
    <w:rsid w:val="00B00136"/>
    <w:rsid w:val="00B007CA"/>
    <w:rsid w:val="00B013B7"/>
    <w:rsid w:val="00B0187F"/>
    <w:rsid w:val="00B02BDC"/>
    <w:rsid w:val="00B041F4"/>
    <w:rsid w:val="00B04BD3"/>
    <w:rsid w:val="00B04FD0"/>
    <w:rsid w:val="00B050BD"/>
    <w:rsid w:val="00B0537D"/>
    <w:rsid w:val="00B05CFD"/>
    <w:rsid w:val="00B070CE"/>
    <w:rsid w:val="00B10951"/>
    <w:rsid w:val="00B10BA9"/>
    <w:rsid w:val="00B11B5A"/>
    <w:rsid w:val="00B1267E"/>
    <w:rsid w:val="00B128B5"/>
    <w:rsid w:val="00B1307E"/>
    <w:rsid w:val="00B13B33"/>
    <w:rsid w:val="00B14DCC"/>
    <w:rsid w:val="00B14EA7"/>
    <w:rsid w:val="00B15BCD"/>
    <w:rsid w:val="00B16275"/>
    <w:rsid w:val="00B168FD"/>
    <w:rsid w:val="00B16F62"/>
    <w:rsid w:val="00B2028B"/>
    <w:rsid w:val="00B207B1"/>
    <w:rsid w:val="00B21369"/>
    <w:rsid w:val="00B243B4"/>
    <w:rsid w:val="00B24FBE"/>
    <w:rsid w:val="00B25B82"/>
    <w:rsid w:val="00B26F08"/>
    <w:rsid w:val="00B3120F"/>
    <w:rsid w:val="00B31251"/>
    <w:rsid w:val="00B326A8"/>
    <w:rsid w:val="00B327EA"/>
    <w:rsid w:val="00B33732"/>
    <w:rsid w:val="00B33834"/>
    <w:rsid w:val="00B346EA"/>
    <w:rsid w:val="00B35D90"/>
    <w:rsid w:val="00B362BB"/>
    <w:rsid w:val="00B364DD"/>
    <w:rsid w:val="00B366A0"/>
    <w:rsid w:val="00B42F80"/>
    <w:rsid w:val="00B42FD8"/>
    <w:rsid w:val="00B458D2"/>
    <w:rsid w:val="00B458FA"/>
    <w:rsid w:val="00B50652"/>
    <w:rsid w:val="00B5094A"/>
    <w:rsid w:val="00B52789"/>
    <w:rsid w:val="00B52E84"/>
    <w:rsid w:val="00B53B5C"/>
    <w:rsid w:val="00B555DF"/>
    <w:rsid w:val="00B55630"/>
    <w:rsid w:val="00B562D9"/>
    <w:rsid w:val="00B569D0"/>
    <w:rsid w:val="00B57E44"/>
    <w:rsid w:val="00B57FD3"/>
    <w:rsid w:val="00B619B2"/>
    <w:rsid w:val="00B61FCF"/>
    <w:rsid w:val="00B62912"/>
    <w:rsid w:val="00B63C06"/>
    <w:rsid w:val="00B6493E"/>
    <w:rsid w:val="00B64A14"/>
    <w:rsid w:val="00B64A1F"/>
    <w:rsid w:val="00B65C59"/>
    <w:rsid w:val="00B66040"/>
    <w:rsid w:val="00B660FA"/>
    <w:rsid w:val="00B668EF"/>
    <w:rsid w:val="00B67707"/>
    <w:rsid w:val="00B7196B"/>
    <w:rsid w:val="00B72880"/>
    <w:rsid w:val="00B72F35"/>
    <w:rsid w:val="00B72FE8"/>
    <w:rsid w:val="00B73125"/>
    <w:rsid w:val="00B7361D"/>
    <w:rsid w:val="00B73A57"/>
    <w:rsid w:val="00B7431E"/>
    <w:rsid w:val="00B747A5"/>
    <w:rsid w:val="00B74C58"/>
    <w:rsid w:val="00B74D1B"/>
    <w:rsid w:val="00B75789"/>
    <w:rsid w:val="00B75C00"/>
    <w:rsid w:val="00B75ED7"/>
    <w:rsid w:val="00B76731"/>
    <w:rsid w:val="00B76B8A"/>
    <w:rsid w:val="00B772DB"/>
    <w:rsid w:val="00B77597"/>
    <w:rsid w:val="00B775A7"/>
    <w:rsid w:val="00B7764D"/>
    <w:rsid w:val="00B80D86"/>
    <w:rsid w:val="00B8119C"/>
    <w:rsid w:val="00B81535"/>
    <w:rsid w:val="00B821C6"/>
    <w:rsid w:val="00B835EA"/>
    <w:rsid w:val="00B839C8"/>
    <w:rsid w:val="00B83D7C"/>
    <w:rsid w:val="00B84730"/>
    <w:rsid w:val="00B84C3A"/>
    <w:rsid w:val="00B85C17"/>
    <w:rsid w:val="00B85C25"/>
    <w:rsid w:val="00B86009"/>
    <w:rsid w:val="00B874FD"/>
    <w:rsid w:val="00B87DD9"/>
    <w:rsid w:val="00B90DAF"/>
    <w:rsid w:val="00B9177A"/>
    <w:rsid w:val="00B91AF8"/>
    <w:rsid w:val="00B92720"/>
    <w:rsid w:val="00B94301"/>
    <w:rsid w:val="00B945D5"/>
    <w:rsid w:val="00B94EF2"/>
    <w:rsid w:val="00B96C82"/>
    <w:rsid w:val="00B97644"/>
    <w:rsid w:val="00B97770"/>
    <w:rsid w:val="00BA08B0"/>
    <w:rsid w:val="00BA0926"/>
    <w:rsid w:val="00BA19EA"/>
    <w:rsid w:val="00BA239A"/>
    <w:rsid w:val="00BA2674"/>
    <w:rsid w:val="00BA38CD"/>
    <w:rsid w:val="00BA5B9E"/>
    <w:rsid w:val="00BA5D07"/>
    <w:rsid w:val="00BA679D"/>
    <w:rsid w:val="00BB06A6"/>
    <w:rsid w:val="00BB0B30"/>
    <w:rsid w:val="00BB0EE5"/>
    <w:rsid w:val="00BB1A88"/>
    <w:rsid w:val="00BB1B23"/>
    <w:rsid w:val="00BB279F"/>
    <w:rsid w:val="00BB30AB"/>
    <w:rsid w:val="00BB4D6E"/>
    <w:rsid w:val="00BB4E19"/>
    <w:rsid w:val="00BB62A9"/>
    <w:rsid w:val="00BB7CA0"/>
    <w:rsid w:val="00BC0552"/>
    <w:rsid w:val="00BC059D"/>
    <w:rsid w:val="00BC0933"/>
    <w:rsid w:val="00BC0ABA"/>
    <w:rsid w:val="00BC0CD9"/>
    <w:rsid w:val="00BC14C9"/>
    <w:rsid w:val="00BC1804"/>
    <w:rsid w:val="00BC41B9"/>
    <w:rsid w:val="00BC5A09"/>
    <w:rsid w:val="00BC5C1B"/>
    <w:rsid w:val="00BC5D4E"/>
    <w:rsid w:val="00BC5D8D"/>
    <w:rsid w:val="00BC6403"/>
    <w:rsid w:val="00BC6A28"/>
    <w:rsid w:val="00BC7E32"/>
    <w:rsid w:val="00BD030B"/>
    <w:rsid w:val="00BD05C4"/>
    <w:rsid w:val="00BD0F4E"/>
    <w:rsid w:val="00BD1604"/>
    <w:rsid w:val="00BD21E4"/>
    <w:rsid w:val="00BD2469"/>
    <w:rsid w:val="00BD3554"/>
    <w:rsid w:val="00BD3C18"/>
    <w:rsid w:val="00BD6066"/>
    <w:rsid w:val="00BD624B"/>
    <w:rsid w:val="00BD7190"/>
    <w:rsid w:val="00BE0A41"/>
    <w:rsid w:val="00BE0BE8"/>
    <w:rsid w:val="00BE0D9D"/>
    <w:rsid w:val="00BE1169"/>
    <w:rsid w:val="00BE2027"/>
    <w:rsid w:val="00BE42B5"/>
    <w:rsid w:val="00BE4709"/>
    <w:rsid w:val="00BE489B"/>
    <w:rsid w:val="00BE4DAF"/>
    <w:rsid w:val="00BE5CDB"/>
    <w:rsid w:val="00BE7446"/>
    <w:rsid w:val="00BE7F33"/>
    <w:rsid w:val="00BF0A4D"/>
    <w:rsid w:val="00BF1407"/>
    <w:rsid w:val="00BF2649"/>
    <w:rsid w:val="00BF3A2B"/>
    <w:rsid w:val="00BF74CF"/>
    <w:rsid w:val="00BF7A75"/>
    <w:rsid w:val="00BF7C74"/>
    <w:rsid w:val="00C0257F"/>
    <w:rsid w:val="00C029B2"/>
    <w:rsid w:val="00C04F43"/>
    <w:rsid w:val="00C05B04"/>
    <w:rsid w:val="00C0607D"/>
    <w:rsid w:val="00C10594"/>
    <w:rsid w:val="00C11CE5"/>
    <w:rsid w:val="00C11FA2"/>
    <w:rsid w:val="00C14A0C"/>
    <w:rsid w:val="00C14ADA"/>
    <w:rsid w:val="00C14CEE"/>
    <w:rsid w:val="00C16B14"/>
    <w:rsid w:val="00C16C07"/>
    <w:rsid w:val="00C16DF1"/>
    <w:rsid w:val="00C171E5"/>
    <w:rsid w:val="00C17326"/>
    <w:rsid w:val="00C20FD8"/>
    <w:rsid w:val="00C2240E"/>
    <w:rsid w:val="00C22435"/>
    <w:rsid w:val="00C23065"/>
    <w:rsid w:val="00C24966"/>
    <w:rsid w:val="00C24A27"/>
    <w:rsid w:val="00C24AF0"/>
    <w:rsid w:val="00C2620D"/>
    <w:rsid w:val="00C26A48"/>
    <w:rsid w:val="00C270F6"/>
    <w:rsid w:val="00C27843"/>
    <w:rsid w:val="00C27C04"/>
    <w:rsid w:val="00C30CAB"/>
    <w:rsid w:val="00C340E1"/>
    <w:rsid w:val="00C35260"/>
    <w:rsid w:val="00C353F7"/>
    <w:rsid w:val="00C36B46"/>
    <w:rsid w:val="00C41286"/>
    <w:rsid w:val="00C42408"/>
    <w:rsid w:val="00C42AC6"/>
    <w:rsid w:val="00C4312D"/>
    <w:rsid w:val="00C43191"/>
    <w:rsid w:val="00C44E86"/>
    <w:rsid w:val="00C47883"/>
    <w:rsid w:val="00C529D2"/>
    <w:rsid w:val="00C529E9"/>
    <w:rsid w:val="00C52E3D"/>
    <w:rsid w:val="00C55F5B"/>
    <w:rsid w:val="00C56482"/>
    <w:rsid w:val="00C6021F"/>
    <w:rsid w:val="00C61D7F"/>
    <w:rsid w:val="00C62B2C"/>
    <w:rsid w:val="00C62C92"/>
    <w:rsid w:val="00C63154"/>
    <w:rsid w:val="00C6757E"/>
    <w:rsid w:val="00C70484"/>
    <w:rsid w:val="00C70E9C"/>
    <w:rsid w:val="00C7289D"/>
    <w:rsid w:val="00C72A7D"/>
    <w:rsid w:val="00C743AC"/>
    <w:rsid w:val="00C75AE9"/>
    <w:rsid w:val="00C75BD7"/>
    <w:rsid w:val="00C76BFE"/>
    <w:rsid w:val="00C7734F"/>
    <w:rsid w:val="00C776E4"/>
    <w:rsid w:val="00C80DA2"/>
    <w:rsid w:val="00C82706"/>
    <w:rsid w:val="00C82779"/>
    <w:rsid w:val="00C82A59"/>
    <w:rsid w:val="00C82D0D"/>
    <w:rsid w:val="00C83F95"/>
    <w:rsid w:val="00C84222"/>
    <w:rsid w:val="00C87016"/>
    <w:rsid w:val="00C8752A"/>
    <w:rsid w:val="00C87F33"/>
    <w:rsid w:val="00C90DA1"/>
    <w:rsid w:val="00C90FCF"/>
    <w:rsid w:val="00C9253C"/>
    <w:rsid w:val="00C92F15"/>
    <w:rsid w:val="00C93119"/>
    <w:rsid w:val="00C934A6"/>
    <w:rsid w:val="00C95248"/>
    <w:rsid w:val="00C95CB5"/>
    <w:rsid w:val="00C95D64"/>
    <w:rsid w:val="00C95E4E"/>
    <w:rsid w:val="00C95E5D"/>
    <w:rsid w:val="00C95EDC"/>
    <w:rsid w:val="00C95EF5"/>
    <w:rsid w:val="00C96108"/>
    <w:rsid w:val="00C96214"/>
    <w:rsid w:val="00C96374"/>
    <w:rsid w:val="00C9717D"/>
    <w:rsid w:val="00C97429"/>
    <w:rsid w:val="00CA03F2"/>
    <w:rsid w:val="00CA0A36"/>
    <w:rsid w:val="00CA13B1"/>
    <w:rsid w:val="00CA22E2"/>
    <w:rsid w:val="00CA2D93"/>
    <w:rsid w:val="00CA2F72"/>
    <w:rsid w:val="00CA36EA"/>
    <w:rsid w:val="00CA5E80"/>
    <w:rsid w:val="00CA6A76"/>
    <w:rsid w:val="00CA7260"/>
    <w:rsid w:val="00CA7F98"/>
    <w:rsid w:val="00CB0D81"/>
    <w:rsid w:val="00CB19D0"/>
    <w:rsid w:val="00CB1F0C"/>
    <w:rsid w:val="00CB2C07"/>
    <w:rsid w:val="00CB2F38"/>
    <w:rsid w:val="00CB3159"/>
    <w:rsid w:val="00CB360F"/>
    <w:rsid w:val="00CB399B"/>
    <w:rsid w:val="00CB449D"/>
    <w:rsid w:val="00CB6998"/>
    <w:rsid w:val="00CB7D67"/>
    <w:rsid w:val="00CC1604"/>
    <w:rsid w:val="00CC283E"/>
    <w:rsid w:val="00CC2C7A"/>
    <w:rsid w:val="00CC2DD1"/>
    <w:rsid w:val="00CC2DE6"/>
    <w:rsid w:val="00CC37FB"/>
    <w:rsid w:val="00CC41B5"/>
    <w:rsid w:val="00CC45E0"/>
    <w:rsid w:val="00CC4A05"/>
    <w:rsid w:val="00CC59CB"/>
    <w:rsid w:val="00CC5B08"/>
    <w:rsid w:val="00CC67F6"/>
    <w:rsid w:val="00CC7632"/>
    <w:rsid w:val="00CC77CB"/>
    <w:rsid w:val="00CD06C1"/>
    <w:rsid w:val="00CD076B"/>
    <w:rsid w:val="00CD1DF0"/>
    <w:rsid w:val="00CD24C7"/>
    <w:rsid w:val="00CD2A19"/>
    <w:rsid w:val="00CD2EBD"/>
    <w:rsid w:val="00CD3BC6"/>
    <w:rsid w:val="00CD409E"/>
    <w:rsid w:val="00CD4B5B"/>
    <w:rsid w:val="00CD556F"/>
    <w:rsid w:val="00CD5DBB"/>
    <w:rsid w:val="00CD63BE"/>
    <w:rsid w:val="00CD652A"/>
    <w:rsid w:val="00CD68B7"/>
    <w:rsid w:val="00CD6D1E"/>
    <w:rsid w:val="00CD7182"/>
    <w:rsid w:val="00CD78A5"/>
    <w:rsid w:val="00CD7957"/>
    <w:rsid w:val="00CD79DA"/>
    <w:rsid w:val="00CD7B3C"/>
    <w:rsid w:val="00CD7D62"/>
    <w:rsid w:val="00CD7D80"/>
    <w:rsid w:val="00CE0CFC"/>
    <w:rsid w:val="00CE0E1C"/>
    <w:rsid w:val="00CE26C5"/>
    <w:rsid w:val="00CE27BB"/>
    <w:rsid w:val="00CE2B91"/>
    <w:rsid w:val="00CE3A34"/>
    <w:rsid w:val="00CE3CBB"/>
    <w:rsid w:val="00CE4BC0"/>
    <w:rsid w:val="00CE5873"/>
    <w:rsid w:val="00CE65E5"/>
    <w:rsid w:val="00CE676C"/>
    <w:rsid w:val="00CE7D80"/>
    <w:rsid w:val="00CF13F0"/>
    <w:rsid w:val="00CF57D1"/>
    <w:rsid w:val="00CF6310"/>
    <w:rsid w:val="00CF68BB"/>
    <w:rsid w:val="00CF6C2D"/>
    <w:rsid w:val="00CF6EDD"/>
    <w:rsid w:val="00CF7B06"/>
    <w:rsid w:val="00D001B9"/>
    <w:rsid w:val="00D0135E"/>
    <w:rsid w:val="00D02360"/>
    <w:rsid w:val="00D0446D"/>
    <w:rsid w:val="00D059C5"/>
    <w:rsid w:val="00D06693"/>
    <w:rsid w:val="00D06CD6"/>
    <w:rsid w:val="00D07407"/>
    <w:rsid w:val="00D07784"/>
    <w:rsid w:val="00D07D6B"/>
    <w:rsid w:val="00D1019C"/>
    <w:rsid w:val="00D10D2F"/>
    <w:rsid w:val="00D111F9"/>
    <w:rsid w:val="00D11BB4"/>
    <w:rsid w:val="00D125AA"/>
    <w:rsid w:val="00D12733"/>
    <w:rsid w:val="00D14746"/>
    <w:rsid w:val="00D151B2"/>
    <w:rsid w:val="00D1573C"/>
    <w:rsid w:val="00D1580B"/>
    <w:rsid w:val="00D1625B"/>
    <w:rsid w:val="00D17B55"/>
    <w:rsid w:val="00D22B97"/>
    <w:rsid w:val="00D22E25"/>
    <w:rsid w:val="00D23658"/>
    <w:rsid w:val="00D26858"/>
    <w:rsid w:val="00D27B68"/>
    <w:rsid w:val="00D31DBB"/>
    <w:rsid w:val="00D31F95"/>
    <w:rsid w:val="00D31FC1"/>
    <w:rsid w:val="00D320BB"/>
    <w:rsid w:val="00D3279E"/>
    <w:rsid w:val="00D32B71"/>
    <w:rsid w:val="00D337A8"/>
    <w:rsid w:val="00D33AC9"/>
    <w:rsid w:val="00D351DF"/>
    <w:rsid w:val="00D40256"/>
    <w:rsid w:val="00D43F10"/>
    <w:rsid w:val="00D44FC6"/>
    <w:rsid w:val="00D4525B"/>
    <w:rsid w:val="00D45974"/>
    <w:rsid w:val="00D46C9D"/>
    <w:rsid w:val="00D46D9A"/>
    <w:rsid w:val="00D47A86"/>
    <w:rsid w:val="00D507A3"/>
    <w:rsid w:val="00D50962"/>
    <w:rsid w:val="00D50E02"/>
    <w:rsid w:val="00D51A79"/>
    <w:rsid w:val="00D51B30"/>
    <w:rsid w:val="00D51E81"/>
    <w:rsid w:val="00D5234C"/>
    <w:rsid w:val="00D52626"/>
    <w:rsid w:val="00D53DD9"/>
    <w:rsid w:val="00D53FF9"/>
    <w:rsid w:val="00D54102"/>
    <w:rsid w:val="00D541D0"/>
    <w:rsid w:val="00D55A86"/>
    <w:rsid w:val="00D60809"/>
    <w:rsid w:val="00D60A7E"/>
    <w:rsid w:val="00D60FDC"/>
    <w:rsid w:val="00D6168C"/>
    <w:rsid w:val="00D618DE"/>
    <w:rsid w:val="00D61A8A"/>
    <w:rsid w:val="00D621DB"/>
    <w:rsid w:val="00D636DA"/>
    <w:rsid w:val="00D63869"/>
    <w:rsid w:val="00D639C6"/>
    <w:rsid w:val="00D63B64"/>
    <w:rsid w:val="00D63F5C"/>
    <w:rsid w:val="00D642E1"/>
    <w:rsid w:val="00D65052"/>
    <w:rsid w:val="00D65AB3"/>
    <w:rsid w:val="00D65B4D"/>
    <w:rsid w:val="00D65EE9"/>
    <w:rsid w:val="00D65FAE"/>
    <w:rsid w:val="00D66059"/>
    <w:rsid w:val="00D6674E"/>
    <w:rsid w:val="00D67861"/>
    <w:rsid w:val="00D70818"/>
    <w:rsid w:val="00D71190"/>
    <w:rsid w:val="00D7136A"/>
    <w:rsid w:val="00D71542"/>
    <w:rsid w:val="00D71B20"/>
    <w:rsid w:val="00D71D0F"/>
    <w:rsid w:val="00D71E5C"/>
    <w:rsid w:val="00D721AE"/>
    <w:rsid w:val="00D72BDE"/>
    <w:rsid w:val="00D733A5"/>
    <w:rsid w:val="00D736D5"/>
    <w:rsid w:val="00D74192"/>
    <w:rsid w:val="00D750E4"/>
    <w:rsid w:val="00D75577"/>
    <w:rsid w:val="00D80814"/>
    <w:rsid w:val="00D81723"/>
    <w:rsid w:val="00D844B2"/>
    <w:rsid w:val="00D85342"/>
    <w:rsid w:val="00D8539F"/>
    <w:rsid w:val="00D858F1"/>
    <w:rsid w:val="00D859C2"/>
    <w:rsid w:val="00D85AC5"/>
    <w:rsid w:val="00D85EF0"/>
    <w:rsid w:val="00D86FDC"/>
    <w:rsid w:val="00D87B53"/>
    <w:rsid w:val="00D87B64"/>
    <w:rsid w:val="00D87BC0"/>
    <w:rsid w:val="00D87D0E"/>
    <w:rsid w:val="00D90211"/>
    <w:rsid w:val="00D9133B"/>
    <w:rsid w:val="00D91655"/>
    <w:rsid w:val="00D91E60"/>
    <w:rsid w:val="00D925CB"/>
    <w:rsid w:val="00D96D4A"/>
    <w:rsid w:val="00D96D8E"/>
    <w:rsid w:val="00D975BC"/>
    <w:rsid w:val="00D979BF"/>
    <w:rsid w:val="00D97E54"/>
    <w:rsid w:val="00DA030B"/>
    <w:rsid w:val="00DA034F"/>
    <w:rsid w:val="00DA1500"/>
    <w:rsid w:val="00DA2709"/>
    <w:rsid w:val="00DA2999"/>
    <w:rsid w:val="00DA2AEF"/>
    <w:rsid w:val="00DA2C72"/>
    <w:rsid w:val="00DA3582"/>
    <w:rsid w:val="00DA5443"/>
    <w:rsid w:val="00DA68E5"/>
    <w:rsid w:val="00DA72E3"/>
    <w:rsid w:val="00DB0E26"/>
    <w:rsid w:val="00DB1161"/>
    <w:rsid w:val="00DB1561"/>
    <w:rsid w:val="00DB1BED"/>
    <w:rsid w:val="00DB2061"/>
    <w:rsid w:val="00DB2635"/>
    <w:rsid w:val="00DB285C"/>
    <w:rsid w:val="00DB4A89"/>
    <w:rsid w:val="00DB618B"/>
    <w:rsid w:val="00DB65B8"/>
    <w:rsid w:val="00DB677F"/>
    <w:rsid w:val="00DB690E"/>
    <w:rsid w:val="00DB7427"/>
    <w:rsid w:val="00DB79FD"/>
    <w:rsid w:val="00DC0303"/>
    <w:rsid w:val="00DC1300"/>
    <w:rsid w:val="00DC178B"/>
    <w:rsid w:val="00DC1FC5"/>
    <w:rsid w:val="00DC237B"/>
    <w:rsid w:val="00DC3841"/>
    <w:rsid w:val="00DC5D74"/>
    <w:rsid w:val="00DC63C2"/>
    <w:rsid w:val="00DC65DB"/>
    <w:rsid w:val="00DC6BB7"/>
    <w:rsid w:val="00DC7212"/>
    <w:rsid w:val="00DC78B6"/>
    <w:rsid w:val="00DD10BA"/>
    <w:rsid w:val="00DD2583"/>
    <w:rsid w:val="00DD264B"/>
    <w:rsid w:val="00DD2A3A"/>
    <w:rsid w:val="00DD366C"/>
    <w:rsid w:val="00DD399E"/>
    <w:rsid w:val="00DD441C"/>
    <w:rsid w:val="00DD49F9"/>
    <w:rsid w:val="00DD579C"/>
    <w:rsid w:val="00DD6BCB"/>
    <w:rsid w:val="00DD7B6F"/>
    <w:rsid w:val="00DD7BC7"/>
    <w:rsid w:val="00DD7D32"/>
    <w:rsid w:val="00DD7DA3"/>
    <w:rsid w:val="00DE207C"/>
    <w:rsid w:val="00DE43AF"/>
    <w:rsid w:val="00DE4460"/>
    <w:rsid w:val="00DE4AD6"/>
    <w:rsid w:val="00DE507C"/>
    <w:rsid w:val="00DE5C53"/>
    <w:rsid w:val="00DE5E15"/>
    <w:rsid w:val="00DE6B90"/>
    <w:rsid w:val="00DE6C1C"/>
    <w:rsid w:val="00DE6F82"/>
    <w:rsid w:val="00DF0424"/>
    <w:rsid w:val="00DF0A15"/>
    <w:rsid w:val="00DF0AAB"/>
    <w:rsid w:val="00DF12D7"/>
    <w:rsid w:val="00DF2CEC"/>
    <w:rsid w:val="00DF3B5B"/>
    <w:rsid w:val="00DF405D"/>
    <w:rsid w:val="00DF56EF"/>
    <w:rsid w:val="00DF5B0D"/>
    <w:rsid w:val="00DF6275"/>
    <w:rsid w:val="00DF68E7"/>
    <w:rsid w:val="00DF76EB"/>
    <w:rsid w:val="00DF7C6D"/>
    <w:rsid w:val="00E0213D"/>
    <w:rsid w:val="00E02B0F"/>
    <w:rsid w:val="00E0310D"/>
    <w:rsid w:val="00E042EB"/>
    <w:rsid w:val="00E048C8"/>
    <w:rsid w:val="00E04978"/>
    <w:rsid w:val="00E04FEC"/>
    <w:rsid w:val="00E10961"/>
    <w:rsid w:val="00E10CB8"/>
    <w:rsid w:val="00E10DA6"/>
    <w:rsid w:val="00E1161A"/>
    <w:rsid w:val="00E134A1"/>
    <w:rsid w:val="00E13606"/>
    <w:rsid w:val="00E13AB5"/>
    <w:rsid w:val="00E14238"/>
    <w:rsid w:val="00E143B9"/>
    <w:rsid w:val="00E14647"/>
    <w:rsid w:val="00E15E40"/>
    <w:rsid w:val="00E15F22"/>
    <w:rsid w:val="00E16886"/>
    <w:rsid w:val="00E16CD5"/>
    <w:rsid w:val="00E17BD0"/>
    <w:rsid w:val="00E200AF"/>
    <w:rsid w:val="00E20477"/>
    <w:rsid w:val="00E20C21"/>
    <w:rsid w:val="00E20C7D"/>
    <w:rsid w:val="00E21771"/>
    <w:rsid w:val="00E219C8"/>
    <w:rsid w:val="00E232CB"/>
    <w:rsid w:val="00E23522"/>
    <w:rsid w:val="00E24409"/>
    <w:rsid w:val="00E245E5"/>
    <w:rsid w:val="00E2495F"/>
    <w:rsid w:val="00E256B0"/>
    <w:rsid w:val="00E25B71"/>
    <w:rsid w:val="00E260D6"/>
    <w:rsid w:val="00E26357"/>
    <w:rsid w:val="00E263F0"/>
    <w:rsid w:val="00E272C2"/>
    <w:rsid w:val="00E275AE"/>
    <w:rsid w:val="00E27ECD"/>
    <w:rsid w:val="00E306EA"/>
    <w:rsid w:val="00E30FF2"/>
    <w:rsid w:val="00E31B02"/>
    <w:rsid w:val="00E31CD0"/>
    <w:rsid w:val="00E32743"/>
    <w:rsid w:val="00E32784"/>
    <w:rsid w:val="00E35C4A"/>
    <w:rsid w:val="00E360B3"/>
    <w:rsid w:val="00E3662B"/>
    <w:rsid w:val="00E36846"/>
    <w:rsid w:val="00E374D0"/>
    <w:rsid w:val="00E37767"/>
    <w:rsid w:val="00E37E5A"/>
    <w:rsid w:val="00E401D2"/>
    <w:rsid w:val="00E420F3"/>
    <w:rsid w:val="00E42E3C"/>
    <w:rsid w:val="00E44A87"/>
    <w:rsid w:val="00E44FFD"/>
    <w:rsid w:val="00E45411"/>
    <w:rsid w:val="00E45A37"/>
    <w:rsid w:val="00E46E02"/>
    <w:rsid w:val="00E5039C"/>
    <w:rsid w:val="00E5168D"/>
    <w:rsid w:val="00E5218D"/>
    <w:rsid w:val="00E54055"/>
    <w:rsid w:val="00E54913"/>
    <w:rsid w:val="00E55BB8"/>
    <w:rsid w:val="00E56731"/>
    <w:rsid w:val="00E56CB4"/>
    <w:rsid w:val="00E60D67"/>
    <w:rsid w:val="00E62086"/>
    <w:rsid w:val="00E620F4"/>
    <w:rsid w:val="00E6231E"/>
    <w:rsid w:val="00E62C9D"/>
    <w:rsid w:val="00E64D88"/>
    <w:rsid w:val="00E65702"/>
    <w:rsid w:val="00E65F70"/>
    <w:rsid w:val="00E707A6"/>
    <w:rsid w:val="00E70C92"/>
    <w:rsid w:val="00E70CAE"/>
    <w:rsid w:val="00E7106F"/>
    <w:rsid w:val="00E7147C"/>
    <w:rsid w:val="00E72BB1"/>
    <w:rsid w:val="00E72C52"/>
    <w:rsid w:val="00E72F11"/>
    <w:rsid w:val="00E73120"/>
    <w:rsid w:val="00E73A4D"/>
    <w:rsid w:val="00E7425D"/>
    <w:rsid w:val="00E74427"/>
    <w:rsid w:val="00E74F00"/>
    <w:rsid w:val="00E7613C"/>
    <w:rsid w:val="00E7661A"/>
    <w:rsid w:val="00E76C43"/>
    <w:rsid w:val="00E77C4C"/>
    <w:rsid w:val="00E77FDD"/>
    <w:rsid w:val="00E810EA"/>
    <w:rsid w:val="00E8388E"/>
    <w:rsid w:val="00E846B7"/>
    <w:rsid w:val="00E85948"/>
    <w:rsid w:val="00E87735"/>
    <w:rsid w:val="00E9042C"/>
    <w:rsid w:val="00E912ED"/>
    <w:rsid w:val="00E916CD"/>
    <w:rsid w:val="00E9218C"/>
    <w:rsid w:val="00E9295A"/>
    <w:rsid w:val="00E934DC"/>
    <w:rsid w:val="00E95C81"/>
    <w:rsid w:val="00E95F24"/>
    <w:rsid w:val="00E964A7"/>
    <w:rsid w:val="00E96DD1"/>
    <w:rsid w:val="00E96F5F"/>
    <w:rsid w:val="00E97C96"/>
    <w:rsid w:val="00EA199E"/>
    <w:rsid w:val="00EA3C72"/>
    <w:rsid w:val="00EA4558"/>
    <w:rsid w:val="00EA47C5"/>
    <w:rsid w:val="00EA6173"/>
    <w:rsid w:val="00EA7B76"/>
    <w:rsid w:val="00EA7E80"/>
    <w:rsid w:val="00EB0D27"/>
    <w:rsid w:val="00EB2906"/>
    <w:rsid w:val="00EB2D6A"/>
    <w:rsid w:val="00EB416C"/>
    <w:rsid w:val="00EB4219"/>
    <w:rsid w:val="00EB42D4"/>
    <w:rsid w:val="00EB5287"/>
    <w:rsid w:val="00EB5750"/>
    <w:rsid w:val="00EB5987"/>
    <w:rsid w:val="00EB62FE"/>
    <w:rsid w:val="00EB6344"/>
    <w:rsid w:val="00EB6AAA"/>
    <w:rsid w:val="00EC0E29"/>
    <w:rsid w:val="00EC0E2F"/>
    <w:rsid w:val="00EC279F"/>
    <w:rsid w:val="00EC28EC"/>
    <w:rsid w:val="00EC3831"/>
    <w:rsid w:val="00EC3AC4"/>
    <w:rsid w:val="00EC3E8A"/>
    <w:rsid w:val="00EC4018"/>
    <w:rsid w:val="00EC4C2D"/>
    <w:rsid w:val="00EC51A5"/>
    <w:rsid w:val="00EC5BE5"/>
    <w:rsid w:val="00EC6E10"/>
    <w:rsid w:val="00EC7021"/>
    <w:rsid w:val="00EC7FC2"/>
    <w:rsid w:val="00ED0068"/>
    <w:rsid w:val="00ED15EE"/>
    <w:rsid w:val="00ED2107"/>
    <w:rsid w:val="00ED4065"/>
    <w:rsid w:val="00ED430E"/>
    <w:rsid w:val="00ED433F"/>
    <w:rsid w:val="00ED4C76"/>
    <w:rsid w:val="00ED4DD8"/>
    <w:rsid w:val="00ED5AEA"/>
    <w:rsid w:val="00ED672C"/>
    <w:rsid w:val="00ED7D3A"/>
    <w:rsid w:val="00EE06D4"/>
    <w:rsid w:val="00EE0AA7"/>
    <w:rsid w:val="00EE12EE"/>
    <w:rsid w:val="00EE1B97"/>
    <w:rsid w:val="00EE310D"/>
    <w:rsid w:val="00EE3B18"/>
    <w:rsid w:val="00EE47B8"/>
    <w:rsid w:val="00EE513D"/>
    <w:rsid w:val="00EF2C48"/>
    <w:rsid w:val="00EF327A"/>
    <w:rsid w:val="00EF3550"/>
    <w:rsid w:val="00EF3B7E"/>
    <w:rsid w:val="00EF3EAF"/>
    <w:rsid w:val="00EF44AB"/>
    <w:rsid w:val="00EF44B0"/>
    <w:rsid w:val="00EF48BD"/>
    <w:rsid w:val="00EF4D24"/>
    <w:rsid w:val="00EF58C9"/>
    <w:rsid w:val="00EF5A67"/>
    <w:rsid w:val="00EF5B80"/>
    <w:rsid w:val="00EF5C44"/>
    <w:rsid w:val="00EF5F3D"/>
    <w:rsid w:val="00EF6B3F"/>
    <w:rsid w:val="00EF7421"/>
    <w:rsid w:val="00EF750F"/>
    <w:rsid w:val="00EF7523"/>
    <w:rsid w:val="00EF7804"/>
    <w:rsid w:val="00EF7C2C"/>
    <w:rsid w:val="00F00145"/>
    <w:rsid w:val="00F00A3B"/>
    <w:rsid w:val="00F0364D"/>
    <w:rsid w:val="00F051FE"/>
    <w:rsid w:val="00F0581A"/>
    <w:rsid w:val="00F06716"/>
    <w:rsid w:val="00F06B34"/>
    <w:rsid w:val="00F07132"/>
    <w:rsid w:val="00F07E83"/>
    <w:rsid w:val="00F107A4"/>
    <w:rsid w:val="00F127AE"/>
    <w:rsid w:val="00F12C1E"/>
    <w:rsid w:val="00F12E7A"/>
    <w:rsid w:val="00F13BC5"/>
    <w:rsid w:val="00F14A8C"/>
    <w:rsid w:val="00F15467"/>
    <w:rsid w:val="00F16C58"/>
    <w:rsid w:val="00F215A4"/>
    <w:rsid w:val="00F21AF0"/>
    <w:rsid w:val="00F22068"/>
    <w:rsid w:val="00F23E23"/>
    <w:rsid w:val="00F24602"/>
    <w:rsid w:val="00F24AAC"/>
    <w:rsid w:val="00F25003"/>
    <w:rsid w:val="00F259B7"/>
    <w:rsid w:val="00F26307"/>
    <w:rsid w:val="00F26990"/>
    <w:rsid w:val="00F273F6"/>
    <w:rsid w:val="00F274C7"/>
    <w:rsid w:val="00F27763"/>
    <w:rsid w:val="00F27A01"/>
    <w:rsid w:val="00F27E2E"/>
    <w:rsid w:val="00F3030B"/>
    <w:rsid w:val="00F3105C"/>
    <w:rsid w:val="00F31639"/>
    <w:rsid w:val="00F31F75"/>
    <w:rsid w:val="00F33010"/>
    <w:rsid w:val="00F33874"/>
    <w:rsid w:val="00F33EA7"/>
    <w:rsid w:val="00F33EE0"/>
    <w:rsid w:val="00F34232"/>
    <w:rsid w:val="00F353A6"/>
    <w:rsid w:val="00F355DB"/>
    <w:rsid w:val="00F35678"/>
    <w:rsid w:val="00F36B18"/>
    <w:rsid w:val="00F37903"/>
    <w:rsid w:val="00F405C7"/>
    <w:rsid w:val="00F4107F"/>
    <w:rsid w:val="00F41202"/>
    <w:rsid w:val="00F41BF0"/>
    <w:rsid w:val="00F41EFB"/>
    <w:rsid w:val="00F43C57"/>
    <w:rsid w:val="00F4409B"/>
    <w:rsid w:val="00F44A8E"/>
    <w:rsid w:val="00F45658"/>
    <w:rsid w:val="00F45A38"/>
    <w:rsid w:val="00F474E0"/>
    <w:rsid w:val="00F5101A"/>
    <w:rsid w:val="00F51391"/>
    <w:rsid w:val="00F5270A"/>
    <w:rsid w:val="00F5329A"/>
    <w:rsid w:val="00F548BC"/>
    <w:rsid w:val="00F54DCD"/>
    <w:rsid w:val="00F56FD1"/>
    <w:rsid w:val="00F576BB"/>
    <w:rsid w:val="00F57E16"/>
    <w:rsid w:val="00F60084"/>
    <w:rsid w:val="00F6017C"/>
    <w:rsid w:val="00F60DD4"/>
    <w:rsid w:val="00F60E55"/>
    <w:rsid w:val="00F6148B"/>
    <w:rsid w:val="00F61B15"/>
    <w:rsid w:val="00F62E8B"/>
    <w:rsid w:val="00F637D6"/>
    <w:rsid w:val="00F64319"/>
    <w:rsid w:val="00F643B5"/>
    <w:rsid w:val="00F658BA"/>
    <w:rsid w:val="00F667E1"/>
    <w:rsid w:val="00F66A86"/>
    <w:rsid w:val="00F7048F"/>
    <w:rsid w:val="00F70D0E"/>
    <w:rsid w:val="00F7327F"/>
    <w:rsid w:val="00F73787"/>
    <w:rsid w:val="00F739A9"/>
    <w:rsid w:val="00F73ACC"/>
    <w:rsid w:val="00F74292"/>
    <w:rsid w:val="00F74699"/>
    <w:rsid w:val="00F74E26"/>
    <w:rsid w:val="00F75BE5"/>
    <w:rsid w:val="00F7625F"/>
    <w:rsid w:val="00F76887"/>
    <w:rsid w:val="00F77CC6"/>
    <w:rsid w:val="00F800BF"/>
    <w:rsid w:val="00F80D78"/>
    <w:rsid w:val="00F80FA9"/>
    <w:rsid w:val="00F82C52"/>
    <w:rsid w:val="00F8506D"/>
    <w:rsid w:val="00F85189"/>
    <w:rsid w:val="00F8555D"/>
    <w:rsid w:val="00F8556F"/>
    <w:rsid w:val="00F85DD5"/>
    <w:rsid w:val="00F85FA8"/>
    <w:rsid w:val="00F8657F"/>
    <w:rsid w:val="00F86815"/>
    <w:rsid w:val="00F86BA5"/>
    <w:rsid w:val="00F8788F"/>
    <w:rsid w:val="00F87D59"/>
    <w:rsid w:val="00F900E1"/>
    <w:rsid w:val="00F91CBD"/>
    <w:rsid w:val="00F92EA8"/>
    <w:rsid w:val="00F93369"/>
    <w:rsid w:val="00F9364C"/>
    <w:rsid w:val="00F9425E"/>
    <w:rsid w:val="00F94CFB"/>
    <w:rsid w:val="00F952C8"/>
    <w:rsid w:val="00F957CC"/>
    <w:rsid w:val="00F9640D"/>
    <w:rsid w:val="00F97402"/>
    <w:rsid w:val="00F9756F"/>
    <w:rsid w:val="00FA01B1"/>
    <w:rsid w:val="00FA029B"/>
    <w:rsid w:val="00FA0D0B"/>
    <w:rsid w:val="00FA284B"/>
    <w:rsid w:val="00FA42AD"/>
    <w:rsid w:val="00FA6002"/>
    <w:rsid w:val="00FA7615"/>
    <w:rsid w:val="00FA7868"/>
    <w:rsid w:val="00FB0633"/>
    <w:rsid w:val="00FB1153"/>
    <w:rsid w:val="00FB11BA"/>
    <w:rsid w:val="00FB1CF1"/>
    <w:rsid w:val="00FB1D90"/>
    <w:rsid w:val="00FB2D74"/>
    <w:rsid w:val="00FB45C2"/>
    <w:rsid w:val="00FB45D0"/>
    <w:rsid w:val="00FB4C02"/>
    <w:rsid w:val="00FB532F"/>
    <w:rsid w:val="00FB7246"/>
    <w:rsid w:val="00FB73B6"/>
    <w:rsid w:val="00FB7E59"/>
    <w:rsid w:val="00FC071F"/>
    <w:rsid w:val="00FC0A7E"/>
    <w:rsid w:val="00FC1508"/>
    <w:rsid w:val="00FC1A14"/>
    <w:rsid w:val="00FC1A5A"/>
    <w:rsid w:val="00FC1BFE"/>
    <w:rsid w:val="00FC344A"/>
    <w:rsid w:val="00FC39B6"/>
    <w:rsid w:val="00FD06CB"/>
    <w:rsid w:val="00FD1540"/>
    <w:rsid w:val="00FD2D1F"/>
    <w:rsid w:val="00FD38CD"/>
    <w:rsid w:val="00FD3A31"/>
    <w:rsid w:val="00FD4746"/>
    <w:rsid w:val="00FD70F0"/>
    <w:rsid w:val="00FD71BB"/>
    <w:rsid w:val="00FD7857"/>
    <w:rsid w:val="00FD7949"/>
    <w:rsid w:val="00FE3DB8"/>
    <w:rsid w:val="00FE423B"/>
    <w:rsid w:val="00FE46B3"/>
    <w:rsid w:val="00FE48FC"/>
    <w:rsid w:val="00FE565F"/>
    <w:rsid w:val="00FE73A5"/>
    <w:rsid w:val="00FE778B"/>
    <w:rsid w:val="00FE7B9C"/>
    <w:rsid w:val="00FE7FF6"/>
    <w:rsid w:val="00FF006A"/>
    <w:rsid w:val="00FF1DD3"/>
    <w:rsid w:val="00FF4395"/>
    <w:rsid w:val="00FF4908"/>
    <w:rsid w:val="00FF4B3D"/>
    <w:rsid w:val="00FF58BC"/>
    <w:rsid w:val="00FF59EA"/>
    <w:rsid w:val="00FF6799"/>
    <w:rsid w:val="00FF681C"/>
    <w:rsid w:val="00FF6E90"/>
    <w:rsid w:val="00FF6EA4"/>
    <w:rsid w:val="00FF7665"/>
    <w:rsid w:val="00FF7D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D3F3E"/>
  <w15:docId w15:val="{AE1703FF-5C8B-4A0B-8246-3314A0C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C88"/>
    <w:pPr>
      <w:spacing w:after="200" w:line="276" w:lineRule="auto"/>
    </w:pPr>
    <w:rPr>
      <w:sz w:val="22"/>
      <w:szCs w:val="22"/>
      <w:lang w:eastAsia="en-US"/>
    </w:rPr>
  </w:style>
  <w:style w:type="paragraph" w:styleId="Heading1">
    <w:name w:val="heading 1"/>
    <w:basedOn w:val="Normal"/>
    <w:next w:val="Normal"/>
    <w:link w:val="Heading1Char"/>
    <w:uiPriority w:val="99"/>
    <w:qFormat/>
    <w:rsid w:val="00700C8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700C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C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00C88"/>
    <w:rPr>
      <w:rFonts w:ascii="Cambria" w:hAnsi="Cambria" w:cs="Times New Roman"/>
      <w:b/>
      <w:bCs/>
      <w:i/>
      <w:iCs/>
      <w:sz w:val="28"/>
      <w:szCs w:val="28"/>
    </w:rPr>
  </w:style>
  <w:style w:type="paragraph" w:styleId="TOC1">
    <w:name w:val="toc 1"/>
    <w:basedOn w:val="Normal"/>
    <w:next w:val="Normal"/>
    <w:autoRedefine/>
    <w:uiPriority w:val="39"/>
    <w:qFormat/>
    <w:rsid w:val="00031897"/>
    <w:pPr>
      <w:tabs>
        <w:tab w:val="right" w:leader="dot" w:pos="9350"/>
      </w:tabs>
      <w:spacing w:before="120" w:after="0"/>
    </w:pPr>
    <w:rPr>
      <w:b/>
      <w:noProof/>
      <w:sz w:val="28"/>
    </w:rPr>
  </w:style>
  <w:style w:type="character" w:styleId="Hyperlink">
    <w:name w:val="Hyperlink"/>
    <w:basedOn w:val="DefaultParagraphFont"/>
    <w:uiPriority w:val="99"/>
    <w:rsid w:val="00700C88"/>
    <w:rPr>
      <w:rFonts w:cs="Times New Roman"/>
      <w:color w:val="0000FF"/>
      <w:u w:val="single"/>
    </w:rPr>
  </w:style>
  <w:style w:type="table" w:styleId="TableGrid">
    <w:name w:val="Table Grid"/>
    <w:basedOn w:val="TableNormal"/>
    <w:uiPriority w:val="99"/>
    <w:locked/>
    <w:rsid w:val="00700C88"/>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rsid w:val="00700C88"/>
    <w:pPr>
      <w:spacing w:after="0" w:line="240" w:lineRule="auto"/>
    </w:pPr>
    <w:rPr>
      <w:rFonts w:ascii="Times New Roman" w:hAnsi="Times New Roman"/>
      <w:b/>
      <w:bCs/>
      <w:sz w:val="20"/>
      <w:szCs w:val="20"/>
    </w:rPr>
  </w:style>
  <w:style w:type="paragraph" w:styleId="Header">
    <w:name w:val="header"/>
    <w:basedOn w:val="Normal"/>
    <w:link w:val="HeaderChar"/>
    <w:uiPriority w:val="99"/>
    <w:rsid w:val="00700C88"/>
    <w:pPr>
      <w:tabs>
        <w:tab w:val="center" w:pos="4320"/>
        <w:tab w:val="right" w:pos="8640"/>
      </w:tabs>
    </w:pPr>
  </w:style>
  <w:style w:type="character" w:customStyle="1" w:styleId="HeaderChar">
    <w:name w:val="Header Char"/>
    <w:basedOn w:val="DefaultParagraphFont"/>
    <w:link w:val="Header"/>
    <w:uiPriority w:val="99"/>
    <w:locked/>
    <w:rsid w:val="00700C88"/>
    <w:rPr>
      <w:rFonts w:cs="Times New Roman"/>
    </w:rPr>
  </w:style>
  <w:style w:type="paragraph" w:styleId="Footer">
    <w:name w:val="footer"/>
    <w:basedOn w:val="Normal"/>
    <w:link w:val="FooterChar"/>
    <w:uiPriority w:val="99"/>
    <w:rsid w:val="00700C88"/>
    <w:pPr>
      <w:tabs>
        <w:tab w:val="center" w:pos="4320"/>
        <w:tab w:val="right" w:pos="8640"/>
      </w:tabs>
    </w:pPr>
  </w:style>
  <w:style w:type="character" w:customStyle="1" w:styleId="FooterChar">
    <w:name w:val="Footer Char"/>
    <w:basedOn w:val="DefaultParagraphFont"/>
    <w:link w:val="Footer"/>
    <w:uiPriority w:val="99"/>
    <w:locked/>
    <w:rsid w:val="00700C88"/>
    <w:rPr>
      <w:rFonts w:cs="Times New Roman"/>
    </w:rPr>
  </w:style>
  <w:style w:type="character" w:styleId="PageNumber">
    <w:name w:val="page number"/>
    <w:basedOn w:val="DefaultParagraphFont"/>
    <w:uiPriority w:val="99"/>
    <w:rsid w:val="00700C88"/>
    <w:rPr>
      <w:rFonts w:cs="Times New Roman"/>
    </w:rPr>
  </w:style>
  <w:style w:type="paragraph" w:styleId="TOC2">
    <w:name w:val="toc 2"/>
    <w:basedOn w:val="Normal"/>
    <w:next w:val="Normal"/>
    <w:autoRedefine/>
    <w:uiPriority w:val="39"/>
    <w:qFormat/>
    <w:locked/>
    <w:rsid w:val="00045342"/>
    <w:pPr>
      <w:tabs>
        <w:tab w:val="right" w:leader="dot" w:pos="9350"/>
      </w:tabs>
      <w:spacing w:after="0"/>
      <w:ind w:left="216"/>
    </w:pPr>
  </w:style>
  <w:style w:type="paragraph" w:styleId="DocumentMap">
    <w:name w:val="Document Map"/>
    <w:basedOn w:val="Normal"/>
    <w:link w:val="DocumentMapChar"/>
    <w:uiPriority w:val="99"/>
    <w:semiHidden/>
    <w:rsid w:val="00700C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00C88"/>
    <w:rPr>
      <w:rFonts w:ascii="Tahoma" w:hAnsi="Tahoma" w:cs="Tahoma"/>
      <w:lang w:val="en-US" w:eastAsia="en-US" w:bidi="ar-SA"/>
    </w:rPr>
  </w:style>
  <w:style w:type="paragraph" w:customStyle="1" w:styleId="ParagraphHeader">
    <w:name w:val="Paragraph Header"/>
    <w:basedOn w:val="Normal"/>
    <w:next w:val="Body"/>
    <w:link w:val="ParagraphHeaderChar"/>
    <w:qFormat/>
    <w:rsid w:val="00D85EF0"/>
    <w:pPr>
      <w:keepNext/>
      <w:widowControl w:val="0"/>
    </w:pPr>
    <w:rPr>
      <w:b/>
      <w:sz w:val="24"/>
      <w:szCs w:val="24"/>
    </w:rPr>
  </w:style>
  <w:style w:type="paragraph" w:customStyle="1" w:styleId="Body">
    <w:name w:val="Body"/>
    <w:basedOn w:val="Normal"/>
    <w:link w:val="BodyChar"/>
    <w:qFormat/>
    <w:rsid w:val="00D85EF0"/>
  </w:style>
  <w:style w:type="character" w:customStyle="1" w:styleId="BodyChar">
    <w:name w:val="Body Char"/>
    <w:basedOn w:val="DefaultParagraphFont"/>
    <w:link w:val="Body"/>
    <w:rsid w:val="00D85EF0"/>
    <w:rPr>
      <w:sz w:val="22"/>
      <w:szCs w:val="22"/>
      <w:lang w:eastAsia="en-US"/>
    </w:rPr>
  </w:style>
  <w:style w:type="character" w:customStyle="1" w:styleId="ParagraphHeaderChar">
    <w:name w:val="Paragraph Header Char"/>
    <w:basedOn w:val="DefaultParagraphFont"/>
    <w:link w:val="ParagraphHeader"/>
    <w:rsid w:val="00D85EF0"/>
    <w:rPr>
      <w:b/>
      <w:sz w:val="24"/>
      <w:szCs w:val="24"/>
      <w:lang w:eastAsia="en-US"/>
    </w:rPr>
  </w:style>
  <w:style w:type="table" w:styleId="LightList-Accent5">
    <w:name w:val="Light List Accent 5"/>
    <w:basedOn w:val="TableNormal"/>
    <w:uiPriority w:val="61"/>
    <w:rsid w:val="00005D9F"/>
    <w:rPr>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val="0"/>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Header">
    <w:name w:val="Table Header"/>
    <w:link w:val="TableHeaderChar"/>
    <w:qFormat/>
    <w:rsid w:val="00D85EF0"/>
    <w:rPr>
      <w:b/>
      <w:color w:val="FFFFFF" w:themeColor="background1"/>
      <w:lang w:eastAsia="en-US"/>
    </w:rPr>
  </w:style>
  <w:style w:type="character" w:customStyle="1" w:styleId="TableHeaderChar">
    <w:name w:val="Table Header Char"/>
    <w:basedOn w:val="DefaultParagraphFont"/>
    <w:link w:val="TableHeader"/>
    <w:rsid w:val="00D85EF0"/>
    <w:rPr>
      <w:b/>
      <w:color w:val="FFFFFF" w:themeColor="background1"/>
      <w:lang w:eastAsia="en-US"/>
    </w:rPr>
  </w:style>
  <w:style w:type="paragraph" w:customStyle="1" w:styleId="TableBody">
    <w:name w:val="Table Body"/>
    <w:qFormat/>
    <w:rsid w:val="00D85EF0"/>
    <w:rPr>
      <w:bCs/>
      <w:lang w:eastAsia="en-US"/>
    </w:rPr>
  </w:style>
  <w:style w:type="paragraph" w:customStyle="1" w:styleId="Source">
    <w:name w:val="Source"/>
    <w:next w:val="Body"/>
    <w:qFormat/>
    <w:rsid w:val="00F87D59"/>
    <w:pPr>
      <w:widowControl w:val="0"/>
      <w:spacing w:before="60" w:after="200"/>
    </w:pPr>
    <w:rPr>
      <w:i/>
      <w:sz w:val="18"/>
      <w:szCs w:val="18"/>
      <w:lang w:eastAsia="en-US"/>
    </w:rPr>
  </w:style>
  <w:style w:type="paragraph" w:customStyle="1" w:styleId="TableTitle">
    <w:name w:val="Table Title"/>
    <w:next w:val="Body"/>
    <w:qFormat/>
    <w:rsid w:val="00F87D59"/>
    <w:pPr>
      <w:keepNext/>
      <w:widowControl w:val="0"/>
      <w:numPr>
        <w:numId w:val="1"/>
      </w:numPr>
      <w:tabs>
        <w:tab w:val="left" w:pos="1080"/>
      </w:tabs>
    </w:pPr>
    <w:rPr>
      <w:b/>
      <w:sz w:val="22"/>
      <w:szCs w:val="24"/>
      <w:lang w:eastAsia="en-US"/>
    </w:rPr>
  </w:style>
  <w:style w:type="paragraph" w:styleId="BalloonText">
    <w:name w:val="Balloon Text"/>
    <w:basedOn w:val="Normal"/>
    <w:link w:val="BalloonTextChar"/>
    <w:uiPriority w:val="99"/>
    <w:semiHidden/>
    <w:unhideWhenUsed/>
    <w:rsid w:val="00DF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C"/>
    <w:rPr>
      <w:rFonts w:ascii="Tahoma" w:hAnsi="Tahoma" w:cs="Tahoma"/>
      <w:sz w:val="16"/>
      <w:szCs w:val="16"/>
      <w:lang w:eastAsia="en-US"/>
    </w:rPr>
  </w:style>
  <w:style w:type="paragraph" w:customStyle="1" w:styleId="BulletList">
    <w:name w:val="Bullet List"/>
    <w:basedOn w:val="Body"/>
    <w:link w:val="BulletListChar"/>
    <w:qFormat/>
    <w:rsid w:val="00955F1D"/>
    <w:pPr>
      <w:numPr>
        <w:numId w:val="2"/>
      </w:numPr>
      <w:spacing w:after="120"/>
    </w:pPr>
  </w:style>
  <w:style w:type="character" w:customStyle="1" w:styleId="BulletListChar">
    <w:name w:val="Bullet List Char"/>
    <w:basedOn w:val="BodyChar"/>
    <w:link w:val="BulletList"/>
    <w:rsid w:val="00955F1D"/>
    <w:rPr>
      <w:sz w:val="22"/>
      <w:szCs w:val="22"/>
      <w:lang w:eastAsia="en-US"/>
    </w:rPr>
  </w:style>
  <w:style w:type="table" w:styleId="LightList-Accent4">
    <w:name w:val="Light List Accent 4"/>
    <w:basedOn w:val="TableNormal"/>
    <w:uiPriority w:val="61"/>
    <w:rsid w:val="00FF68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link w:val="ListParagraphChar"/>
    <w:uiPriority w:val="34"/>
    <w:qFormat/>
    <w:rsid w:val="005558EA"/>
    <w:pPr>
      <w:ind w:left="720"/>
      <w:contextualSpacing/>
    </w:pPr>
  </w:style>
  <w:style w:type="character" w:customStyle="1" w:styleId="ListParagraphChar">
    <w:name w:val="List Paragraph Char"/>
    <w:basedOn w:val="DefaultParagraphFont"/>
    <w:link w:val="ListParagraph"/>
    <w:uiPriority w:val="34"/>
    <w:rsid w:val="00AE5854"/>
    <w:rPr>
      <w:sz w:val="22"/>
      <w:szCs w:val="22"/>
      <w:lang w:eastAsia="en-US"/>
    </w:rPr>
  </w:style>
  <w:style w:type="paragraph" w:styleId="BodyText2">
    <w:name w:val="Body Text 2"/>
    <w:basedOn w:val="Normal"/>
    <w:link w:val="BodyText2Char"/>
    <w:rsid w:val="00697D36"/>
    <w:pPr>
      <w:widowControl w:val="0"/>
      <w:suppressAutoHyphens/>
      <w:overflowPunct w:val="0"/>
      <w:autoSpaceDE w:val="0"/>
      <w:autoSpaceDN w:val="0"/>
      <w:adjustRightInd w:val="0"/>
      <w:spacing w:after="0" w:line="240" w:lineRule="auto"/>
    </w:pPr>
    <w:rPr>
      <w:rFonts w:ascii="Verdana" w:eastAsia="Times New Roman" w:hAnsi="Verdana"/>
      <w:szCs w:val="20"/>
    </w:rPr>
  </w:style>
  <w:style w:type="character" w:customStyle="1" w:styleId="BodyText2Char">
    <w:name w:val="Body Text 2 Char"/>
    <w:basedOn w:val="DefaultParagraphFont"/>
    <w:link w:val="BodyText2"/>
    <w:rsid w:val="00697D36"/>
    <w:rPr>
      <w:rFonts w:ascii="Verdana" w:eastAsia="Times New Roman" w:hAnsi="Verdana"/>
      <w:sz w:val="22"/>
      <w:lang w:eastAsia="en-US"/>
    </w:rPr>
  </w:style>
  <w:style w:type="paragraph" w:styleId="Subtitle">
    <w:name w:val="Subtitle"/>
    <w:basedOn w:val="Normal"/>
    <w:next w:val="Normal"/>
    <w:link w:val="SubtitleChar"/>
    <w:qFormat/>
    <w:locked/>
    <w:rsid w:val="009F23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F233F"/>
    <w:rPr>
      <w:rFonts w:asciiTheme="majorHAnsi" w:eastAsiaTheme="majorEastAsia" w:hAnsiTheme="majorHAnsi" w:cstheme="majorBidi"/>
      <w:i/>
      <w:iCs/>
      <w:color w:val="4F81BD" w:themeColor="accent1"/>
      <w:spacing w:val="15"/>
      <w:sz w:val="24"/>
      <w:szCs w:val="24"/>
      <w:lang w:eastAsia="en-US"/>
    </w:rPr>
  </w:style>
  <w:style w:type="paragraph" w:styleId="ListBullet2">
    <w:name w:val="List Bullet 2"/>
    <w:basedOn w:val="Normal"/>
    <w:rsid w:val="000B597F"/>
    <w:pPr>
      <w:tabs>
        <w:tab w:val="num" w:pos="720"/>
      </w:tabs>
      <w:spacing w:after="0" w:line="240" w:lineRule="auto"/>
      <w:ind w:left="720" w:hanging="360"/>
    </w:pPr>
    <w:rPr>
      <w:rFonts w:ascii="Verdana" w:eastAsia="Times New Roman" w:hAnsi="Verdana"/>
      <w:sz w:val="20"/>
      <w:szCs w:val="24"/>
    </w:rPr>
  </w:style>
  <w:style w:type="character" w:customStyle="1" w:styleId="highlight">
    <w:name w:val="highlight"/>
    <w:basedOn w:val="DefaultParagraphFont"/>
    <w:rsid w:val="00BB279F"/>
  </w:style>
  <w:style w:type="paragraph" w:customStyle="1" w:styleId="ChartTitle">
    <w:name w:val="Chart Title"/>
    <w:basedOn w:val="Body"/>
    <w:link w:val="ChartTitleChar"/>
    <w:qFormat/>
    <w:rsid w:val="000F1AB9"/>
    <w:pPr>
      <w:numPr>
        <w:numId w:val="3"/>
      </w:numPr>
      <w:tabs>
        <w:tab w:val="left" w:pos="1080"/>
      </w:tabs>
      <w:spacing w:after="0" w:line="240" w:lineRule="auto"/>
      <w:ind w:left="0" w:firstLine="0"/>
    </w:pPr>
    <w:rPr>
      <w:b/>
    </w:rPr>
  </w:style>
  <w:style w:type="character" w:customStyle="1" w:styleId="ChartTitleChar">
    <w:name w:val="Chart Title Char"/>
    <w:basedOn w:val="BodyChar"/>
    <w:link w:val="ChartTitle"/>
    <w:rsid w:val="000F1AB9"/>
    <w:rPr>
      <w:b/>
      <w:sz w:val="22"/>
      <w:szCs w:val="22"/>
      <w:lang w:eastAsia="en-US"/>
    </w:rPr>
  </w:style>
  <w:style w:type="character" w:styleId="Emphasis">
    <w:name w:val="Emphasis"/>
    <w:basedOn w:val="DefaultParagraphFont"/>
    <w:uiPriority w:val="20"/>
    <w:qFormat/>
    <w:locked/>
    <w:rsid w:val="00A93723"/>
    <w:rPr>
      <w:i/>
      <w:iCs/>
    </w:rPr>
  </w:style>
  <w:style w:type="paragraph" w:styleId="BodyTextIndent">
    <w:name w:val="Body Text Indent"/>
    <w:basedOn w:val="Normal"/>
    <w:link w:val="BodyTextIndentChar"/>
    <w:uiPriority w:val="99"/>
    <w:semiHidden/>
    <w:unhideWhenUsed/>
    <w:rsid w:val="00A64F99"/>
    <w:pPr>
      <w:spacing w:after="120"/>
      <w:ind w:left="360"/>
    </w:pPr>
  </w:style>
  <w:style w:type="character" w:customStyle="1" w:styleId="BodyTextIndentChar">
    <w:name w:val="Body Text Indent Char"/>
    <w:basedOn w:val="DefaultParagraphFont"/>
    <w:link w:val="BodyTextIndent"/>
    <w:uiPriority w:val="99"/>
    <w:semiHidden/>
    <w:rsid w:val="00A64F99"/>
    <w:rPr>
      <w:sz w:val="22"/>
      <w:szCs w:val="22"/>
      <w:lang w:eastAsia="en-US"/>
    </w:rPr>
  </w:style>
  <w:style w:type="character" w:styleId="BookTitle">
    <w:name w:val="Book Title"/>
    <w:basedOn w:val="DefaultParagraphFont"/>
    <w:uiPriority w:val="33"/>
    <w:qFormat/>
    <w:rsid w:val="00617632"/>
    <w:rPr>
      <w:b/>
      <w:bCs/>
      <w:smallCaps/>
      <w:spacing w:val="5"/>
    </w:rPr>
  </w:style>
  <w:style w:type="paragraph" w:styleId="TOCHeading">
    <w:name w:val="TOC Heading"/>
    <w:basedOn w:val="Heading1"/>
    <w:next w:val="Normal"/>
    <w:uiPriority w:val="39"/>
    <w:semiHidden/>
    <w:unhideWhenUsed/>
    <w:qFormat/>
    <w:rsid w:val="00031897"/>
    <w:pPr>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qFormat/>
    <w:locked/>
    <w:rsid w:val="00031897"/>
    <w:pPr>
      <w:spacing w:after="100"/>
      <w:ind w:left="440"/>
    </w:pPr>
    <w:rPr>
      <w:rFonts w:asciiTheme="minorHAnsi" w:eastAsiaTheme="minorEastAsia" w:hAnsiTheme="minorHAnsi" w:cstheme="minorBidi"/>
      <w:lang w:eastAsia="ja-JP"/>
    </w:rPr>
  </w:style>
  <w:style w:type="paragraph" w:styleId="NormalWeb">
    <w:name w:val="Normal (Web)"/>
    <w:basedOn w:val="Normal"/>
    <w:uiPriority w:val="99"/>
    <w:unhideWhenUsed/>
    <w:rsid w:val="00171070"/>
    <w:pPr>
      <w:spacing w:before="100" w:beforeAutospacing="1" w:after="100" w:afterAutospacing="1" w:line="240" w:lineRule="auto"/>
    </w:pPr>
    <w:rPr>
      <w:rFonts w:ascii="Times New Roman" w:eastAsia="Times New Roman" w:hAnsi="Times New Roman"/>
      <w:sz w:val="24"/>
      <w:szCs w:val="24"/>
    </w:rPr>
  </w:style>
  <w:style w:type="paragraph" w:customStyle="1" w:styleId="TableStyle">
    <w:name w:val="Table Style"/>
    <w:basedOn w:val="ListParagraph"/>
    <w:qFormat/>
    <w:rsid w:val="00BC7E32"/>
    <w:pPr>
      <w:numPr>
        <w:ilvl w:val="1"/>
        <w:numId w:val="4"/>
      </w:numPr>
      <w:tabs>
        <w:tab w:val="left" w:pos="900"/>
      </w:tabs>
      <w:jc w:val="both"/>
    </w:pPr>
    <w:rPr>
      <w:b/>
    </w:rPr>
  </w:style>
  <w:style w:type="table" w:customStyle="1" w:styleId="LightList-Accent11">
    <w:name w:val="Light List - Accent 11"/>
    <w:basedOn w:val="TableNormal"/>
    <w:uiPriority w:val="61"/>
    <w:rsid w:val="00E042EB"/>
    <w:rPr>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F3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A6D"/>
    <w:rPr>
      <w:lang w:eastAsia="en-US"/>
    </w:rPr>
  </w:style>
  <w:style w:type="character" w:styleId="FootnoteReference">
    <w:name w:val="footnote reference"/>
    <w:basedOn w:val="DefaultParagraphFont"/>
    <w:uiPriority w:val="99"/>
    <w:semiHidden/>
    <w:unhideWhenUsed/>
    <w:rsid w:val="002F3A6D"/>
    <w:rPr>
      <w:vertAlign w:val="superscript"/>
    </w:rPr>
  </w:style>
  <w:style w:type="paragraph" w:customStyle="1" w:styleId="Default">
    <w:name w:val="Default"/>
    <w:rsid w:val="002F3A6D"/>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D96D4A"/>
    <w:rPr>
      <w:sz w:val="16"/>
      <w:szCs w:val="16"/>
    </w:rPr>
  </w:style>
  <w:style w:type="paragraph" w:styleId="CommentText">
    <w:name w:val="annotation text"/>
    <w:basedOn w:val="Normal"/>
    <w:link w:val="CommentTextChar"/>
    <w:uiPriority w:val="99"/>
    <w:semiHidden/>
    <w:unhideWhenUsed/>
    <w:rsid w:val="00D96D4A"/>
    <w:pPr>
      <w:spacing w:line="240" w:lineRule="auto"/>
    </w:pPr>
    <w:rPr>
      <w:sz w:val="20"/>
      <w:szCs w:val="20"/>
    </w:rPr>
  </w:style>
  <w:style w:type="character" w:customStyle="1" w:styleId="CommentTextChar">
    <w:name w:val="Comment Text Char"/>
    <w:basedOn w:val="DefaultParagraphFont"/>
    <w:link w:val="CommentText"/>
    <w:uiPriority w:val="99"/>
    <w:semiHidden/>
    <w:rsid w:val="00D96D4A"/>
    <w:rPr>
      <w:lang w:eastAsia="en-US"/>
    </w:rPr>
  </w:style>
  <w:style w:type="paragraph" w:styleId="CommentSubject">
    <w:name w:val="annotation subject"/>
    <w:basedOn w:val="CommentText"/>
    <w:next w:val="CommentText"/>
    <w:link w:val="CommentSubjectChar"/>
    <w:uiPriority w:val="99"/>
    <w:semiHidden/>
    <w:unhideWhenUsed/>
    <w:rsid w:val="00D96D4A"/>
    <w:rPr>
      <w:b/>
      <w:bCs/>
    </w:rPr>
  </w:style>
  <w:style w:type="character" w:customStyle="1" w:styleId="CommentSubjectChar">
    <w:name w:val="Comment Subject Char"/>
    <w:basedOn w:val="CommentTextChar"/>
    <w:link w:val="CommentSubject"/>
    <w:uiPriority w:val="99"/>
    <w:semiHidden/>
    <w:rsid w:val="00D96D4A"/>
    <w:rPr>
      <w:b/>
      <w:bCs/>
      <w:lang w:eastAsia="en-US"/>
    </w:rPr>
  </w:style>
  <w:style w:type="table" w:styleId="GridTable4-Accent5">
    <w:name w:val="Grid Table 4 Accent 5"/>
    <w:basedOn w:val="TableNormal"/>
    <w:uiPriority w:val="49"/>
    <w:rsid w:val="006E711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636F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2555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825BC6"/>
    <w:rPr>
      <w:color w:val="808080"/>
      <w:shd w:val="clear" w:color="auto" w:fill="E6E6E6"/>
    </w:rPr>
  </w:style>
  <w:style w:type="paragraph" w:styleId="Revision">
    <w:name w:val="Revision"/>
    <w:hidden/>
    <w:uiPriority w:val="99"/>
    <w:semiHidden/>
    <w:rsid w:val="009867E7"/>
    <w:rPr>
      <w:sz w:val="22"/>
      <w:szCs w:val="22"/>
      <w:lang w:eastAsia="en-US"/>
    </w:rPr>
  </w:style>
  <w:style w:type="character" w:styleId="FollowedHyperlink">
    <w:name w:val="FollowedHyperlink"/>
    <w:basedOn w:val="DefaultParagraphFont"/>
    <w:uiPriority w:val="99"/>
    <w:semiHidden/>
    <w:unhideWhenUsed/>
    <w:rsid w:val="009867E7"/>
    <w:rPr>
      <w:color w:val="800080" w:themeColor="followedHyperlink"/>
      <w:u w:val="single"/>
    </w:rPr>
  </w:style>
  <w:style w:type="character" w:customStyle="1" w:styleId="EndnoteTextChar">
    <w:name w:val="Endnote Text Char"/>
    <w:basedOn w:val="DefaultParagraphFont"/>
    <w:link w:val="EndnoteText"/>
    <w:uiPriority w:val="99"/>
    <w:semiHidden/>
    <w:rsid w:val="009867E7"/>
    <w:rPr>
      <w:lang w:eastAsia="en-US"/>
    </w:rPr>
  </w:style>
  <w:style w:type="paragraph" w:styleId="EndnoteText">
    <w:name w:val="endnote text"/>
    <w:basedOn w:val="Normal"/>
    <w:link w:val="EndnoteTextChar"/>
    <w:uiPriority w:val="99"/>
    <w:semiHidden/>
    <w:unhideWhenUsed/>
    <w:rsid w:val="009867E7"/>
    <w:pPr>
      <w:spacing w:after="0" w:line="240" w:lineRule="auto"/>
    </w:pPr>
    <w:rPr>
      <w:sz w:val="20"/>
      <w:szCs w:val="20"/>
    </w:rPr>
  </w:style>
  <w:style w:type="character" w:styleId="Strong">
    <w:name w:val="Strong"/>
    <w:basedOn w:val="DefaultParagraphFont"/>
    <w:uiPriority w:val="22"/>
    <w:qFormat/>
    <w:locked/>
    <w:rsid w:val="00564ADD"/>
    <w:rPr>
      <w:b/>
      <w:bCs/>
    </w:rPr>
  </w:style>
  <w:style w:type="character" w:customStyle="1" w:styleId="mceeditor">
    <w:name w:val="mceeditor"/>
    <w:basedOn w:val="DefaultParagraphFont"/>
    <w:rsid w:val="005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1857">
      <w:bodyDiv w:val="1"/>
      <w:marLeft w:val="0"/>
      <w:marRight w:val="0"/>
      <w:marTop w:val="0"/>
      <w:marBottom w:val="0"/>
      <w:divBdr>
        <w:top w:val="none" w:sz="0" w:space="0" w:color="auto"/>
        <w:left w:val="none" w:sz="0" w:space="0" w:color="auto"/>
        <w:bottom w:val="none" w:sz="0" w:space="0" w:color="auto"/>
        <w:right w:val="none" w:sz="0" w:space="0" w:color="auto"/>
      </w:divBdr>
      <w:divsChild>
        <w:div w:id="30034935">
          <w:marLeft w:val="0"/>
          <w:marRight w:val="0"/>
          <w:marTop w:val="0"/>
          <w:marBottom w:val="0"/>
          <w:divBdr>
            <w:top w:val="none" w:sz="0" w:space="0" w:color="auto"/>
            <w:left w:val="none" w:sz="0" w:space="0" w:color="auto"/>
            <w:bottom w:val="none" w:sz="0" w:space="0" w:color="auto"/>
            <w:right w:val="none" w:sz="0" w:space="0" w:color="auto"/>
          </w:divBdr>
        </w:div>
        <w:div w:id="60829987">
          <w:marLeft w:val="0"/>
          <w:marRight w:val="0"/>
          <w:marTop w:val="0"/>
          <w:marBottom w:val="0"/>
          <w:divBdr>
            <w:top w:val="none" w:sz="0" w:space="0" w:color="auto"/>
            <w:left w:val="none" w:sz="0" w:space="0" w:color="auto"/>
            <w:bottom w:val="none" w:sz="0" w:space="0" w:color="auto"/>
            <w:right w:val="none" w:sz="0" w:space="0" w:color="auto"/>
          </w:divBdr>
        </w:div>
        <w:div w:id="130368447">
          <w:marLeft w:val="0"/>
          <w:marRight w:val="0"/>
          <w:marTop w:val="0"/>
          <w:marBottom w:val="0"/>
          <w:divBdr>
            <w:top w:val="none" w:sz="0" w:space="0" w:color="auto"/>
            <w:left w:val="none" w:sz="0" w:space="0" w:color="auto"/>
            <w:bottom w:val="none" w:sz="0" w:space="0" w:color="auto"/>
            <w:right w:val="none" w:sz="0" w:space="0" w:color="auto"/>
          </w:divBdr>
        </w:div>
        <w:div w:id="132868480">
          <w:marLeft w:val="0"/>
          <w:marRight w:val="0"/>
          <w:marTop w:val="0"/>
          <w:marBottom w:val="0"/>
          <w:divBdr>
            <w:top w:val="none" w:sz="0" w:space="0" w:color="auto"/>
            <w:left w:val="none" w:sz="0" w:space="0" w:color="auto"/>
            <w:bottom w:val="none" w:sz="0" w:space="0" w:color="auto"/>
            <w:right w:val="none" w:sz="0" w:space="0" w:color="auto"/>
          </w:divBdr>
        </w:div>
        <w:div w:id="180437619">
          <w:marLeft w:val="0"/>
          <w:marRight w:val="0"/>
          <w:marTop w:val="0"/>
          <w:marBottom w:val="0"/>
          <w:divBdr>
            <w:top w:val="none" w:sz="0" w:space="0" w:color="auto"/>
            <w:left w:val="none" w:sz="0" w:space="0" w:color="auto"/>
            <w:bottom w:val="none" w:sz="0" w:space="0" w:color="auto"/>
            <w:right w:val="none" w:sz="0" w:space="0" w:color="auto"/>
          </w:divBdr>
        </w:div>
        <w:div w:id="192689456">
          <w:marLeft w:val="0"/>
          <w:marRight w:val="0"/>
          <w:marTop w:val="0"/>
          <w:marBottom w:val="0"/>
          <w:divBdr>
            <w:top w:val="none" w:sz="0" w:space="0" w:color="auto"/>
            <w:left w:val="none" w:sz="0" w:space="0" w:color="auto"/>
            <w:bottom w:val="none" w:sz="0" w:space="0" w:color="auto"/>
            <w:right w:val="none" w:sz="0" w:space="0" w:color="auto"/>
          </w:divBdr>
        </w:div>
        <w:div w:id="201866448">
          <w:marLeft w:val="0"/>
          <w:marRight w:val="0"/>
          <w:marTop w:val="0"/>
          <w:marBottom w:val="0"/>
          <w:divBdr>
            <w:top w:val="none" w:sz="0" w:space="0" w:color="auto"/>
            <w:left w:val="none" w:sz="0" w:space="0" w:color="auto"/>
            <w:bottom w:val="none" w:sz="0" w:space="0" w:color="auto"/>
            <w:right w:val="none" w:sz="0" w:space="0" w:color="auto"/>
          </w:divBdr>
        </w:div>
        <w:div w:id="208995521">
          <w:marLeft w:val="0"/>
          <w:marRight w:val="0"/>
          <w:marTop w:val="0"/>
          <w:marBottom w:val="0"/>
          <w:divBdr>
            <w:top w:val="none" w:sz="0" w:space="0" w:color="auto"/>
            <w:left w:val="none" w:sz="0" w:space="0" w:color="auto"/>
            <w:bottom w:val="none" w:sz="0" w:space="0" w:color="auto"/>
            <w:right w:val="none" w:sz="0" w:space="0" w:color="auto"/>
          </w:divBdr>
        </w:div>
        <w:div w:id="220097713">
          <w:marLeft w:val="0"/>
          <w:marRight w:val="0"/>
          <w:marTop w:val="0"/>
          <w:marBottom w:val="0"/>
          <w:divBdr>
            <w:top w:val="none" w:sz="0" w:space="0" w:color="auto"/>
            <w:left w:val="none" w:sz="0" w:space="0" w:color="auto"/>
            <w:bottom w:val="none" w:sz="0" w:space="0" w:color="auto"/>
            <w:right w:val="none" w:sz="0" w:space="0" w:color="auto"/>
          </w:divBdr>
        </w:div>
        <w:div w:id="268851571">
          <w:marLeft w:val="0"/>
          <w:marRight w:val="0"/>
          <w:marTop w:val="0"/>
          <w:marBottom w:val="0"/>
          <w:divBdr>
            <w:top w:val="none" w:sz="0" w:space="0" w:color="auto"/>
            <w:left w:val="none" w:sz="0" w:space="0" w:color="auto"/>
            <w:bottom w:val="none" w:sz="0" w:space="0" w:color="auto"/>
            <w:right w:val="none" w:sz="0" w:space="0" w:color="auto"/>
          </w:divBdr>
        </w:div>
        <w:div w:id="269751671">
          <w:marLeft w:val="0"/>
          <w:marRight w:val="0"/>
          <w:marTop w:val="0"/>
          <w:marBottom w:val="0"/>
          <w:divBdr>
            <w:top w:val="none" w:sz="0" w:space="0" w:color="auto"/>
            <w:left w:val="none" w:sz="0" w:space="0" w:color="auto"/>
            <w:bottom w:val="none" w:sz="0" w:space="0" w:color="auto"/>
            <w:right w:val="none" w:sz="0" w:space="0" w:color="auto"/>
          </w:divBdr>
        </w:div>
        <w:div w:id="317805088">
          <w:marLeft w:val="0"/>
          <w:marRight w:val="0"/>
          <w:marTop w:val="0"/>
          <w:marBottom w:val="0"/>
          <w:divBdr>
            <w:top w:val="none" w:sz="0" w:space="0" w:color="auto"/>
            <w:left w:val="none" w:sz="0" w:space="0" w:color="auto"/>
            <w:bottom w:val="none" w:sz="0" w:space="0" w:color="auto"/>
            <w:right w:val="none" w:sz="0" w:space="0" w:color="auto"/>
          </w:divBdr>
        </w:div>
        <w:div w:id="330374349">
          <w:marLeft w:val="0"/>
          <w:marRight w:val="0"/>
          <w:marTop w:val="0"/>
          <w:marBottom w:val="0"/>
          <w:divBdr>
            <w:top w:val="none" w:sz="0" w:space="0" w:color="auto"/>
            <w:left w:val="none" w:sz="0" w:space="0" w:color="auto"/>
            <w:bottom w:val="none" w:sz="0" w:space="0" w:color="auto"/>
            <w:right w:val="none" w:sz="0" w:space="0" w:color="auto"/>
          </w:divBdr>
        </w:div>
        <w:div w:id="353776195">
          <w:marLeft w:val="0"/>
          <w:marRight w:val="0"/>
          <w:marTop w:val="0"/>
          <w:marBottom w:val="0"/>
          <w:divBdr>
            <w:top w:val="none" w:sz="0" w:space="0" w:color="auto"/>
            <w:left w:val="none" w:sz="0" w:space="0" w:color="auto"/>
            <w:bottom w:val="none" w:sz="0" w:space="0" w:color="auto"/>
            <w:right w:val="none" w:sz="0" w:space="0" w:color="auto"/>
          </w:divBdr>
        </w:div>
        <w:div w:id="358973391">
          <w:marLeft w:val="0"/>
          <w:marRight w:val="0"/>
          <w:marTop w:val="0"/>
          <w:marBottom w:val="0"/>
          <w:divBdr>
            <w:top w:val="none" w:sz="0" w:space="0" w:color="auto"/>
            <w:left w:val="none" w:sz="0" w:space="0" w:color="auto"/>
            <w:bottom w:val="none" w:sz="0" w:space="0" w:color="auto"/>
            <w:right w:val="none" w:sz="0" w:space="0" w:color="auto"/>
          </w:divBdr>
        </w:div>
        <w:div w:id="363333361">
          <w:marLeft w:val="0"/>
          <w:marRight w:val="0"/>
          <w:marTop w:val="0"/>
          <w:marBottom w:val="0"/>
          <w:divBdr>
            <w:top w:val="none" w:sz="0" w:space="0" w:color="auto"/>
            <w:left w:val="none" w:sz="0" w:space="0" w:color="auto"/>
            <w:bottom w:val="none" w:sz="0" w:space="0" w:color="auto"/>
            <w:right w:val="none" w:sz="0" w:space="0" w:color="auto"/>
          </w:divBdr>
        </w:div>
        <w:div w:id="383069114">
          <w:marLeft w:val="0"/>
          <w:marRight w:val="0"/>
          <w:marTop w:val="0"/>
          <w:marBottom w:val="0"/>
          <w:divBdr>
            <w:top w:val="none" w:sz="0" w:space="0" w:color="auto"/>
            <w:left w:val="none" w:sz="0" w:space="0" w:color="auto"/>
            <w:bottom w:val="none" w:sz="0" w:space="0" w:color="auto"/>
            <w:right w:val="none" w:sz="0" w:space="0" w:color="auto"/>
          </w:divBdr>
        </w:div>
        <w:div w:id="421225503">
          <w:marLeft w:val="0"/>
          <w:marRight w:val="0"/>
          <w:marTop w:val="0"/>
          <w:marBottom w:val="0"/>
          <w:divBdr>
            <w:top w:val="none" w:sz="0" w:space="0" w:color="auto"/>
            <w:left w:val="none" w:sz="0" w:space="0" w:color="auto"/>
            <w:bottom w:val="none" w:sz="0" w:space="0" w:color="auto"/>
            <w:right w:val="none" w:sz="0" w:space="0" w:color="auto"/>
          </w:divBdr>
        </w:div>
        <w:div w:id="440564547">
          <w:marLeft w:val="0"/>
          <w:marRight w:val="0"/>
          <w:marTop w:val="0"/>
          <w:marBottom w:val="0"/>
          <w:divBdr>
            <w:top w:val="none" w:sz="0" w:space="0" w:color="auto"/>
            <w:left w:val="none" w:sz="0" w:space="0" w:color="auto"/>
            <w:bottom w:val="none" w:sz="0" w:space="0" w:color="auto"/>
            <w:right w:val="none" w:sz="0" w:space="0" w:color="auto"/>
          </w:divBdr>
        </w:div>
        <w:div w:id="441802976">
          <w:marLeft w:val="0"/>
          <w:marRight w:val="0"/>
          <w:marTop w:val="0"/>
          <w:marBottom w:val="0"/>
          <w:divBdr>
            <w:top w:val="none" w:sz="0" w:space="0" w:color="auto"/>
            <w:left w:val="none" w:sz="0" w:space="0" w:color="auto"/>
            <w:bottom w:val="none" w:sz="0" w:space="0" w:color="auto"/>
            <w:right w:val="none" w:sz="0" w:space="0" w:color="auto"/>
          </w:divBdr>
        </w:div>
        <w:div w:id="457526741">
          <w:marLeft w:val="0"/>
          <w:marRight w:val="0"/>
          <w:marTop w:val="0"/>
          <w:marBottom w:val="0"/>
          <w:divBdr>
            <w:top w:val="none" w:sz="0" w:space="0" w:color="auto"/>
            <w:left w:val="none" w:sz="0" w:space="0" w:color="auto"/>
            <w:bottom w:val="none" w:sz="0" w:space="0" w:color="auto"/>
            <w:right w:val="none" w:sz="0" w:space="0" w:color="auto"/>
          </w:divBdr>
        </w:div>
        <w:div w:id="484012215">
          <w:marLeft w:val="0"/>
          <w:marRight w:val="0"/>
          <w:marTop w:val="0"/>
          <w:marBottom w:val="0"/>
          <w:divBdr>
            <w:top w:val="none" w:sz="0" w:space="0" w:color="auto"/>
            <w:left w:val="none" w:sz="0" w:space="0" w:color="auto"/>
            <w:bottom w:val="none" w:sz="0" w:space="0" w:color="auto"/>
            <w:right w:val="none" w:sz="0" w:space="0" w:color="auto"/>
          </w:divBdr>
        </w:div>
        <w:div w:id="494808024">
          <w:marLeft w:val="0"/>
          <w:marRight w:val="0"/>
          <w:marTop w:val="0"/>
          <w:marBottom w:val="0"/>
          <w:divBdr>
            <w:top w:val="none" w:sz="0" w:space="0" w:color="auto"/>
            <w:left w:val="none" w:sz="0" w:space="0" w:color="auto"/>
            <w:bottom w:val="none" w:sz="0" w:space="0" w:color="auto"/>
            <w:right w:val="none" w:sz="0" w:space="0" w:color="auto"/>
          </w:divBdr>
        </w:div>
        <w:div w:id="562569360">
          <w:marLeft w:val="0"/>
          <w:marRight w:val="0"/>
          <w:marTop w:val="0"/>
          <w:marBottom w:val="0"/>
          <w:divBdr>
            <w:top w:val="none" w:sz="0" w:space="0" w:color="auto"/>
            <w:left w:val="none" w:sz="0" w:space="0" w:color="auto"/>
            <w:bottom w:val="none" w:sz="0" w:space="0" w:color="auto"/>
            <w:right w:val="none" w:sz="0" w:space="0" w:color="auto"/>
          </w:divBdr>
        </w:div>
        <w:div w:id="638151041">
          <w:marLeft w:val="0"/>
          <w:marRight w:val="0"/>
          <w:marTop w:val="0"/>
          <w:marBottom w:val="0"/>
          <w:divBdr>
            <w:top w:val="none" w:sz="0" w:space="0" w:color="auto"/>
            <w:left w:val="none" w:sz="0" w:space="0" w:color="auto"/>
            <w:bottom w:val="none" w:sz="0" w:space="0" w:color="auto"/>
            <w:right w:val="none" w:sz="0" w:space="0" w:color="auto"/>
          </w:divBdr>
        </w:div>
        <w:div w:id="639068289">
          <w:marLeft w:val="0"/>
          <w:marRight w:val="0"/>
          <w:marTop w:val="0"/>
          <w:marBottom w:val="0"/>
          <w:divBdr>
            <w:top w:val="none" w:sz="0" w:space="0" w:color="auto"/>
            <w:left w:val="none" w:sz="0" w:space="0" w:color="auto"/>
            <w:bottom w:val="none" w:sz="0" w:space="0" w:color="auto"/>
            <w:right w:val="none" w:sz="0" w:space="0" w:color="auto"/>
          </w:divBdr>
        </w:div>
        <w:div w:id="648755291">
          <w:marLeft w:val="0"/>
          <w:marRight w:val="0"/>
          <w:marTop w:val="0"/>
          <w:marBottom w:val="0"/>
          <w:divBdr>
            <w:top w:val="none" w:sz="0" w:space="0" w:color="auto"/>
            <w:left w:val="none" w:sz="0" w:space="0" w:color="auto"/>
            <w:bottom w:val="none" w:sz="0" w:space="0" w:color="auto"/>
            <w:right w:val="none" w:sz="0" w:space="0" w:color="auto"/>
          </w:divBdr>
        </w:div>
        <w:div w:id="649986733">
          <w:marLeft w:val="0"/>
          <w:marRight w:val="0"/>
          <w:marTop w:val="0"/>
          <w:marBottom w:val="0"/>
          <w:divBdr>
            <w:top w:val="none" w:sz="0" w:space="0" w:color="auto"/>
            <w:left w:val="none" w:sz="0" w:space="0" w:color="auto"/>
            <w:bottom w:val="none" w:sz="0" w:space="0" w:color="auto"/>
            <w:right w:val="none" w:sz="0" w:space="0" w:color="auto"/>
          </w:divBdr>
        </w:div>
        <w:div w:id="655375352">
          <w:marLeft w:val="0"/>
          <w:marRight w:val="0"/>
          <w:marTop w:val="0"/>
          <w:marBottom w:val="0"/>
          <w:divBdr>
            <w:top w:val="none" w:sz="0" w:space="0" w:color="auto"/>
            <w:left w:val="none" w:sz="0" w:space="0" w:color="auto"/>
            <w:bottom w:val="none" w:sz="0" w:space="0" w:color="auto"/>
            <w:right w:val="none" w:sz="0" w:space="0" w:color="auto"/>
          </w:divBdr>
        </w:div>
        <w:div w:id="684552957">
          <w:marLeft w:val="0"/>
          <w:marRight w:val="0"/>
          <w:marTop w:val="0"/>
          <w:marBottom w:val="0"/>
          <w:divBdr>
            <w:top w:val="none" w:sz="0" w:space="0" w:color="auto"/>
            <w:left w:val="none" w:sz="0" w:space="0" w:color="auto"/>
            <w:bottom w:val="none" w:sz="0" w:space="0" w:color="auto"/>
            <w:right w:val="none" w:sz="0" w:space="0" w:color="auto"/>
          </w:divBdr>
        </w:div>
        <w:div w:id="704714697">
          <w:marLeft w:val="0"/>
          <w:marRight w:val="0"/>
          <w:marTop w:val="0"/>
          <w:marBottom w:val="0"/>
          <w:divBdr>
            <w:top w:val="none" w:sz="0" w:space="0" w:color="auto"/>
            <w:left w:val="none" w:sz="0" w:space="0" w:color="auto"/>
            <w:bottom w:val="none" w:sz="0" w:space="0" w:color="auto"/>
            <w:right w:val="none" w:sz="0" w:space="0" w:color="auto"/>
          </w:divBdr>
        </w:div>
        <w:div w:id="737636027">
          <w:marLeft w:val="0"/>
          <w:marRight w:val="0"/>
          <w:marTop w:val="0"/>
          <w:marBottom w:val="0"/>
          <w:divBdr>
            <w:top w:val="none" w:sz="0" w:space="0" w:color="auto"/>
            <w:left w:val="none" w:sz="0" w:space="0" w:color="auto"/>
            <w:bottom w:val="none" w:sz="0" w:space="0" w:color="auto"/>
            <w:right w:val="none" w:sz="0" w:space="0" w:color="auto"/>
          </w:divBdr>
        </w:div>
        <w:div w:id="795611233">
          <w:marLeft w:val="0"/>
          <w:marRight w:val="0"/>
          <w:marTop w:val="0"/>
          <w:marBottom w:val="0"/>
          <w:divBdr>
            <w:top w:val="none" w:sz="0" w:space="0" w:color="auto"/>
            <w:left w:val="none" w:sz="0" w:space="0" w:color="auto"/>
            <w:bottom w:val="none" w:sz="0" w:space="0" w:color="auto"/>
            <w:right w:val="none" w:sz="0" w:space="0" w:color="auto"/>
          </w:divBdr>
        </w:div>
        <w:div w:id="857230741">
          <w:marLeft w:val="0"/>
          <w:marRight w:val="0"/>
          <w:marTop w:val="0"/>
          <w:marBottom w:val="0"/>
          <w:divBdr>
            <w:top w:val="none" w:sz="0" w:space="0" w:color="auto"/>
            <w:left w:val="none" w:sz="0" w:space="0" w:color="auto"/>
            <w:bottom w:val="none" w:sz="0" w:space="0" w:color="auto"/>
            <w:right w:val="none" w:sz="0" w:space="0" w:color="auto"/>
          </w:divBdr>
        </w:div>
        <w:div w:id="859973662">
          <w:marLeft w:val="0"/>
          <w:marRight w:val="0"/>
          <w:marTop w:val="0"/>
          <w:marBottom w:val="0"/>
          <w:divBdr>
            <w:top w:val="none" w:sz="0" w:space="0" w:color="auto"/>
            <w:left w:val="none" w:sz="0" w:space="0" w:color="auto"/>
            <w:bottom w:val="none" w:sz="0" w:space="0" w:color="auto"/>
            <w:right w:val="none" w:sz="0" w:space="0" w:color="auto"/>
          </w:divBdr>
        </w:div>
        <w:div w:id="869026978">
          <w:marLeft w:val="0"/>
          <w:marRight w:val="0"/>
          <w:marTop w:val="0"/>
          <w:marBottom w:val="0"/>
          <w:divBdr>
            <w:top w:val="none" w:sz="0" w:space="0" w:color="auto"/>
            <w:left w:val="none" w:sz="0" w:space="0" w:color="auto"/>
            <w:bottom w:val="none" w:sz="0" w:space="0" w:color="auto"/>
            <w:right w:val="none" w:sz="0" w:space="0" w:color="auto"/>
          </w:divBdr>
        </w:div>
        <w:div w:id="884492127">
          <w:marLeft w:val="0"/>
          <w:marRight w:val="0"/>
          <w:marTop w:val="0"/>
          <w:marBottom w:val="0"/>
          <w:divBdr>
            <w:top w:val="none" w:sz="0" w:space="0" w:color="auto"/>
            <w:left w:val="none" w:sz="0" w:space="0" w:color="auto"/>
            <w:bottom w:val="none" w:sz="0" w:space="0" w:color="auto"/>
            <w:right w:val="none" w:sz="0" w:space="0" w:color="auto"/>
          </w:divBdr>
        </w:div>
        <w:div w:id="1013536590">
          <w:marLeft w:val="0"/>
          <w:marRight w:val="0"/>
          <w:marTop w:val="0"/>
          <w:marBottom w:val="0"/>
          <w:divBdr>
            <w:top w:val="none" w:sz="0" w:space="0" w:color="auto"/>
            <w:left w:val="none" w:sz="0" w:space="0" w:color="auto"/>
            <w:bottom w:val="none" w:sz="0" w:space="0" w:color="auto"/>
            <w:right w:val="none" w:sz="0" w:space="0" w:color="auto"/>
          </w:divBdr>
        </w:div>
        <w:div w:id="1091774284">
          <w:marLeft w:val="0"/>
          <w:marRight w:val="0"/>
          <w:marTop w:val="0"/>
          <w:marBottom w:val="0"/>
          <w:divBdr>
            <w:top w:val="none" w:sz="0" w:space="0" w:color="auto"/>
            <w:left w:val="none" w:sz="0" w:space="0" w:color="auto"/>
            <w:bottom w:val="none" w:sz="0" w:space="0" w:color="auto"/>
            <w:right w:val="none" w:sz="0" w:space="0" w:color="auto"/>
          </w:divBdr>
        </w:div>
        <w:div w:id="1178229284">
          <w:marLeft w:val="0"/>
          <w:marRight w:val="0"/>
          <w:marTop w:val="0"/>
          <w:marBottom w:val="0"/>
          <w:divBdr>
            <w:top w:val="none" w:sz="0" w:space="0" w:color="auto"/>
            <w:left w:val="none" w:sz="0" w:space="0" w:color="auto"/>
            <w:bottom w:val="none" w:sz="0" w:space="0" w:color="auto"/>
            <w:right w:val="none" w:sz="0" w:space="0" w:color="auto"/>
          </w:divBdr>
        </w:div>
        <w:div w:id="1251236524">
          <w:marLeft w:val="0"/>
          <w:marRight w:val="0"/>
          <w:marTop w:val="0"/>
          <w:marBottom w:val="0"/>
          <w:divBdr>
            <w:top w:val="none" w:sz="0" w:space="0" w:color="auto"/>
            <w:left w:val="none" w:sz="0" w:space="0" w:color="auto"/>
            <w:bottom w:val="none" w:sz="0" w:space="0" w:color="auto"/>
            <w:right w:val="none" w:sz="0" w:space="0" w:color="auto"/>
          </w:divBdr>
        </w:div>
        <w:div w:id="1257132775">
          <w:marLeft w:val="0"/>
          <w:marRight w:val="0"/>
          <w:marTop w:val="0"/>
          <w:marBottom w:val="0"/>
          <w:divBdr>
            <w:top w:val="none" w:sz="0" w:space="0" w:color="auto"/>
            <w:left w:val="none" w:sz="0" w:space="0" w:color="auto"/>
            <w:bottom w:val="none" w:sz="0" w:space="0" w:color="auto"/>
            <w:right w:val="none" w:sz="0" w:space="0" w:color="auto"/>
          </w:divBdr>
        </w:div>
        <w:div w:id="1257858159">
          <w:marLeft w:val="0"/>
          <w:marRight w:val="0"/>
          <w:marTop w:val="0"/>
          <w:marBottom w:val="0"/>
          <w:divBdr>
            <w:top w:val="none" w:sz="0" w:space="0" w:color="auto"/>
            <w:left w:val="none" w:sz="0" w:space="0" w:color="auto"/>
            <w:bottom w:val="none" w:sz="0" w:space="0" w:color="auto"/>
            <w:right w:val="none" w:sz="0" w:space="0" w:color="auto"/>
          </w:divBdr>
        </w:div>
        <w:div w:id="1258364036">
          <w:marLeft w:val="0"/>
          <w:marRight w:val="0"/>
          <w:marTop w:val="0"/>
          <w:marBottom w:val="0"/>
          <w:divBdr>
            <w:top w:val="none" w:sz="0" w:space="0" w:color="auto"/>
            <w:left w:val="none" w:sz="0" w:space="0" w:color="auto"/>
            <w:bottom w:val="none" w:sz="0" w:space="0" w:color="auto"/>
            <w:right w:val="none" w:sz="0" w:space="0" w:color="auto"/>
          </w:divBdr>
        </w:div>
        <w:div w:id="1259483961">
          <w:marLeft w:val="0"/>
          <w:marRight w:val="0"/>
          <w:marTop w:val="0"/>
          <w:marBottom w:val="0"/>
          <w:divBdr>
            <w:top w:val="none" w:sz="0" w:space="0" w:color="auto"/>
            <w:left w:val="none" w:sz="0" w:space="0" w:color="auto"/>
            <w:bottom w:val="none" w:sz="0" w:space="0" w:color="auto"/>
            <w:right w:val="none" w:sz="0" w:space="0" w:color="auto"/>
          </w:divBdr>
        </w:div>
        <w:div w:id="1339431394">
          <w:marLeft w:val="0"/>
          <w:marRight w:val="0"/>
          <w:marTop w:val="0"/>
          <w:marBottom w:val="0"/>
          <w:divBdr>
            <w:top w:val="none" w:sz="0" w:space="0" w:color="auto"/>
            <w:left w:val="none" w:sz="0" w:space="0" w:color="auto"/>
            <w:bottom w:val="none" w:sz="0" w:space="0" w:color="auto"/>
            <w:right w:val="none" w:sz="0" w:space="0" w:color="auto"/>
          </w:divBdr>
        </w:div>
        <w:div w:id="1357072980">
          <w:marLeft w:val="0"/>
          <w:marRight w:val="0"/>
          <w:marTop w:val="0"/>
          <w:marBottom w:val="0"/>
          <w:divBdr>
            <w:top w:val="none" w:sz="0" w:space="0" w:color="auto"/>
            <w:left w:val="none" w:sz="0" w:space="0" w:color="auto"/>
            <w:bottom w:val="none" w:sz="0" w:space="0" w:color="auto"/>
            <w:right w:val="none" w:sz="0" w:space="0" w:color="auto"/>
          </w:divBdr>
        </w:div>
        <w:div w:id="1359356379">
          <w:marLeft w:val="0"/>
          <w:marRight w:val="0"/>
          <w:marTop w:val="0"/>
          <w:marBottom w:val="0"/>
          <w:divBdr>
            <w:top w:val="none" w:sz="0" w:space="0" w:color="auto"/>
            <w:left w:val="none" w:sz="0" w:space="0" w:color="auto"/>
            <w:bottom w:val="none" w:sz="0" w:space="0" w:color="auto"/>
            <w:right w:val="none" w:sz="0" w:space="0" w:color="auto"/>
          </w:divBdr>
        </w:div>
        <w:div w:id="1381855794">
          <w:marLeft w:val="0"/>
          <w:marRight w:val="0"/>
          <w:marTop w:val="0"/>
          <w:marBottom w:val="0"/>
          <w:divBdr>
            <w:top w:val="none" w:sz="0" w:space="0" w:color="auto"/>
            <w:left w:val="none" w:sz="0" w:space="0" w:color="auto"/>
            <w:bottom w:val="none" w:sz="0" w:space="0" w:color="auto"/>
            <w:right w:val="none" w:sz="0" w:space="0" w:color="auto"/>
          </w:divBdr>
        </w:div>
        <w:div w:id="1386290948">
          <w:marLeft w:val="0"/>
          <w:marRight w:val="0"/>
          <w:marTop w:val="0"/>
          <w:marBottom w:val="0"/>
          <w:divBdr>
            <w:top w:val="none" w:sz="0" w:space="0" w:color="auto"/>
            <w:left w:val="none" w:sz="0" w:space="0" w:color="auto"/>
            <w:bottom w:val="none" w:sz="0" w:space="0" w:color="auto"/>
            <w:right w:val="none" w:sz="0" w:space="0" w:color="auto"/>
          </w:divBdr>
        </w:div>
        <w:div w:id="1392926599">
          <w:marLeft w:val="0"/>
          <w:marRight w:val="0"/>
          <w:marTop w:val="0"/>
          <w:marBottom w:val="0"/>
          <w:divBdr>
            <w:top w:val="none" w:sz="0" w:space="0" w:color="auto"/>
            <w:left w:val="none" w:sz="0" w:space="0" w:color="auto"/>
            <w:bottom w:val="none" w:sz="0" w:space="0" w:color="auto"/>
            <w:right w:val="none" w:sz="0" w:space="0" w:color="auto"/>
          </w:divBdr>
        </w:div>
        <w:div w:id="1441603799">
          <w:marLeft w:val="0"/>
          <w:marRight w:val="0"/>
          <w:marTop w:val="0"/>
          <w:marBottom w:val="0"/>
          <w:divBdr>
            <w:top w:val="none" w:sz="0" w:space="0" w:color="auto"/>
            <w:left w:val="none" w:sz="0" w:space="0" w:color="auto"/>
            <w:bottom w:val="none" w:sz="0" w:space="0" w:color="auto"/>
            <w:right w:val="none" w:sz="0" w:space="0" w:color="auto"/>
          </w:divBdr>
        </w:div>
        <w:div w:id="1442846230">
          <w:marLeft w:val="0"/>
          <w:marRight w:val="0"/>
          <w:marTop w:val="0"/>
          <w:marBottom w:val="0"/>
          <w:divBdr>
            <w:top w:val="none" w:sz="0" w:space="0" w:color="auto"/>
            <w:left w:val="none" w:sz="0" w:space="0" w:color="auto"/>
            <w:bottom w:val="none" w:sz="0" w:space="0" w:color="auto"/>
            <w:right w:val="none" w:sz="0" w:space="0" w:color="auto"/>
          </w:divBdr>
        </w:div>
        <w:div w:id="1449163544">
          <w:marLeft w:val="0"/>
          <w:marRight w:val="0"/>
          <w:marTop w:val="0"/>
          <w:marBottom w:val="0"/>
          <w:divBdr>
            <w:top w:val="none" w:sz="0" w:space="0" w:color="auto"/>
            <w:left w:val="none" w:sz="0" w:space="0" w:color="auto"/>
            <w:bottom w:val="none" w:sz="0" w:space="0" w:color="auto"/>
            <w:right w:val="none" w:sz="0" w:space="0" w:color="auto"/>
          </w:divBdr>
        </w:div>
        <w:div w:id="1514294445">
          <w:marLeft w:val="0"/>
          <w:marRight w:val="0"/>
          <w:marTop w:val="0"/>
          <w:marBottom w:val="0"/>
          <w:divBdr>
            <w:top w:val="none" w:sz="0" w:space="0" w:color="auto"/>
            <w:left w:val="none" w:sz="0" w:space="0" w:color="auto"/>
            <w:bottom w:val="none" w:sz="0" w:space="0" w:color="auto"/>
            <w:right w:val="none" w:sz="0" w:space="0" w:color="auto"/>
          </w:divBdr>
        </w:div>
        <w:div w:id="1526869271">
          <w:marLeft w:val="0"/>
          <w:marRight w:val="0"/>
          <w:marTop w:val="0"/>
          <w:marBottom w:val="0"/>
          <w:divBdr>
            <w:top w:val="none" w:sz="0" w:space="0" w:color="auto"/>
            <w:left w:val="none" w:sz="0" w:space="0" w:color="auto"/>
            <w:bottom w:val="none" w:sz="0" w:space="0" w:color="auto"/>
            <w:right w:val="none" w:sz="0" w:space="0" w:color="auto"/>
          </w:divBdr>
        </w:div>
        <w:div w:id="1591545000">
          <w:marLeft w:val="0"/>
          <w:marRight w:val="0"/>
          <w:marTop w:val="0"/>
          <w:marBottom w:val="0"/>
          <w:divBdr>
            <w:top w:val="none" w:sz="0" w:space="0" w:color="auto"/>
            <w:left w:val="none" w:sz="0" w:space="0" w:color="auto"/>
            <w:bottom w:val="none" w:sz="0" w:space="0" w:color="auto"/>
            <w:right w:val="none" w:sz="0" w:space="0" w:color="auto"/>
          </w:divBdr>
        </w:div>
        <w:div w:id="1614283247">
          <w:marLeft w:val="0"/>
          <w:marRight w:val="0"/>
          <w:marTop w:val="0"/>
          <w:marBottom w:val="0"/>
          <w:divBdr>
            <w:top w:val="none" w:sz="0" w:space="0" w:color="auto"/>
            <w:left w:val="none" w:sz="0" w:space="0" w:color="auto"/>
            <w:bottom w:val="none" w:sz="0" w:space="0" w:color="auto"/>
            <w:right w:val="none" w:sz="0" w:space="0" w:color="auto"/>
          </w:divBdr>
        </w:div>
        <w:div w:id="1638609701">
          <w:marLeft w:val="0"/>
          <w:marRight w:val="0"/>
          <w:marTop w:val="0"/>
          <w:marBottom w:val="0"/>
          <w:divBdr>
            <w:top w:val="none" w:sz="0" w:space="0" w:color="auto"/>
            <w:left w:val="none" w:sz="0" w:space="0" w:color="auto"/>
            <w:bottom w:val="none" w:sz="0" w:space="0" w:color="auto"/>
            <w:right w:val="none" w:sz="0" w:space="0" w:color="auto"/>
          </w:divBdr>
        </w:div>
        <w:div w:id="1665208774">
          <w:marLeft w:val="0"/>
          <w:marRight w:val="0"/>
          <w:marTop w:val="0"/>
          <w:marBottom w:val="0"/>
          <w:divBdr>
            <w:top w:val="none" w:sz="0" w:space="0" w:color="auto"/>
            <w:left w:val="none" w:sz="0" w:space="0" w:color="auto"/>
            <w:bottom w:val="none" w:sz="0" w:space="0" w:color="auto"/>
            <w:right w:val="none" w:sz="0" w:space="0" w:color="auto"/>
          </w:divBdr>
        </w:div>
        <w:div w:id="1670325911">
          <w:marLeft w:val="0"/>
          <w:marRight w:val="0"/>
          <w:marTop w:val="0"/>
          <w:marBottom w:val="0"/>
          <w:divBdr>
            <w:top w:val="none" w:sz="0" w:space="0" w:color="auto"/>
            <w:left w:val="none" w:sz="0" w:space="0" w:color="auto"/>
            <w:bottom w:val="none" w:sz="0" w:space="0" w:color="auto"/>
            <w:right w:val="none" w:sz="0" w:space="0" w:color="auto"/>
          </w:divBdr>
        </w:div>
        <w:div w:id="1703825185">
          <w:marLeft w:val="0"/>
          <w:marRight w:val="0"/>
          <w:marTop w:val="0"/>
          <w:marBottom w:val="0"/>
          <w:divBdr>
            <w:top w:val="none" w:sz="0" w:space="0" w:color="auto"/>
            <w:left w:val="none" w:sz="0" w:space="0" w:color="auto"/>
            <w:bottom w:val="none" w:sz="0" w:space="0" w:color="auto"/>
            <w:right w:val="none" w:sz="0" w:space="0" w:color="auto"/>
          </w:divBdr>
        </w:div>
        <w:div w:id="1718116055">
          <w:marLeft w:val="0"/>
          <w:marRight w:val="0"/>
          <w:marTop w:val="0"/>
          <w:marBottom w:val="0"/>
          <w:divBdr>
            <w:top w:val="none" w:sz="0" w:space="0" w:color="auto"/>
            <w:left w:val="none" w:sz="0" w:space="0" w:color="auto"/>
            <w:bottom w:val="none" w:sz="0" w:space="0" w:color="auto"/>
            <w:right w:val="none" w:sz="0" w:space="0" w:color="auto"/>
          </w:divBdr>
        </w:div>
        <w:div w:id="1723820433">
          <w:marLeft w:val="0"/>
          <w:marRight w:val="0"/>
          <w:marTop w:val="0"/>
          <w:marBottom w:val="0"/>
          <w:divBdr>
            <w:top w:val="none" w:sz="0" w:space="0" w:color="auto"/>
            <w:left w:val="none" w:sz="0" w:space="0" w:color="auto"/>
            <w:bottom w:val="none" w:sz="0" w:space="0" w:color="auto"/>
            <w:right w:val="none" w:sz="0" w:space="0" w:color="auto"/>
          </w:divBdr>
        </w:div>
        <w:div w:id="1724255933">
          <w:marLeft w:val="0"/>
          <w:marRight w:val="0"/>
          <w:marTop w:val="0"/>
          <w:marBottom w:val="0"/>
          <w:divBdr>
            <w:top w:val="none" w:sz="0" w:space="0" w:color="auto"/>
            <w:left w:val="none" w:sz="0" w:space="0" w:color="auto"/>
            <w:bottom w:val="none" w:sz="0" w:space="0" w:color="auto"/>
            <w:right w:val="none" w:sz="0" w:space="0" w:color="auto"/>
          </w:divBdr>
        </w:div>
        <w:div w:id="1752769807">
          <w:marLeft w:val="0"/>
          <w:marRight w:val="0"/>
          <w:marTop w:val="0"/>
          <w:marBottom w:val="0"/>
          <w:divBdr>
            <w:top w:val="none" w:sz="0" w:space="0" w:color="auto"/>
            <w:left w:val="none" w:sz="0" w:space="0" w:color="auto"/>
            <w:bottom w:val="none" w:sz="0" w:space="0" w:color="auto"/>
            <w:right w:val="none" w:sz="0" w:space="0" w:color="auto"/>
          </w:divBdr>
        </w:div>
        <w:div w:id="1779372282">
          <w:marLeft w:val="0"/>
          <w:marRight w:val="0"/>
          <w:marTop w:val="0"/>
          <w:marBottom w:val="0"/>
          <w:divBdr>
            <w:top w:val="none" w:sz="0" w:space="0" w:color="auto"/>
            <w:left w:val="none" w:sz="0" w:space="0" w:color="auto"/>
            <w:bottom w:val="none" w:sz="0" w:space="0" w:color="auto"/>
            <w:right w:val="none" w:sz="0" w:space="0" w:color="auto"/>
          </w:divBdr>
        </w:div>
        <w:div w:id="1874147900">
          <w:marLeft w:val="0"/>
          <w:marRight w:val="0"/>
          <w:marTop w:val="0"/>
          <w:marBottom w:val="0"/>
          <w:divBdr>
            <w:top w:val="none" w:sz="0" w:space="0" w:color="auto"/>
            <w:left w:val="none" w:sz="0" w:space="0" w:color="auto"/>
            <w:bottom w:val="none" w:sz="0" w:space="0" w:color="auto"/>
            <w:right w:val="none" w:sz="0" w:space="0" w:color="auto"/>
          </w:divBdr>
        </w:div>
        <w:div w:id="1880164680">
          <w:marLeft w:val="0"/>
          <w:marRight w:val="0"/>
          <w:marTop w:val="0"/>
          <w:marBottom w:val="0"/>
          <w:divBdr>
            <w:top w:val="none" w:sz="0" w:space="0" w:color="auto"/>
            <w:left w:val="none" w:sz="0" w:space="0" w:color="auto"/>
            <w:bottom w:val="none" w:sz="0" w:space="0" w:color="auto"/>
            <w:right w:val="none" w:sz="0" w:space="0" w:color="auto"/>
          </w:divBdr>
        </w:div>
        <w:div w:id="1885628849">
          <w:marLeft w:val="0"/>
          <w:marRight w:val="0"/>
          <w:marTop w:val="0"/>
          <w:marBottom w:val="0"/>
          <w:divBdr>
            <w:top w:val="none" w:sz="0" w:space="0" w:color="auto"/>
            <w:left w:val="none" w:sz="0" w:space="0" w:color="auto"/>
            <w:bottom w:val="none" w:sz="0" w:space="0" w:color="auto"/>
            <w:right w:val="none" w:sz="0" w:space="0" w:color="auto"/>
          </w:divBdr>
        </w:div>
        <w:div w:id="1934506603">
          <w:marLeft w:val="0"/>
          <w:marRight w:val="0"/>
          <w:marTop w:val="0"/>
          <w:marBottom w:val="0"/>
          <w:divBdr>
            <w:top w:val="none" w:sz="0" w:space="0" w:color="auto"/>
            <w:left w:val="none" w:sz="0" w:space="0" w:color="auto"/>
            <w:bottom w:val="none" w:sz="0" w:space="0" w:color="auto"/>
            <w:right w:val="none" w:sz="0" w:space="0" w:color="auto"/>
          </w:divBdr>
        </w:div>
        <w:div w:id="1943759480">
          <w:marLeft w:val="0"/>
          <w:marRight w:val="0"/>
          <w:marTop w:val="0"/>
          <w:marBottom w:val="0"/>
          <w:divBdr>
            <w:top w:val="none" w:sz="0" w:space="0" w:color="auto"/>
            <w:left w:val="none" w:sz="0" w:space="0" w:color="auto"/>
            <w:bottom w:val="none" w:sz="0" w:space="0" w:color="auto"/>
            <w:right w:val="none" w:sz="0" w:space="0" w:color="auto"/>
          </w:divBdr>
        </w:div>
        <w:div w:id="1945571132">
          <w:marLeft w:val="0"/>
          <w:marRight w:val="0"/>
          <w:marTop w:val="0"/>
          <w:marBottom w:val="0"/>
          <w:divBdr>
            <w:top w:val="none" w:sz="0" w:space="0" w:color="auto"/>
            <w:left w:val="none" w:sz="0" w:space="0" w:color="auto"/>
            <w:bottom w:val="none" w:sz="0" w:space="0" w:color="auto"/>
            <w:right w:val="none" w:sz="0" w:space="0" w:color="auto"/>
          </w:divBdr>
        </w:div>
        <w:div w:id="1955475578">
          <w:marLeft w:val="0"/>
          <w:marRight w:val="0"/>
          <w:marTop w:val="0"/>
          <w:marBottom w:val="0"/>
          <w:divBdr>
            <w:top w:val="none" w:sz="0" w:space="0" w:color="auto"/>
            <w:left w:val="none" w:sz="0" w:space="0" w:color="auto"/>
            <w:bottom w:val="none" w:sz="0" w:space="0" w:color="auto"/>
            <w:right w:val="none" w:sz="0" w:space="0" w:color="auto"/>
          </w:divBdr>
        </w:div>
        <w:div w:id="1971788821">
          <w:marLeft w:val="0"/>
          <w:marRight w:val="0"/>
          <w:marTop w:val="0"/>
          <w:marBottom w:val="0"/>
          <w:divBdr>
            <w:top w:val="none" w:sz="0" w:space="0" w:color="auto"/>
            <w:left w:val="none" w:sz="0" w:space="0" w:color="auto"/>
            <w:bottom w:val="none" w:sz="0" w:space="0" w:color="auto"/>
            <w:right w:val="none" w:sz="0" w:space="0" w:color="auto"/>
          </w:divBdr>
        </w:div>
        <w:div w:id="2008440239">
          <w:marLeft w:val="0"/>
          <w:marRight w:val="0"/>
          <w:marTop w:val="0"/>
          <w:marBottom w:val="0"/>
          <w:divBdr>
            <w:top w:val="none" w:sz="0" w:space="0" w:color="auto"/>
            <w:left w:val="none" w:sz="0" w:space="0" w:color="auto"/>
            <w:bottom w:val="none" w:sz="0" w:space="0" w:color="auto"/>
            <w:right w:val="none" w:sz="0" w:space="0" w:color="auto"/>
          </w:divBdr>
        </w:div>
        <w:div w:id="2015262948">
          <w:marLeft w:val="0"/>
          <w:marRight w:val="0"/>
          <w:marTop w:val="0"/>
          <w:marBottom w:val="0"/>
          <w:divBdr>
            <w:top w:val="none" w:sz="0" w:space="0" w:color="auto"/>
            <w:left w:val="none" w:sz="0" w:space="0" w:color="auto"/>
            <w:bottom w:val="none" w:sz="0" w:space="0" w:color="auto"/>
            <w:right w:val="none" w:sz="0" w:space="0" w:color="auto"/>
          </w:divBdr>
        </w:div>
        <w:div w:id="2034647050">
          <w:marLeft w:val="0"/>
          <w:marRight w:val="0"/>
          <w:marTop w:val="0"/>
          <w:marBottom w:val="0"/>
          <w:divBdr>
            <w:top w:val="none" w:sz="0" w:space="0" w:color="auto"/>
            <w:left w:val="none" w:sz="0" w:space="0" w:color="auto"/>
            <w:bottom w:val="none" w:sz="0" w:space="0" w:color="auto"/>
            <w:right w:val="none" w:sz="0" w:space="0" w:color="auto"/>
          </w:divBdr>
        </w:div>
        <w:div w:id="2130976836">
          <w:marLeft w:val="0"/>
          <w:marRight w:val="0"/>
          <w:marTop w:val="0"/>
          <w:marBottom w:val="0"/>
          <w:divBdr>
            <w:top w:val="none" w:sz="0" w:space="0" w:color="auto"/>
            <w:left w:val="none" w:sz="0" w:space="0" w:color="auto"/>
            <w:bottom w:val="none" w:sz="0" w:space="0" w:color="auto"/>
            <w:right w:val="none" w:sz="0" w:space="0" w:color="auto"/>
          </w:divBdr>
        </w:div>
        <w:div w:id="2140606345">
          <w:marLeft w:val="0"/>
          <w:marRight w:val="0"/>
          <w:marTop w:val="0"/>
          <w:marBottom w:val="0"/>
          <w:divBdr>
            <w:top w:val="none" w:sz="0" w:space="0" w:color="auto"/>
            <w:left w:val="none" w:sz="0" w:space="0" w:color="auto"/>
            <w:bottom w:val="none" w:sz="0" w:space="0" w:color="auto"/>
            <w:right w:val="none" w:sz="0" w:space="0" w:color="auto"/>
          </w:divBdr>
        </w:div>
      </w:divsChild>
    </w:div>
    <w:div w:id="461072863">
      <w:bodyDiv w:val="1"/>
      <w:marLeft w:val="0"/>
      <w:marRight w:val="0"/>
      <w:marTop w:val="0"/>
      <w:marBottom w:val="0"/>
      <w:divBdr>
        <w:top w:val="none" w:sz="0" w:space="0" w:color="auto"/>
        <w:left w:val="none" w:sz="0" w:space="0" w:color="auto"/>
        <w:bottom w:val="none" w:sz="0" w:space="0" w:color="auto"/>
        <w:right w:val="none" w:sz="0" w:space="0" w:color="auto"/>
      </w:divBdr>
    </w:div>
    <w:div w:id="503932320">
      <w:bodyDiv w:val="1"/>
      <w:marLeft w:val="0"/>
      <w:marRight w:val="0"/>
      <w:marTop w:val="0"/>
      <w:marBottom w:val="0"/>
      <w:divBdr>
        <w:top w:val="none" w:sz="0" w:space="0" w:color="auto"/>
        <w:left w:val="none" w:sz="0" w:space="0" w:color="auto"/>
        <w:bottom w:val="none" w:sz="0" w:space="0" w:color="auto"/>
        <w:right w:val="none" w:sz="0" w:space="0" w:color="auto"/>
      </w:divBdr>
    </w:div>
    <w:div w:id="576598338">
      <w:bodyDiv w:val="1"/>
      <w:marLeft w:val="0"/>
      <w:marRight w:val="0"/>
      <w:marTop w:val="0"/>
      <w:marBottom w:val="0"/>
      <w:divBdr>
        <w:top w:val="none" w:sz="0" w:space="0" w:color="auto"/>
        <w:left w:val="none" w:sz="0" w:space="0" w:color="auto"/>
        <w:bottom w:val="none" w:sz="0" w:space="0" w:color="auto"/>
        <w:right w:val="none" w:sz="0" w:space="0" w:color="auto"/>
      </w:divBdr>
    </w:div>
    <w:div w:id="647436092">
      <w:bodyDiv w:val="1"/>
      <w:marLeft w:val="0"/>
      <w:marRight w:val="0"/>
      <w:marTop w:val="0"/>
      <w:marBottom w:val="0"/>
      <w:divBdr>
        <w:top w:val="none" w:sz="0" w:space="0" w:color="auto"/>
        <w:left w:val="none" w:sz="0" w:space="0" w:color="auto"/>
        <w:bottom w:val="none" w:sz="0" w:space="0" w:color="auto"/>
        <w:right w:val="none" w:sz="0" w:space="0" w:color="auto"/>
      </w:divBdr>
    </w:div>
    <w:div w:id="686908474">
      <w:bodyDiv w:val="1"/>
      <w:marLeft w:val="0"/>
      <w:marRight w:val="0"/>
      <w:marTop w:val="0"/>
      <w:marBottom w:val="0"/>
      <w:divBdr>
        <w:top w:val="none" w:sz="0" w:space="0" w:color="auto"/>
        <w:left w:val="none" w:sz="0" w:space="0" w:color="auto"/>
        <w:bottom w:val="none" w:sz="0" w:space="0" w:color="auto"/>
        <w:right w:val="none" w:sz="0" w:space="0" w:color="auto"/>
      </w:divBdr>
      <w:divsChild>
        <w:div w:id="372772909">
          <w:marLeft w:val="0"/>
          <w:marRight w:val="0"/>
          <w:marTop w:val="0"/>
          <w:marBottom w:val="0"/>
          <w:divBdr>
            <w:top w:val="none" w:sz="0" w:space="0" w:color="auto"/>
            <w:left w:val="none" w:sz="0" w:space="0" w:color="auto"/>
            <w:bottom w:val="none" w:sz="0" w:space="0" w:color="auto"/>
            <w:right w:val="none" w:sz="0" w:space="0" w:color="auto"/>
          </w:divBdr>
        </w:div>
        <w:div w:id="411121935">
          <w:marLeft w:val="0"/>
          <w:marRight w:val="0"/>
          <w:marTop w:val="0"/>
          <w:marBottom w:val="0"/>
          <w:divBdr>
            <w:top w:val="none" w:sz="0" w:space="0" w:color="auto"/>
            <w:left w:val="none" w:sz="0" w:space="0" w:color="auto"/>
            <w:bottom w:val="none" w:sz="0" w:space="0" w:color="auto"/>
            <w:right w:val="none" w:sz="0" w:space="0" w:color="auto"/>
          </w:divBdr>
        </w:div>
        <w:div w:id="478112588">
          <w:marLeft w:val="0"/>
          <w:marRight w:val="0"/>
          <w:marTop w:val="0"/>
          <w:marBottom w:val="0"/>
          <w:divBdr>
            <w:top w:val="none" w:sz="0" w:space="0" w:color="auto"/>
            <w:left w:val="none" w:sz="0" w:space="0" w:color="auto"/>
            <w:bottom w:val="none" w:sz="0" w:space="0" w:color="auto"/>
            <w:right w:val="none" w:sz="0" w:space="0" w:color="auto"/>
          </w:divBdr>
        </w:div>
        <w:div w:id="486626176">
          <w:marLeft w:val="0"/>
          <w:marRight w:val="0"/>
          <w:marTop w:val="0"/>
          <w:marBottom w:val="0"/>
          <w:divBdr>
            <w:top w:val="none" w:sz="0" w:space="0" w:color="auto"/>
            <w:left w:val="none" w:sz="0" w:space="0" w:color="auto"/>
            <w:bottom w:val="none" w:sz="0" w:space="0" w:color="auto"/>
            <w:right w:val="none" w:sz="0" w:space="0" w:color="auto"/>
          </w:divBdr>
        </w:div>
        <w:div w:id="1037269776">
          <w:marLeft w:val="0"/>
          <w:marRight w:val="0"/>
          <w:marTop w:val="0"/>
          <w:marBottom w:val="0"/>
          <w:divBdr>
            <w:top w:val="none" w:sz="0" w:space="0" w:color="auto"/>
            <w:left w:val="none" w:sz="0" w:space="0" w:color="auto"/>
            <w:bottom w:val="none" w:sz="0" w:space="0" w:color="auto"/>
            <w:right w:val="none" w:sz="0" w:space="0" w:color="auto"/>
          </w:divBdr>
        </w:div>
        <w:div w:id="1268075830">
          <w:marLeft w:val="0"/>
          <w:marRight w:val="0"/>
          <w:marTop w:val="0"/>
          <w:marBottom w:val="0"/>
          <w:divBdr>
            <w:top w:val="none" w:sz="0" w:space="0" w:color="auto"/>
            <w:left w:val="none" w:sz="0" w:space="0" w:color="auto"/>
            <w:bottom w:val="none" w:sz="0" w:space="0" w:color="auto"/>
            <w:right w:val="none" w:sz="0" w:space="0" w:color="auto"/>
          </w:divBdr>
        </w:div>
        <w:div w:id="1712266934">
          <w:marLeft w:val="0"/>
          <w:marRight w:val="0"/>
          <w:marTop w:val="0"/>
          <w:marBottom w:val="0"/>
          <w:divBdr>
            <w:top w:val="none" w:sz="0" w:space="0" w:color="auto"/>
            <w:left w:val="none" w:sz="0" w:space="0" w:color="auto"/>
            <w:bottom w:val="none" w:sz="0" w:space="0" w:color="auto"/>
            <w:right w:val="none" w:sz="0" w:space="0" w:color="auto"/>
          </w:divBdr>
        </w:div>
        <w:div w:id="1932156305">
          <w:marLeft w:val="0"/>
          <w:marRight w:val="0"/>
          <w:marTop w:val="0"/>
          <w:marBottom w:val="0"/>
          <w:divBdr>
            <w:top w:val="none" w:sz="0" w:space="0" w:color="auto"/>
            <w:left w:val="none" w:sz="0" w:space="0" w:color="auto"/>
            <w:bottom w:val="none" w:sz="0" w:space="0" w:color="auto"/>
            <w:right w:val="none" w:sz="0" w:space="0" w:color="auto"/>
          </w:divBdr>
        </w:div>
        <w:div w:id="2009399782">
          <w:marLeft w:val="0"/>
          <w:marRight w:val="0"/>
          <w:marTop w:val="0"/>
          <w:marBottom w:val="0"/>
          <w:divBdr>
            <w:top w:val="none" w:sz="0" w:space="0" w:color="auto"/>
            <w:left w:val="none" w:sz="0" w:space="0" w:color="auto"/>
            <w:bottom w:val="none" w:sz="0" w:space="0" w:color="auto"/>
            <w:right w:val="none" w:sz="0" w:space="0" w:color="auto"/>
          </w:divBdr>
        </w:div>
      </w:divsChild>
    </w:div>
    <w:div w:id="692804921">
      <w:bodyDiv w:val="1"/>
      <w:marLeft w:val="0"/>
      <w:marRight w:val="0"/>
      <w:marTop w:val="0"/>
      <w:marBottom w:val="0"/>
      <w:divBdr>
        <w:top w:val="none" w:sz="0" w:space="0" w:color="auto"/>
        <w:left w:val="none" w:sz="0" w:space="0" w:color="auto"/>
        <w:bottom w:val="none" w:sz="0" w:space="0" w:color="auto"/>
        <w:right w:val="none" w:sz="0" w:space="0" w:color="auto"/>
      </w:divBdr>
      <w:divsChild>
        <w:div w:id="251739369">
          <w:marLeft w:val="0"/>
          <w:marRight w:val="0"/>
          <w:marTop w:val="0"/>
          <w:marBottom w:val="0"/>
          <w:divBdr>
            <w:top w:val="none" w:sz="0" w:space="0" w:color="auto"/>
            <w:left w:val="none" w:sz="0" w:space="0" w:color="auto"/>
            <w:bottom w:val="none" w:sz="0" w:space="0" w:color="auto"/>
            <w:right w:val="none" w:sz="0" w:space="0" w:color="auto"/>
          </w:divBdr>
        </w:div>
        <w:div w:id="326985332">
          <w:marLeft w:val="0"/>
          <w:marRight w:val="0"/>
          <w:marTop w:val="0"/>
          <w:marBottom w:val="0"/>
          <w:divBdr>
            <w:top w:val="none" w:sz="0" w:space="0" w:color="auto"/>
            <w:left w:val="none" w:sz="0" w:space="0" w:color="auto"/>
            <w:bottom w:val="none" w:sz="0" w:space="0" w:color="auto"/>
            <w:right w:val="none" w:sz="0" w:space="0" w:color="auto"/>
          </w:divBdr>
        </w:div>
        <w:div w:id="608045507">
          <w:marLeft w:val="0"/>
          <w:marRight w:val="0"/>
          <w:marTop w:val="0"/>
          <w:marBottom w:val="0"/>
          <w:divBdr>
            <w:top w:val="none" w:sz="0" w:space="0" w:color="auto"/>
            <w:left w:val="none" w:sz="0" w:space="0" w:color="auto"/>
            <w:bottom w:val="none" w:sz="0" w:space="0" w:color="auto"/>
            <w:right w:val="none" w:sz="0" w:space="0" w:color="auto"/>
          </w:divBdr>
        </w:div>
        <w:div w:id="1033841386">
          <w:marLeft w:val="0"/>
          <w:marRight w:val="0"/>
          <w:marTop w:val="0"/>
          <w:marBottom w:val="0"/>
          <w:divBdr>
            <w:top w:val="none" w:sz="0" w:space="0" w:color="auto"/>
            <w:left w:val="none" w:sz="0" w:space="0" w:color="auto"/>
            <w:bottom w:val="none" w:sz="0" w:space="0" w:color="auto"/>
            <w:right w:val="none" w:sz="0" w:space="0" w:color="auto"/>
          </w:divBdr>
        </w:div>
        <w:div w:id="1473019587">
          <w:marLeft w:val="0"/>
          <w:marRight w:val="0"/>
          <w:marTop w:val="0"/>
          <w:marBottom w:val="0"/>
          <w:divBdr>
            <w:top w:val="none" w:sz="0" w:space="0" w:color="auto"/>
            <w:left w:val="none" w:sz="0" w:space="0" w:color="auto"/>
            <w:bottom w:val="none" w:sz="0" w:space="0" w:color="auto"/>
            <w:right w:val="none" w:sz="0" w:space="0" w:color="auto"/>
          </w:divBdr>
        </w:div>
        <w:div w:id="1820032265">
          <w:marLeft w:val="0"/>
          <w:marRight w:val="0"/>
          <w:marTop w:val="0"/>
          <w:marBottom w:val="0"/>
          <w:divBdr>
            <w:top w:val="none" w:sz="0" w:space="0" w:color="auto"/>
            <w:left w:val="none" w:sz="0" w:space="0" w:color="auto"/>
            <w:bottom w:val="none" w:sz="0" w:space="0" w:color="auto"/>
            <w:right w:val="none" w:sz="0" w:space="0" w:color="auto"/>
          </w:divBdr>
        </w:div>
        <w:div w:id="1833445970">
          <w:marLeft w:val="0"/>
          <w:marRight w:val="0"/>
          <w:marTop w:val="0"/>
          <w:marBottom w:val="0"/>
          <w:divBdr>
            <w:top w:val="none" w:sz="0" w:space="0" w:color="auto"/>
            <w:left w:val="none" w:sz="0" w:space="0" w:color="auto"/>
            <w:bottom w:val="none" w:sz="0" w:space="0" w:color="auto"/>
            <w:right w:val="none" w:sz="0" w:space="0" w:color="auto"/>
          </w:divBdr>
        </w:div>
        <w:div w:id="1840346924">
          <w:marLeft w:val="0"/>
          <w:marRight w:val="0"/>
          <w:marTop w:val="0"/>
          <w:marBottom w:val="0"/>
          <w:divBdr>
            <w:top w:val="none" w:sz="0" w:space="0" w:color="auto"/>
            <w:left w:val="none" w:sz="0" w:space="0" w:color="auto"/>
            <w:bottom w:val="none" w:sz="0" w:space="0" w:color="auto"/>
            <w:right w:val="none" w:sz="0" w:space="0" w:color="auto"/>
          </w:divBdr>
        </w:div>
        <w:div w:id="2067800430">
          <w:marLeft w:val="0"/>
          <w:marRight w:val="0"/>
          <w:marTop w:val="0"/>
          <w:marBottom w:val="0"/>
          <w:divBdr>
            <w:top w:val="none" w:sz="0" w:space="0" w:color="auto"/>
            <w:left w:val="none" w:sz="0" w:space="0" w:color="auto"/>
            <w:bottom w:val="none" w:sz="0" w:space="0" w:color="auto"/>
            <w:right w:val="none" w:sz="0" w:space="0" w:color="auto"/>
          </w:divBdr>
        </w:div>
        <w:div w:id="2132480590">
          <w:marLeft w:val="0"/>
          <w:marRight w:val="0"/>
          <w:marTop w:val="0"/>
          <w:marBottom w:val="0"/>
          <w:divBdr>
            <w:top w:val="none" w:sz="0" w:space="0" w:color="auto"/>
            <w:left w:val="none" w:sz="0" w:space="0" w:color="auto"/>
            <w:bottom w:val="none" w:sz="0" w:space="0" w:color="auto"/>
            <w:right w:val="none" w:sz="0" w:space="0" w:color="auto"/>
          </w:divBdr>
        </w:div>
      </w:divsChild>
    </w:div>
    <w:div w:id="824516837">
      <w:bodyDiv w:val="1"/>
      <w:marLeft w:val="0"/>
      <w:marRight w:val="0"/>
      <w:marTop w:val="0"/>
      <w:marBottom w:val="0"/>
      <w:divBdr>
        <w:top w:val="none" w:sz="0" w:space="0" w:color="auto"/>
        <w:left w:val="none" w:sz="0" w:space="0" w:color="auto"/>
        <w:bottom w:val="none" w:sz="0" w:space="0" w:color="auto"/>
        <w:right w:val="none" w:sz="0" w:space="0" w:color="auto"/>
      </w:divBdr>
    </w:div>
    <w:div w:id="1063717583">
      <w:bodyDiv w:val="1"/>
      <w:marLeft w:val="0"/>
      <w:marRight w:val="0"/>
      <w:marTop w:val="0"/>
      <w:marBottom w:val="0"/>
      <w:divBdr>
        <w:top w:val="none" w:sz="0" w:space="0" w:color="auto"/>
        <w:left w:val="none" w:sz="0" w:space="0" w:color="auto"/>
        <w:bottom w:val="none" w:sz="0" w:space="0" w:color="auto"/>
        <w:right w:val="none" w:sz="0" w:space="0" w:color="auto"/>
      </w:divBdr>
    </w:div>
    <w:div w:id="1679848818">
      <w:bodyDiv w:val="1"/>
      <w:marLeft w:val="0"/>
      <w:marRight w:val="0"/>
      <w:marTop w:val="0"/>
      <w:marBottom w:val="0"/>
      <w:divBdr>
        <w:top w:val="none" w:sz="0" w:space="0" w:color="auto"/>
        <w:left w:val="none" w:sz="0" w:space="0" w:color="auto"/>
        <w:bottom w:val="none" w:sz="0" w:space="0" w:color="auto"/>
        <w:right w:val="none" w:sz="0" w:space="0" w:color="auto"/>
      </w:divBdr>
      <w:divsChild>
        <w:div w:id="335304949">
          <w:marLeft w:val="0"/>
          <w:marRight w:val="0"/>
          <w:marTop w:val="0"/>
          <w:marBottom w:val="0"/>
          <w:divBdr>
            <w:top w:val="none" w:sz="0" w:space="0" w:color="auto"/>
            <w:left w:val="none" w:sz="0" w:space="0" w:color="auto"/>
            <w:bottom w:val="none" w:sz="0" w:space="0" w:color="auto"/>
            <w:right w:val="none" w:sz="0" w:space="0" w:color="auto"/>
          </w:divBdr>
          <w:divsChild>
            <w:div w:id="420100211">
              <w:marLeft w:val="0"/>
              <w:marRight w:val="0"/>
              <w:marTop w:val="0"/>
              <w:marBottom w:val="0"/>
              <w:divBdr>
                <w:top w:val="none" w:sz="0" w:space="0" w:color="auto"/>
                <w:left w:val="none" w:sz="0" w:space="0" w:color="auto"/>
                <w:bottom w:val="none" w:sz="0" w:space="0" w:color="auto"/>
                <w:right w:val="none" w:sz="0" w:space="0" w:color="auto"/>
              </w:divBdr>
            </w:div>
            <w:div w:id="448016867">
              <w:marLeft w:val="0"/>
              <w:marRight w:val="0"/>
              <w:marTop w:val="0"/>
              <w:marBottom w:val="0"/>
              <w:divBdr>
                <w:top w:val="none" w:sz="0" w:space="0" w:color="auto"/>
                <w:left w:val="none" w:sz="0" w:space="0" w:color="auto"/>
                <w:bottom w:val="none" w:sz="0" w:space="0" w:color="auto"/>
                <w:right w:val="none" w:sz="0" w:space="0" w:color="auto"/>
              </w:divBdr>
            </w:div>
            <w:div w:id="812798368">
              <w:marLeft w:val="0"/>
              <w:marRight w:val="0"/>
              <w:marTop w:val="0"/>
              <w:marBottom w:val="0"/>
              <w:divBdr>
                <w:top w:val="none" w:sz="0" w:space="0" w:color="auto"/>
                <w:left w:val="none" w:sz="0" w:space="0" w:color="auto"/>
                <w:bottom w:val="none" w:sz="0" w:space="0" w:color="auto"/>
                <w:right w:val="none" w:sz="0" w:space="0" w:color="auto"/>
              </w:divBdr>
            </w:div>
            <w:div w:id="1496803324">
              <w:marLeft w:val="0"/>
              <w:marRight w:val="0"/>
              <w:marTop w:val="0"/>
              <w:marBottom w:val="0"/>
              <w:divBdr>
                <w:top w:val="none" w:sz="0" w:space="0" w:color="auto"/>
                <w:left w:val="none" w:sz="0" w:space="0" w:color="auto"/>
                <w:bottom w:val="none" w:sz="0" w:space="0" w:color="auto"/>
                <w:right w:val="none" w:sz="0" w:space="0" w:color="auto"/>
              </w:divBdr>
            </w:div>
            <w:div w:id="1690371907">
              <w:marLeft w:val="0"/>
              <w:marRight w:val="0"/>
              <w:marTop w:val="0"/>
              <w:marBottom w:val="0"/>
              <w:divBdr>
                <w:top w:val="none" w:sz="0" w:space="0" w:color="auto"/>
                <w:left w:val="none" w:sz="0" w:space="0" w:color="auto"/>
                <w:bottom w:val="none" w:sz="0" w:space="0" w:color="auto"/>
                <w:right w:val="none" w:sz="0" w:space="0" w:color="auto"/>
              </w:divBdr>
            </w:div>
            <w:div w:id="1767115465">
              <w:marLeft w:val="0"/>
              <w:marRight w:val="0"/>
              <w:marTop w:val="0"/>
              <w:marBottom w:val="0"/>
              <w:divBdr>
                <w:top w:val="none" w:sz="0" w:space="0" w:color="auto"/>
                <w:left w:val="none" w:sz="0" w:space="0" w:color="auto"/>
                <w:bottom w:val="none" w:sz="0" w:space="0" w:color="auto"/>
                <w:right w:val="none" w:sz="0" w:space="0" w:color="auto"/>
              </w:divBdr>
            </w:div>
            <w:div w:id="2080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4168">
      <w:bodyDiv w:val="1"/>
      <w:marLeft w:val="0"/>
      <w:marRight w:val="0"/>
      <w:marTop w:val="0"/>
      <w:marBottom w:val="0"/>
      <w:divBdr>
        <w:top w:val="none" w:sz="0" w:space="0" w:color="auto"/>
        <w:left w:val="none" w:sz="0" w:space="0" w:color="auto"/>
        <w:bottom w:val="none" w:sz="0" w:space="0" w:color="auto"/>
        <w:right w:val="none" w:sz="0" w:space="0" w:color="auto"/>
      </w:divBdr>
    </w:div>
    <w:div w:id="1821995989">
      <w:bodyDiv w:val="1"/>
      <w:marLeft w:val="0"/>
      <w:marRight w:val="0"/>
      <w:marTop w:val="0"/>
      <w:marBottom w:val="0"/>
      <w:divBdr>
        <w:top w:val="none" w:sz="0" w:space="0" w:color="auto"/>
        <w:left w:val="none" w:sz="0" w:space="0" w:color="auto"/>
        <w:bottom w:val="none" w:sz="0" w:space="0" w:color="auto"/>
        <w:right w:val="none" w:sz="0" w:space="0" w:color="auto"/>
      </w:divBdr>
      <w:divsChild>
        <w:div w:id="1859391328">
          <w:marLeft w:val="0"/>
          <w:marRight w:val="0"/>
          <w:marTop w:val="0"/>
          <w:marBottom w:val="0"/>
          <w:divBdr>
            <w:top w:val="none" w:sz="0" w:space="0" w:color="auto"/>
            <w:left w:val="none" w:sz="0" w:space="0" w:color="auto"/>
            <w:bottom w:val="none" w:sz="0" w:space="0" w:color="auto"/>
            <w:right w:val="none" w:sz="0" w:space="0" w:color="auto"/>
          </w:divBdr>
          <w:divsChild>
            <w:div w:id="1490363347">
              <w:marLeft w:val="0"/>
              <w:marRight w:val="0"/>
              <w:marTop w:val="0"/>
              <w:marBottom w:val="0"/>
              <w:divBdr>
                <w:top w:val="none" w:sz="0" w:space="0" w:color="auto"/>
                <w:left w:val="none" w:sz="0" w:space="0" w:color="auto"/>
                <w:bottom w:val="none" w:sz="0" w:space="0" w:color="auto"/>
                <w:right w:val="none" w:sz="0" w:space="0" w:color="auto"/>
              </w:divBdr>
              <w:divsChild>
                <w:div w:id="778260835">
                  <w:marLeft w:val="0"/>
                  <w:marRight w:val="0"/>
                  <w:marTop w:val="0"/>
                  <w:marBottom w:val="0"/>
                  <w:divBdr>
                    <w:top w:val="none" w:sz="0" w:space="0" w:color="auto"/>
                    <w:left w:val="none" w:sz="0" w:space="0" w:color="auto"/>
                    <w:bottom w:val="none" w:sz="0" w:space="0" w:color="auto"/>
                    <w:right w:val="none" w:sz="0" w:space="0" w:color="auto"/>
                  </w:divBdr>
                  <w:divsChild>
                    <w:div w:id="822234152">
                      <w:marLeft w:val="0"/>
                      <w:marRight w:val="0"/>
                      <w:marTop w:val="0"/>
                      <w:marBottom w:val="0"/>
                      <w:divBdr>
                        <w:top w:val="none" w:sz="0" w:space="0" w:color="auto"/>
                        <w:left w:val="none" w:sz="0" w:space="0" w:color="auto"/>
                        <w:bottom w:val="none" w:sz="0" w:space="0" w:color="auto"/>
                        <w:right w:val="none" w:sz="0" w:space="0" w:color="auto"/>
                      </w:divBdr>
                      <w:divsChild>
                        <w:div w:id="221909735">
                          <w:marLeft w:val="0"/>
                          <w:marRight w:val="0"/>
                          <w:marTop w:val="0"/>
                          <w:marBottom w:val="300"/>
                          <w:divBdr>
                            <w:top w:val="none" w:sz="0" w:space="0" w:color="auto"/>
                            <w:left w:val="none" w:sz="0" w:space="0" w:color="auto"/>
                            <w:bottom w:val="none" w:sz="0" w:space="0" w:color="auto"/>
                            <w:right w:val="none" w:sz="0" w:space="0" w:color="auto"/>
                          </w:divBdr>
                          <w:divsChild>
                            <w:div w:id="1573154817">
                              <w:marLeft w:val="0"/>
                              <w:marRight w:val="0"/>
                              <w:marTop w:val="0"/>
                              <w:marBottom w:val="0"/>
                              <w:divBdr>
                                <w:top w:val="none" w:sz="0" w:space="0" w:color="auto"/>
                                <w:left w:val="none" w:sz="0" w:space="0" w:color="auto"/>
                                <w:bottom w:val="none" w:sz="0" w:space="0" w:color="auto"/>
                                <w:right w:val="none" w:sz="0" w:space="0" w:color="auto"/>
                              </w:divBdr>
                              <w:divsChild>
                                <w:div w:id="349796173">
                                  <w:marLeft w:val="0"/>
                                  <w:marRight w:val="0"/>
                                  <w:marTop w:val="0"/>
                                  <w:marBottom w:val="0"/>
                                  <w:divBdr>
                                    <w:top w:val="none" w:sz="0" w:space="0" w:color="auto"/>
                                    <w:left w:val="none" w:sz="0" w:space="0" w:color="auto"/>
                                    <w:bottom w:val="none" w:sz="0" w:space="0" w:color="auto"/>
                                    <w:right w:val="none" w:sz="0" w:space="0" w:color="auto"/>
                                  </w:divBdr>
                                  <w:divsChild>
                                    <w:div w:id="497423532">
                                      <w:marLeft w:val="0"/>
                                      <w:marRight w:val="0"/>
                                      <w:marTop w:val="0"/>
                                      <w:marBottom w:val="450"/>
                                      <w:divBdr>
                                        <w:top w:val="none" w:sz="0" w:space="0" w:color="auto"/>
                                        <w:left w:val="none" w:sz="0" w:space="0" w:color="auto"/>
                                        <w:bottom w:val="none" w:sz="0" w:space="0" w:color="auto"/>
                                        <w:right w:val="none" w:sz="0" w:space="0" w:color="auto"/>
                                      </w:divBdr>
                                      <w:divsChild>
                                        <w:div w:id="21070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06220">
      <w:bodyDiv w:val="1"/>
      <w:marLeft w:val="0"/>
      <w:marRight w:val="0"/>
      <w:marTop w:val="0"/>
      <w:marBottom w:val="0"/>
      <w:divBdr>
        <w:top w:val="none" w:sz="0" w:space="0" w:color="auto"/>
        <w:left w:val="none" w:sz="0" w:space="0" w:color="auto"/>
        <w:bottom w:val="none" w:sz="0" w:space="0" w:color="auto"/>
        <w:right w:val="none" w:sz="0" w:space="0" w:color="auto"/>
      </w:divBdr>
      <w:divsChild>
        <w:div w:id="114250116">
          <w:marLeft w:val="0"/>
          <w:marRight w:val="0"/>
          <w:marTop w:val="0"/>
          <w:marBottom w:val="0"/>
          <w:divBdr>
            <w:top w:val="none" w:sz="0" w:space="0" w:color="auto"/>
            <w:left w:val="none" w:sz="0" w:space="0" w:color="auto"/>
            <w:bottom w:val="none" w:sz="0" w:space="0" w:color="auto"/>
            <w:right w:val="none" w:sz="0" w:space="0" w:color="auto"/>
          </w:divBdr>
        </w:div>
        <w:div w:id="129639123">
          <w:marLeft w:val="0"/>
          <w:marRight w:val="0"/>
          <w:marTop w:val="0"/>
          <w:marBottom w:val="0"/>
          <w:divBdr>
            <w:top w:val="none" w:sz="0" w:space="0" w:color="auto"/>
            <w:left w:val="none" w:sz="0" w:space="0" w:color="auto"/>
            <w:bottom w:val="none" w:sz="0" w:space="0" w:color="auto"/>
            <w:right w:val="none" w:sz="0" w:space="0" w:color="auto"/>
          </w:divBdr>
        </w:div>
        <w:div w:id="209849628">
          <w:marLeft w:val="0"/>
          <w:marRight w:val="0"/>
          <w:marTop w:val="0"/>
          <w:marBottom w:val="0"/>
          <w:divBdr>
            <w:top w:val="none" w:sz="0" w:space="0" w:color="auto"/>
            <w:left w:val="none" w:sz="0" w:space="0" w:color="auto"/>
            <w:bottom w:val="none" w:sz="0" w:space="0" w:color="auto"/>
            <w:right w:val="none" w:sz="0" w:space="0" w:color="auto"/>
          </w:divBdr>
        </w:div>
        <w:div w:id="221447842">
          <w:marLeft w:val="0"/>
          <w:marRight w:val="0"/>
          <w:marTop w:val="0"/>
          <w:marBottom w:val="0"/>
          <w:divBdr>
            <w:top w:val="none" w:sz="0" w:space="0" w:color="auto"/>
            <w:left w:val="none" w:sz="0" w:space="0" w:color="auto"/>
            <w:bottom w:val="none" w:sz="0" w:space="0" w:color="auto"/>
            <w:right w:val="none" w:sz="0" w:space="0" w:color="auto"/>
          </w:divBdr>
        </w:div>
        <w:div w:id="379746605">
          <w:marLeft w:val="0"/>
          <w:marRight w:val="0"/>
          <w:marTop w:val="0"/>
          <w:marBottom w:val="0"/>
          <w:divBdr>
            <w:top w:val="none" w:sz="0" w:space="0" w:color="auto"/>
            <w:left w:val="none" w:sz="0" w:space="0" w:color="auto"/>
            <w:bottom w:val="none" w:sz="0" w:space="0" w:color="auto"/>
            <w:right w:val="none" w:sz="0" w:space="0" w:color="auto"/>
          </w:divBdr>
        </w:div>
        <w:div w:id="473759762">
          <w:marLeft w:val="0"/>
          <w:marRight w:val="0"/>
          <w:marTop w:val="0"/>
          <w:marBottom w:val="0"/>
          <w:divBdr>
            <w:top w:val="none" w:sz="0" w:space="0" w:color="auto"/>
            <w:left w:val="none" w:sz="0" w:space="0" w:color="auto"/>
            <w:bottom w:val="none" w:sz="0" w:space="0" w:color="auto"/>
            <w:right w:val="none" w:sz="0" w:space="0" w:color="auto"/>
          </w:divBdr>
        </w:div>
        <w:div w:id="501089554">
          <w:marLeft w:val="0"/>
          <w:marRight w:val="0"/>
          <w:marTop w:val="0"/>
          <w:marBottom w:val="0"/>
          <w:divBdr>
            <w:top w:val="none" w:sz="0" w:space="0" w:color="auto"/>
            <w:left w:val="none" w:sz="0" w:space="0" w:color="auto"/>
            <w:bottom w:val="none" w:sz="0" w:space="0" w:color="auto"/>
            <w:right w:val="none" w:sz="0" w:space="0" w:color="auto"/>
          </w:divBdr>
        </w:div>
        <w:div w:id="610357922">
          <w:marLeft w:val="0"/>
          <w:marRight w:val="0"/>
          <w:marTop w:val="0"/>
          <w:marBottom w:val="0"/>
          <w:divBdr>
            <w:top w:val="none" w:sz="0" w:space="0" w:color="auto"/>
            <w:left w:val="none" w:sz="0" w:space="0" w:color="auto"/>
            <w:bottom w:val="none" w:sz="0" w:space="0" w:color="auto"/>
            <w:right w:val="none" w:sz="0" w:space="0" w:color="auto"/>
          </w:divBdr>
        </w:div>
        <w:div w:id="617445979">
          <w:marLeft w:val="0"/>
          <w:marRight w:val="0"/>
          <w:marTop w:val="0"/>
          <w:marBottom w:val="0"/>
          <w:divBdr>
            <w:top w:val="none" w:sz="0" w:space="0" w:color="auto"/>
            <w:left w:val="none" w:sz="0" w:space="0" w:color="auto"/>
            <w:bottom w:val="none" w:sz="0" w:space="0" w:color="auto"/>
            <w:right w:val="none" w:sz="0" w:space="0" w:color="auto"/>
          </w:divBdr>
        </w:div>
        <w:div w:id="931472660">
          <w:marLeft w:val="0"/>
          <w:marRight w:val="0"/>
          <w:marTop w:val="0"/>
          <w:marBottom w:val="0"/>
          <w:divBdr>
            <w:top w:val="none" w:sz="0" w:space="0" w:color="auto"/>
            <w:left w:val="none" w:sz="0" w:space="0" w:color="auto"/>
            <w:bottom w:val="none" w:sz="0" w:space="0" w:color="auto"/>
            <w:right w:val="none" w:sz="0" w:space="0" w:color="auto"/>
          </w:divBdr>
        </w:div>
        <w:div w:id="1033961964">
          <w:marLeft w:val="0"/>
          <w:marRight w:val="0"/>
          <w:marTop w:val="0"/>
          <w:marBottom w:val="0"/>
          <w:divBdr>
            <w:top w:val="none" w:sz="0" w:space="0" w:color="auto"/>
            <w:left w:val="none" w:sz="0" w:space="0" w:color="auto"/>
            <w:bottom w:val="none" w:sz="0" w:space="0" w:color="auto"/>
            <w:right w:val="none" w:sz="0" w:space="0" w:color="auto"/>
          </w:divBdr>
        </w:div>
        <w:div w:id="1170683378">
          <w:marLeft w:val="0"/>
          <w:marRight w:val="0"/>
          <w:marTop w:val="0"/>
          <w:marBottom w:val="0"/>
          <w:divBdr>
            <w:top w:val="none" w:sz="0" w:space="0" w:color="auto"/>
            <w:left w:val="none" w:sz="0" w:space="0" w:color="auto"/>
            <w:bottom w:val="none" w:sz="0" w:space="0" w:color="auto"/>
            <w:right w:val="none" w:sz="0" w:space="0" w:color="auto"/>
          </w:divBdr>
        </w:div>
        <w:div w:id="1379083443">
          <w:marLeft w:val="0"/>
          <w:marRight w:val="0"/>
          <w:marTop w:val="0"/>
          <w:marBottom w:val="0"/>
          <w:divBdr>
            <w:top w:val="none" w:sz="0" w:space="0" w:color="auto"/>
            <w:left w:val="none" w:sz="0" w:space="0" w:color="auto"/>
            <w:bottom w:val="none" w:sz="0" w:space="0" w:color="auto"/>
            <w:right w:val="none" w:sz="0" w:space="0" w:color="auto"/>
          </w:divBdr>
        </w:div>
        <w:div w:id="1661228365">
          <w:marLeft w:val="0"/>
          <w:marRight w:val="0"/>
          <w:marTop w:val="0"/>
          <w:marBottom w:val="0"/>
          <w:divBdr>
            <w:top w:val="none" w:sz="0" w:space="0" w:color="auto"/>
            <w:left w:val="none" w:sz="0" w:space="0" w:color="auto"/>
            <w:bottom w:val="none" w:sz="0" w:space="0" w:color="auto"/>
            <w:right w:val="none" w:sz="0" w:space="0" w:color="auto"/>
          </w:divBdr>
        </w:div>
        <w:div w:id="1810971845">
          <w:marLeft w:val="0"/>
          <w:marRight w:val="0"/>
          <w:marTop w:val="0"/>
          <w:marBottom w:val="0"/>
          <w:divBdr>
            <w:top w:val="none" w:sz="0" w:space="0" w:color="auto"/>
            <w:left w:val="none" w:sz="0" w:space="0" w:color="auto"/>
            <w:bottom w:val="none" w:sz="0" w:space="0" w:color="auto"/>
            <w:right w:val="none" w:sz="0" w:space="0" w:color="auto"/>
          </w:divBdr>
        </w:div>
        <w:div w:id="1842549147">
          <w:marLeft w:val="0"/>
          <w:marRight w:val="0"/>
          <w:marTop w:val="0"/>
          <w:marBottom w:val="0"/>
          <w:divBdr>
            <w:top w:val="none" w:sz="0" w:space="0" w:color="auto"/>
            <w:left w:val="none" w:sz="0" w:space="0" w:color="auto"/>
            <w:bottom w:val="none" w:sz="0" w:space="0" w:color="auto"/>
            <w:right w:val="none" w:sz="0" w:space="0" w:color="auto"/>
          </w:divBdr>
        </w:div>
        <w:div w:id="1975603041">
          <w:marLeft w:val="0"/>
          <w:marRight w:val="0"/>
          <w:marTop w:val="0"/>
          <w:marBottom w:val="0"/>
          <w:divBdr>
            <w:top w:val="none" w:sz="0" w:space="0" w:color="auto"/>
            <w:left w:val="none" w:sz="0" w:space="0" w:color="auto"/>
            <w:bottom w:val="none" w:sz="0" w:space="0" w:color="auto"/>
            <w:right w:val="none" w:sz="0" w:space="0" w:color="auto"/>
          </w:divBdr>
        </w:div>
        <w:div w:id="207620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dads.ks.gov/provider-home/providers/grant-and-contract-supported-programs/supported-housing-funds" TargetMode="Externa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hyperlink" Target="http://kansascommerce.gov/DocumentCenter/View/8527/2019-General-Application-Requirements?bidId" TargetMode="External"/><Relationship Id="rId47" Type="http://schemas.openxmlformats.org/officeDocument/2006/relationships/hyperlink" Target="http://kansascommerce.gov/DocumentCenter/View/8527/2019-General-Application-Requirements?bidId" TargetMode="External"/><Relationship Id="rId50" Type="http://schemas.openxmlformats.org/officeDocument/2006/relationships/hyperlink" Target="http://www.kansascommerce.com/132/Urgent-Need" TargetMode="External"/><Relationship Id="rId55" Type="http://schemas.openxmlformats.org/officeDocument/2006/relationships/hyperlink" Target="http://www.kansascommerce.com/710/Commercial-Rehabilitation" TargetMode="External"/><Relationship Id="rId63"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nsasfairhousing.com/" TargetMode="External"/><Relationship Id="rId29" Type="http://schemas.openxmlformats.org/officeDocument/2006/relationships/hyperlink" Target="https://www.kansascommerce.gov/257/Kansas-Industrial-Training-KIT" TargetMode="External"/><Relationship Id="rId11" Type="http://schemas.openxmlformats.org/officeDocument/2006/relationships/hyperlink" Target="tel:785-232-8073" TargetMode="External"/><Relationship Id="rId24" Type="http://schemas.openxmlformats.org/officeDocument/2006/relationships/hyperlink" Target="http://www.kshealthyhomes.org/index.html" TargetMode="External"/><Relationship Id="rId32" Type="http://schemas.openxmlformats.org/officeDocument/2006/relationships/image" Target="media/image2.png"/><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http://kansascommerce.gov/757/Housing-Rehabilitation" TargetMode="External"/><Relationship Id="rId53" Type="http://schemas.openxmlformats.org/officeDocument/2006/relationships/hyperlink" Target="http://www.kansascommerce.com/710/Commercial-Rehabilitation" TargetMode="External"/><Relationship Id="rId58" Type="http://schemas.openxmlformats.org/officeDocument/2006/relationships/hyperlink" Target="http://www.kshousingcorp.org/important-documents.asp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footer" Target="footer2.xml"/><Relationship Id="rId14" Type="http://schemas.openxmlformats.org/officeDocument/2006/relationships/hyperlink" Target="http://www.kshousingcorp.org" TargetMode="External"/><Relationship Id="rId22" Type="http://schemas.openxmlformats.org/officeDocument/2006/relationships/hyperlink" Target="http://www.kshousingcorp.org/" TargetMode="External"/><Relationship Id="rId27" Type="http://schemas.openxmlformats.org/officeDocument/2006/relationships/hyperlink" Target="https://www.kdads.ks.gov/provider-home/providers/grant-and-contract-supported-programs/interim-housing-grants" TargetMode="External"/><Relationship Id="rId30" Type="http://schemas.openxmlformats.org/officeDocument/2006/relationships/hyperlink" Target="https://www.kansascommerce.gov/257/Kansas-Industrial-Training-KIT" TargetMode="External"/><Relationship Id="rId35" Type="http://schemas.openxmlformats.org/officeDocument/2006/relationships/header" Target="header1.xml"/><Relationship Id="rId43" Type="http://schemas.openxmlformats.org/officeDocument/2006/relationships/hyperlink" Target="http://kansascommerce.gov/979/Water-and-Sewer" TargetMode="External"/><Relationship Id="rId48" Type="http://schemas.openxmlformats.org/officeDocument/2006/relationships/hyperlink" Target="http://www.kansascommerce.com/1018/Community-Facilities" TargetMode="External"/><Relationship Id="rId56" Type="http://schemas.openxmlformats.org/officeDocument/2006/relationships/hyperlink" Target="http://www.kshousingcorp.org" TargetMode="External"/><Relationship Id="rId64" Type="http://schemas.openxmlformats.org/officeDocument/2006/relationships/header" Target="header6.xml"/><Relationship Id="rId8" Type="http://schemas.openxmlformats.org/officeDocument/2006/relationships/hyperlink" Target="http://www.kshousingcorp.org" TargetMode="External"/><Relationship Id="rId51" Type="http://schemas.openxmlformats.org/officeDocument/2006/relationships/hyperlink" Target="http://www.kansascommerce.com/129/Economic-Development" TargetMode="External"/><Relationship Id="rId3" Type="http://schemas.openxmlformats.org/officeDocument/2006/relationships/styles" Target="styles.xml"/><Relationship Id="rId12" Type="http://schemas.openxmlformats.org/officeDocument/2006/relationships/hyperlink" Target="mailto:CReimler@kshousingcorp.org" TargetMode="External"/><Relationship Id="rId17" Type="http://schemas.openxmlformats.org/officeDocument/2006/relationships/hyperlink" Target="https://www.huduser.gov/portal/datasets/cp.html" TargetMode="External"/><Relationship Id="rId25" Type="http://schemas.openxmlformats.org/officeDocument/2006/relationships/footer" Target="footer4.xml"/><Relationship Id="rId33" Type="http://schemas.openxmlformats.org/officeDocument/2006/relationships/image" Target="media/image3.png"/><Relationship Id="rId38" Type="http://schemas.openxmlformats.org/officeDocument/2006/relationships/footer" Target="footer6.xml"/><Relationship Id="rId46" Type="http://schemas.openxmlformats.org/officeDocument/2006/relationships/hyperlink" Target="http://kansascommerce.gov/757/Housing-Rehabilitation" TargetMode="External"/><Relationship Id="rId59" Type="http://schemas.openxmlformats.org/officeDocument/2006/relationships/hyperlink" Target="http://factfinder.census.gov/faces/nav/jsf/pages/index.xhtml" TargetMode="External"/><Relationship Id="rId67" Type="http://schemas.openxmlformats.org/officeDocument/2006/relationships/theme" Target="theme/theme1.xml"/><Relationship Id="rId20" Type="http://schemas.openxmlformats.org/officeDocument/2006/relationships/hyperlink" Target="http://kshomeless.com/wp/wp-content/uploads/2013/10/BoS-KS-CoC-Map.png" TargetMode="External"/><Relationship Id="rId41" Type="http://schemas.openxmlformats.org/officeDocument/2006/relationships/footer" Target="footer8.xml"/><Relationship Id="rId54" Type="http://schemas.openxmlformats.org/officeDocument/2006/relationships/hyperlink" Target="http://www.kansascommerce.com/710/Commercial-Rehabilitation"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nsasfairhousing.com/" TargetMode="External"/><Relationship Id="rId23" Type="http://schemas.openxmlformats.org/officeDocument/2006/relationships/hyperlink" Target="https://www.google.com/url?sa=t&amp;rct=j&amp;q=&amp;esrc=s&amp;source=web&amp;cd=2&amp;ved=2ahUKEwin__v617rdAhVIKKwKHfw-Cx8QFjABegQICBAC&amp;url=https%3A%2F%2Fwww.wichita.edu%2Fstudent_life%2Fhousing%2Fdocuments%2FHRL_Annual_Report_16-17.pdf&amp;usg=AOvVaw0oH9F1HB7faWuhMDB3uGnC" TargetMode="External"/><Relationship Id="rId28" Type="http://schemas.openxmlformats.org/officeDocument/2006/relationships/hyperlink" Target="https://www.kdads.ks.gov/provider-home/providers/grant-and-contract-supported-programs/interim-housing-grants" TargetMode="External"/><Relationship Id="rId36" Type="http://schemas.openxmlformats.org/officeDocument/2006/relationships/header" Target="header2.xml"/><Relationship Id="rId49" Type="http://schemas.openxmlformats.org/officeDocument/2006/relationships/hyperlink" Target="http://www.kansascommerce.com/cdbg" TargetMode="External"/><Relationship Id="rId57" Type="http://schemas.openxmlformats.org/officeDocument/2006/relationships/hyperlink" Target="http://www.kshousingcorp.org" TargetMode="External"/><Relationship Id="rId10" Type="http://schemas.openxmlformats.org/officeDocument/2006/relationships/hyperlink" Target="tel:785-217-2023" TargetMode="External"/><Relationship Id="rId31" Type="http://schemas.openxmlformats.org/officeDocument/2006/relationships/image" Target="media/image1.png"/><Relationship Id="rId44" Type="http://schemas.openxmlformats.org/officeDocument/2006/relationships/hyperlink" Target="http://kansascommerce.gov/757/Housing-Rehabilitation" TargetMode="External"/><Relationship Id="rId52" Type="http://schemas.openxmlformats.org/officeDocument/2006/relationships/hyperlink" Target="http://www.kansascommerce.com/129/Economic-Development" TargetMode="External"/><Relationship Id="rId60" Type="http://schemas.openxmlformats.org/officeDocument/2006/relationships/hyperlink" Target="http://www.kshealthyhomes.org/" TargetMode="Externa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kansasfairhousing.com/stakeholder-interviews/" TargetMode="External"/><Relationship Id="rId13" Type="http://schemas.openxmlformats.org/officeDocument/2006/relationships/footer" Target="footer1.xml"/><Relationship Id="rId18" Type="http://schemas.openxmlformats.org/officeDocument/2006/relationships/hyperlink" Target="https://www.huduser.gov/portal/datasets/cp/CHAS/bg_chas.html" TargetMode="External"/><Relationship Id="rId3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population-data-nsduh/reports" TargetMode="External"/><Relationship Id="rId2" Type="http://schemas.openxmlformats.org/officeDocument/2006/relationships/hyperlink" Target="https://www.hudexchange.info/resource/reportmanagement/published/CoC_PopSub_CoC_KS-507-2017_KS_2017.pdf" TargetMode="External"/><Relationship Id="rId1" Type="http://schemas.openxmlformats.org/officeDocument/2006/relationships/hyperlink" Target="https://www.hudexchange.info/resource/reportmanagement/published/CoC_PopSub_CoC_KS-507-2015_K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98FE-30FF-490B-8A45-6CCD2855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49416</Words>
  <Characters>281675</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330431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Emily A. Sharp</cp:lastModifiedBy>
  <cp:revision>2</cp:revision>
  <cp:lastPrinted>2018-10-01T14:52:00Z</cp:lastPrinted>
  <dcterms:created xsi:type="dcterms:W3CDTF">2020-05-22T21:44:00Z</dcterms:created>
  <dcterms:modified xsi:type="dcterms:W3CDTF">2020-05-22T21:44:00Z</dcterms:modified>
</cp:coreProperties>
</file>